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906C" w14:textId="18D425D2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561843B8" w14:textId="77777777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7BEAC46E" w14:textId="550AF2B5" w:rsidR="0057422B" w:rsidRDefault="001B1125" w:rsidP="001B1125">
      <w:pPr>
        <w:pStyle w:val="BodyText"/>
        <w:jc w:val="center"/>
        <w:rPr>
          <w:i/>
          <w:iCs/>
          <w:sz w:val="32"/>
        </w:rPr>
      </w:pPr>
      <w:r>
        <w:rPr>
          <w:i/>
          <w:iCs/>
          <w:noProof/>
          <w:sz w:val="32"/>
          <w:lang w:val="en-GB" w:eastAsia="en-GB"/>
        </w:rPr>
        <w:drawing>
          <wp:inline distT="0" distB="0" distL="0" distR="0" wp14:anchorId="200DF9ED" wp14:editId="3177292D">
            <wp:extent cx="3372741" cy="2384385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91" cy="241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A0F3" w14:textId="77777777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2CF1872F" w14:textId="77777777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48DBE81F" w14:textId="4B083D10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3764C321" w14:textId="77777777" w:rsidR="0057422B" w:rsidRDefault="0057422B" w:rsidP="0057422B">
      <w:pPr>
        <w:pStyle w:val="BodyText"/>
        <w:jc w:val="center"/>
        <w:rPr>
          <w:i/>
          <w:iCs/>
          <w:sz w:val="32"/>
        </w:rPr>
      </w:pPr>
    </w:p>
    <w:p w14:paraId="2F9EA8F9" w14:textId="77777777" w:rsidR="0057422B" w:rsidRDefault="0057422B" w:rsidP="0057422B">
      <w:pPr>
        <w:pStyle w:val="BodyText"/>
        <w:jc w:val="center"/>
        <w:rPr>
          <w:sz w:val="72"/>
        </w:rPr>
      </w:pPr>
    </w:p>
    <w:p w14:paraId="66A9BA71" w14:textId="4DCF0F60" w:rsidR="0057422B" w:rsidRDefault="0057422B" w:rsidP="0096563A">
      <w:pPr>
        <w:pStyle w:val="BodyText"/>
        <w:jc w:val="center"/>
        <w:rPr>
          <w:sz w:val="72"/>
        </w:rPr>
      </w:pPr>
    </w:p>
    <w:p w14:paraId="2B9E4DF9" w14:textId="77777777" w:rsidR="0096563A" w:rsidRDefault="0096563A" w:rsidP="0057422B">
      <w:pPr>
        <w:pStyle w:val="BodyText"/>
        <w:jc w:val="center"/>
        <w:rPr>
          <w:b/>
          <w:bCs/>
          <w:color w:val="0E6098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0E6098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Accessibility </w:t>
      </w:r>
    </w:p>
    <w:p w14:paraId="11EC3B7E" w14:textId="5626DAA2" w:rsidR="0057422B" w:rsidRPr="001B1125" w:rsidRDefault="0057422B" w:rsidP="0057422B">
      <w:pPr>
        <w:pStyle w:val="BodyText"/>
        <w:jc w:val="center"/>
        <w:rPr>
          <w:color w:val="0E6098"/>
          <w:sz w:val="72"/>
        </w:rPr>
      </w:pPr>
      <w:r w:rsidRPr="001B1125">
        <w:rPr>
          <w:b/>
          <w:bCs/>
          <w:color w:val="0E6098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POLICY</w:t>
      </w:r>
    </w:p>
    <w:p w14:paraId="2EB30BD1" w14:textId="77777777" w:rsidR="009B6B05" w:rsidRDefault="009B6B05"/>
    <w:p w14:paraId="25D92FDD" w14:textId="77777777" w:rsidR="00AF1DDE" w:rsidRDefault="00AF1DDE"/>
    <w:p w14:paraId="180DEA15" w14:textId="77777777" w:rsidR="00C37D2C" w:rsidRDefault="00C37D2C"/>
    <w:p w14:paraId="68D9F554" w14:textId="77777777" w:rsidR="00C37D2C" w:rsidRDefault="00C37D2C"/>
    <w:p w14:paraId="3E48501F" w14:textId="77777777" w:rsidR="001468A9" w:rsidRDefault="001468A9">
      <w:pPr>
        <w:rPr>
          <w:b/>
          <w:color w:val="1F497D" w:themeColor="text2"/>
          <w:sz w:val="40"/>
          <w:szCs w:val="40"/>
        </w:rPr>
      </w:pPr>
    </w:p>
    <w:p w14:paraId="3A2A8CF3" w14:textId="77777777" w:rsidR="000F1EC4" w:rsidRDefault="000F1EC4">
      <w:pPr>
        <w:rPr>
          <w:b/>
          <w:color w:val="1F497D" w:themeColor="text2"/>
          <w:sz w:val="40"/>
          <w:szCs w:val="40"/>
        </w:rPr>
      </w:pPr>
    </w:p>
    <w:p w14:paraId="1195CEC1" w14:textId="057EB10F" w:rsidR="001468A9" w:rsidRDefault="0096563A">
      <w:pPr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September 2025</w:t>
      </w:r>
    </w:p>
    <w:p w14:paraId="2C726103" w14:textId="3B2973B8" w:rsidR="00FD7769" w:rsidRPr="004A4F45" w:rsidRDefault="00163F24">
      <w:pPr>
        <w:rPr>
          <w:b/>
          <w:color w:val="1F497D" w:themeColor="text2"/>
          <w:sz w:val="40"/>
          <w:szCs w:val="40"/>
        </w:rPr>
      </w:pPr>
      <w:r w:rsidRPr="00163F24">
        <w:rPr>
          <w:rFonts w:cs="Narkisim"/>
          <w:b/>
          <w:color w:val="365F91" w:themeColor="accent1" w:themeShade="BF"/>
          <w:sz w:val="32"/>
          <w:szCs w:val="32"/>
        </w:rPr>
        <w:lastRenderedPageBreak/>
        <w:t>Policy History</w:t>
      </w:r>
    </w:p>
    <w:tbl>
      <w:tblPr>
        <w:tblStyle w:val="TableGrid"/>
        <w:tblW w:w="9274" w:type="dxa"/>
        <w:tblLook w:val="04A0" w:firstRow="1" w:lastRow="0" w:firstColumn="1" w:lastColumn="0" w:noHBand="0" w:noVBand="1"/>
      </w:tblPr>
      <w:tblGrid>
        <w:gridCol w:w="1203"/>
        <w:gridCol w:w="1950"/>
        <w:gridCol w:w="3423"/>
        <w:gridCol w:w="2698"/>
      </w:tblGrid>
      <w:tr w:rsidR="00163F24" w14:paraId="12C48B5A" w14:textId="77777777" w:rsidTr="00163F24">
        <w:trPr>
          <w:trHeight w:val="295"/>
        </w:trPr>
        <w:tc>
          <w:tcPr>
            <w:tcW w:w="965" w:type="dxa"/>
          </w:tcPr>
          <w:p w14:paraId="3B008728" w14:textId="77777777" w:rsidR="00163F24" w:rsidRPr="00163F24" w:rsidRDefault="00163F24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63F24">
              <w:rPr>
                <w:b/>
                <w:bCs/>
                <w:color w:val="365F91" w:themeColor="accent1" w:themeShade="BF"/>
                <w:sz w:val="24"/>
                <w:szCs w:val="24"/>
              </w:rPr>
              <w:t>Date</w:t>
            </w:r>
          </w:p>
        </w:tc>
        <w:tc>
          <w:tcPr>
            <w:tcW w:w="2001" w:type="dxa"/>
          </w:tcPr>
          <w:p w14:paraId="1E4DE5EC" w14:textId="77777777" w:rsidR="00163F24" w:rsidRPr="00163F24" w:rsidRDefault="00163F24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63F24">
              <w:rPr>
                <w:b/>
                <w:bCs/>
                <w:color w:val="365F91" w:themeColor="accent1" w:themeShade="BF"/>
                <w:sz w:val="24"/>
                <w:szCs w:val="24"/>
              </w:rPr>
              <w:t>Version</w:t>
            </w:r>
          </w:p>
        </w:tc>
        <w:tc>
          <w:tcPr>
            <w:tcW w:w="3527" w:type="dxa"/>
          </w:tcPr>
          <w:p w14:paraId="2D7A40CA" w14:textId="77777777" w:rsidR="00163F24" w:rsidRPr="00163F24" w:rsidRDefault="00163F24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63F24">
              <w:rPr>
                <w:b/>
                <w:bCs/>
                <w:color w:val="365F91" w:themeColor="accent1" w:themeShade="BF"/>
                <w:sz w:val="24"/>
                <w:szCs w:val="24"/>
              </w:rPr>
              <w:t>Update</w:t>
            </w:r>
          </w:p>
        </w:tc>
        <w:tc>
          <w:tcPr>
            <w:tcW w:w="2781" w:type="dxa"/>
          </w:tcPr>
          <w:p w14:paraId="461445BF" w14:textId="77777777" w:rsidR="00163F24" w:rsidRPr="00163F24" w:rsidRDefault="00163F24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63F24">
              <w:rPr>
                <w:b/>
                <w:bCs/>
                <w:color w:val="365F91" w:themeColor="accent1" w:themeShade="BF"/>
                <w:sz w:val="24"/>
                <w:szCs w:val="24"/>
              </w:rPr>
              <w:t>Prepared by</w:t>
            </w:r>
          </w:p>
        </w:tc>
      </w:tr>
      <w:tr w:rsidR="00FF04AF" w14:paraId="7E3C704B" w14:textId="77777777" w:rsidTr="00163F24">
        <w:trPr>
          <w:trHeight w:val="295"/>
        </w:trPr>
        <w:tc>
          <w:tcPr>
            <w:tcW w:w="965" w:type="dxa"/>
          </w:tcPr>
          <w:p w14:paraId="1922C2CE" w14:textId="52D65C20" w:rsidR="00FF04AF" w:rsidRDefault="00B80C1F">
            <w:r>
              <w:t>September 2025</w:t>
            </w:r>
          </w:p>
        </w:tc>
        <w:tc>
          <w:tcPr>
            <w:tcW w:w="2001" w:type="dxa"/>
          </w:tcPr>
          <w:p w14:paraId="65981AC5" w14:textId="7DC330C7" w:rsidR="00FF04AF" w:rsidRDefault="00B80C1F">
            <w:r>
              <w:t>1.1</w:t>
            </w:r>
          </w:p>
        </w:tc>
        <w:tc>
          <w:tcPr>
            <w:tcW w:w="3527" w:type="dxa"/>
          </w:tcPr>
          <w:p w14:paraId="1747F1C7" w14:textId="16A8734C" w:rsidR="00FF04AF" w:rsidRDefault="00B80C1F">
            <w:r>
              <w:t xml:space="preserve">Update from Policy in 2018, checked and presented to governors. Figures changed to represent current demographic. </w:t>
            </w:r>
          </w:p>
        </w:tc>
        <w:tc>
          <w:tcPr>
            <w:tcW w:w="2781" w:type="dxa"/>
          </w:tcPr>
          <w:p w14:paraId="3E131C96" w14:textId="5B0B10A1" w:rsidR="00FF04AF" w:rsidRDefault="00B80C1F">
            <w:r>
              <w:t>Pete Cope</w:t>
            </w:r>
          </w:p>
        </w:tc>
      </w:tr>
      <w:tr w:rsidR="00FF04AF" w14:paraId="612DAB9B" w14:textId="77777777" w:rsidTr="00163F24">
        <w:trPr>
          <w:trHeight w:val="295"/>
        </w:trPr>
        <w:tc>
          <w:tcPr>
            <w:tcW w:w="965" w:type="dxa"/>
          </w:tcPr>
          <w:p w14:paraId="6FACEA39" w14:textId="77777777" w:rsidR="00FF04AF" w:rsidRDefault="00FF04AF"/>
        </w:tc>
        <w:tc>
          <w:tcPr>
            <w:tcW w:w="2001" w:type="dxa"/>
          </w:tcPr>
          <w:p w14:paraId="57A28C02" w14:textId="77777777" w:rsidR="00FF04AF" w:rsidRDefault="00FF04AF"/>
        </w:tc>
        <w:tc>
          <w:tcPr>
            <w:tcW w:w="3527" w:type="dxa"/>
          </w:tcPr>
          <w:p w14:paraId="11E219F2" w14:textId="77777777" w:rsidR="00FF04AF" w:rsidRDefault="00FF04AF"/>
        </w:tc>
        <w:tc>
          <w:tcPr>
            <w:tcW w:w="2781" w:type="dxa"/>
          </w:tcPr>
          <w:p w14:paraId="2A0A1E00" w14:textId="77777777" w:rsidR="00FF04AF" w:rsidRDefault="00FF04AF"/>
        </w:tc>
      </w:tr>
      <w:tr w:rsidR="00FF04AF" w14:paraId="0CE5A20E" w14:textId="77777777" w:rsidTr="00163F24">
        <w:trPr>
          <w:trHeight w:val="295"/>
        </w:trPr>
        <w:tc>
          <w:tcPr>
            <w:tcW w:w="965" w:type="dxa"/>
          </w:tcPr>
          <w:p w14:paraId="301D4FB2" w14:textId="77777777" w:rsidR="00FF04AF" w:rsidRDefault="00FF04AF"/>
        </w:tc>
        <w:tc>
          <w:tcPr>
            <w:tcW w:w="2001" w:type="dxa"/>
          </w:tcPr>
          <w:p w14:paraId="6F873933" w14:textId="77777777" w:rsidR="00FF04AF" w:rsidRDefault="00FF04AF"/>
        </w:tc>
        <w:tc>
          <w:tcPr>
            <w:tcW w:w="3527" w:type="dxa"/>
          </w:tcPr>
          <w:p w14:paraId="31AA5C0E" w14:textId="77777777" w:rsidR="00FF04AF" w:rsidRDefault="00FF04AF"/>
        </w:tc>
        <w:tc>
          <w:tcPr>
            <w:tcW w:w="2781" w:type="dxa"/>
          </w:tcPr>
          <w:p w14:paraId="6F9A48BE" w14:textId="77777777" w:rsidR="00FF04AF" w:rsidRDefault="00FF04AF"/>
        </w:tc>
      </w:tr>
    </w:tbl>
    <w:p w14:paraId="60869E78" w14:textId="77777777" w:rsidR="00FD7769" w:rsidRDefault="00FD7769" w:rsidP="001468A9"/>
    <w:p w14:paraId="5631A0CB" w14:textId="77777777" w:rsidR="000F1EC4" w:rsidRDefault="000F1EC4" w:rsidP="001468A9"/>
    <w:p w14:paraId="158384ED" w14:textId="77777777" w:rsidR="000F1EC4" w:rsidRDefault="000F1EC4" w:rsidP="001468A9"/>
    <w:p w14:paraId="1F059B5E" w14:textId="77777777" w:rsidR="000F1EC4" w:rsidRDefault="000F1EC4" w:rsidP="001468A9"/>
    <w:p w14:paraId="125A7A7D" w14:textId="77777777" w:rsidR="000F1EC4" w:rsidRDefault="000F1EC4" w:rsidP="001468A9"/>
    <w:p w14:paraId="5C7F4553" w14:textId="77777777" w:rsidR="000F1EC4" w:rsidRDefault="000F1EC4" w:rsidP="001468A9"/>
    <w:p w14:paraId="45391265" w14:textId="77777777" w:rsidR="000F1EC4" w:rsidRDefault="000F1EC4" w:rsidP="001468A9"/>
    <w:p w14:paraId="04123500" w14:textId="77777777" w:rsidR="000F1EC4" w:rsidRDefault="000F1EC4" w:rsidP="001468A9"/>
    <w:p w14:paraId="7D08DD07" w14:textId="77777777" w:rsidR="000F1EC4" w:rsidRDefault="000F1EC4" w:rsidP="001468A9"/>
    <w:p w14:paraId="1DD72165" w14:textId="77777777" w:rsidR="000F1EC4" w:rsidRDefault="000F1EC4" w:rsidP="001468A9"/>
    <w:p w14:paraId="7B16924B" w14:textId="77777777" w:rsidR="000F1EC4" w:rsidRDefault="000F1EC4" w:rsidP="001468A9"/>
    <w:p w14:paraId="45779B3D" w14:textId="77777777" w:rsidR="000F1EC4" w:rsidRDefault="000F1EC4" w:rsidP="001468A9"/>
    <w:p w14:paraId="326C324E" w14:textId="77777777" w:rsidR="000F1EC4" w:rsidRDefault="000F1EC4" w:rsidP="001468A9"/>
    <w:p w14:paraId="597740A3" w14:textId="77777777" w:rsidR="000F1EC4" w:rsidRDefault="000F1EC4" w:rsidP="001468A9"/>
    <w:p w14:paraId="094FB266" w14:textId="77777777" w:rsidR="000F1EC4" w:rsidRDefault="000F1EC4" w:rsidP="001468A9"/>
    <w:p w14:paraId="10CFF426" w14:textId="77777777" w:rsidR="000F1EC4" w:rsidRDefault="000F1EC4" w:rsidP="001468A9"/>
    <w:p w14:paraId="73991088" w14:textId="77777777" w:rsidR="000F1EC4" w:rsidRDefault="000F1EC4" w:rsidP="001468A9"/>
    <w:p w14:paraId="1B8323A2" w14:textId="77777777" w:rsidR="000F1EC4" w:rsidRDefault="000F1EC4" w:rsidP="001468A9"/>
    <w:p w14:paraId="7DDEC4C2" w14:textId="77777777" w:rsidR="000F1EC4" w:rsidRDefault="000F1EC4" w:rsidP="001468A9"/>
    <w:p w14:paraId="40B41BFE" w14:textId="77777777" w:rsidR="000F1EC4" w:rsidRDefault="000F1EC4" w:rsidP="001468A9"/>
    <w:p w14:paraId="757F00E3" w14:textId="77777777" w:rsidR="000F1EC4" w:rsidRDefault="000F1EC4" w:rsidP="001468A9"/>
    <w:p w14:paraId="7E8D8984" w14:textId="77777777" w:rsidR="000F1EC4" w:rsidRDefault="000F1EC4" w:rsidP="001468A9"/>
    <w:p w14:paraId="67FC31BD" w14:textId="77777777" w:rsidR="000F1EC4" w:rsidRDefault="000F1EC4" w:rsidP="001468A9"/>
    <w:p w14:paraId="40E911B7" w14:textId="78FB1698" w:rsidR="000F1EC4" w:rsidRPr="00141936" w:rsidRDefault="00E46AEF" w:rsidP="000F1EC4">
      <w:pPr>
        <w:rPr>
          <w:sz w:val="28"/>
          <w:szCs w:val="32"/>
        </w:rPr>
      </w:pPr>
      <w:r>
        <w:rPr>
          <w:sz w:val="28"/>
          <w:szCs w:val="32"/>
        </w:rPr>
        <w:t xml:space="preserve">The aim of the accessibility plan is to work </w:t>
      </w:r>
      <w:r w:rsidR="000F1EC4">
        <w:rPr>
          <w:sz w:val="28"/>
          <w:szCs w:val="32"/>
        </w:rPr>
        <w:t xml:space="preserve">on removing barriers to access and positively promote the involvement and successful participation of all pupils.  </w:t>
      </w:r>
    </w:p>
    <w:p w14:paraId="48596B60" w14:textId="77777777" w:rsidR="000F1EC4" w:rsidRPr="006D02C2" w:rsidRDefault="000F1EC4" w:rsidP="000F1EC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2"/>
          <w:szCs w:val="18"/>
        </w:rPr>
      </w:pPr>
      <w:r w:rsidRPr="00EA5DDE">
        <w:rPr>
          <w:rFonts w:asciiTheme="minorHAnsi" w:hAnsiTheme="minorHAnsi"/>
          <w:b/>
          <w:sz w:val="28"/>
          <w:szCs w:val="32"/>
        </w:rPr>
        <w:t>Background information regarding vulnerable groups at Etchells Primary School.</w:t>
      </w:r>
    </w:p>
    <w:p w14:paraId="2979302C" w14:textId="1A4752DE" w:rsidR="000F1EC4" w:rsidRPr="00000F6A" w:rsidRDefault="000F1EC4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 w:rsidRPr="00000F6A">
        <w:rPr>
          <w:sz w:val="28"/>
          <w:szCs w:val="32"/>
        </w:rPr>
        <w:t>Etchells Primary School is a two-form entry school with 4</w:t>
      </w:r>
      <w:r w:rsidR="00000F6A">
        <w:rPr>
          <w:sz w:val="28"/>
          <w:szCs w:val="32"/>
        </w:rPr>
        <w:t xml:space="preserve">01 </w:t>
      </w:r>
      <w:r w:rsidRPr="00000F6A">
        <w:rPr>
          <w:sz w:val="28"/>
          <w:szCs w:val="32"/>
        </w:rPr>
        <w:t>pupils,</w:t>
      </w:r>
    </w:p>
    <w:p w14:paraId="2939C9D9" w14:textId="3D2DD3E2" w:rsidR="000F1EC4" w:rsidRPr="00000F6A" w:rsidRDefault="000F1EC4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 w:rsidRPr="00000F6A">
        <w:rPr>
          <w:sz w:val="28"/>
          <w:szCs w:val="32"/>
        </w:rPr>
        <w:t xml:space="preserve">We have Resourced Provision for </w:t>
      </w:r>
      <w:r w:rsidR="00000F6A">
        <w:rPr>
          <w:sz w:val="28"/>
          <w:szCs w:val="32"/>
        </w:rPr>
        <w:t>sixteen</w:t>
      </w:r>
      <w:r w:rsidRPr="00000F6A">
        <w:rPr>
          <w:sz w:val="28"/>
          <w:szCs w:val="32"/>
        </w:rPr>
        <w:t xml:space="preserve"> pupils. </w:t>
      </w:r>
    </w:p>
    <w:p w14:paraId="290156B6" w14:textId="649AD06E" w:rsidR="000F1EC4" w:rsidRPr="00000F6A" w:rsidRDefault="00000F6A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18.7</w:t>
      </w:r>
      <w:r w:rsidR="000F1EC4" w:rsidRPr="00000F6A">
        <w:rPr>
          <w:sz w:val="28"/>
          <w:szCs w:val="32"/>
        </w:rPr>
        <w:t>% of pupils are on the ‘</w:t>
      </w:r>
      <w:r>
        <w:rPr>
          <w:sz w:val="28"/>
          <w:szCs w:val="32"/>
        </w:rPr>
        <w:t>SEND Support’</w:t>
      </w:r>
      <w:r w:rsidR="000F1EC4" w:rsidRPr="00000F6A">
        <w:rPr>
          <w:sz w:val="28"/>
          <w:szCs w:val="32"/>
        </w:rPr>
        <w:t xml:space="preserve"> register</w:t>
      </w:r>
    </w:p>
    <w:p w14:paraId="33684588" w14:textId="75EC4ED5" w:rsidR="000F1EC4" w:rsidRPr="00000F6A" w:rsidRDefault="00000F6A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6.9</w:t>
      </w:r>
      <w:r w:rsidR="000F1EC4" w:rsidRPr="00000F6A">
        <w:rPr>
          <w:sz w:val="28"/>
          <w:szCs w:val="32"/>
        </w:rPr>
        <w:t>% of pupils have a</w:t>
      </w:r>
      <w:r>
        <w:rPr>
          <w:sz w:val="28"/>
          <w:szCs w:val="32"/>
        </w:rPr>
        <w:t>n EHCP</w:t>
      </w:r>
    </w:p>
    <w:p w14:paraId="42403BD6" w14:textId="3D2B1879" w:rsidR="000F1EC4" w:rsidRPr="00000F6A" w:rsidRDefault="00000F6A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48.3</w:t>
      </w:r>
      <w:r w:rsidR="000F1EC4" w:rsidRPr="00000F6A">
        <w:rPr>
          <w:sz w:val="28"/>
          <w:szCs w:val="32"/>
        </w:rPr>
        <w:t>% of pupils have English as an Additional Language; 1</w:t>
      </w:r>
      <w:r>
        <w:rPr>
          <w:sz w:val="28"/>
          <w:szCs w:val="32"/>
        </w:rPr>
        <w:t>.7</w:t>
      </w:r>
      <w:r w:rsidR="000F1EC4" w:rsidRPr="00000F6A">
        <w:rPr>
          <w:sz w:val="28"/>
          <w:szCs w:val="32"/>
        </w:rPr>
        <w:t xml:space="preserve">% are </w:t>
      </w:r>
      <w:r>
        <w:rPr>
          <w:sz w:val="28"/>
          <w:szCs w:val="32"/>
        </w:rPr>
        <w:t xml:space="preserve">Currently Looked After </w:t>
      </w:r>
      <w:r w:rsidR="000F1EC4" w:rsidRPr="00000F6A">
        <w:rPr>
          <w:sz w:val="28"/>
          <w:szCs w:val="32"/>
        </w:rPr>
        <w:t>and 1</w:t>
      </w:r>
      <w:r>
        <w:rPr>
          <w:sz w:val="28"/>
          <w:szCs w:val="32"/>
        </w:rPr>
        <w:t>7.9</w:t>
      </w:r>
      <w:r w:rsidR="000F1EC4" w:rsidRPr="00000F6A">
        <w:rPr>
          <w:sz w:val="28"/>
          <w:szCs w:val="32"/>
        </w:rPr>
        <w:t>% have Free School Meals</w:t>
      </w:r>
    </w:p>
    <w:p w14:paraId="35445AE2" w14:textId="7AF736B7" w:rsidR="000F1EC4" w:rsidRPr="00000F6A" w:rsidRDefault="00000F6A" w:rsidP="000F1EC4">
      <w:pPr>
        <w:pStyle w:val="ListParagraph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36.4</w:t>
      </w:r>
      <w:r w:rsidR="000F1EC4" w:rsidRPr="00000F6A">
        <w:rPr>
          <w:sz w:val="28"/>
          <w:szCs w:val="32"/>
        </w:rPr>
        <w:t xml:space="preserve">% of children live in the Etchells catchment area; </w:t>
      </w:r>
      <w:r>
        <w:rPr>
          <w:sz w:val="28"/>
          <w:szCs w:val="32"/>
        </w:rPr>
        <w:t>52.8</w:t>
      </w:r>
      <w:r w:rsidR="000F1EC4" w:rsidRPr="00000F6A">
        <w:rPr>
          <w:sz w:val="28"/>
          <w:szCs w:val="32"/>
        </w:rPr>
        <w:t>% live outside the catchment area but in Stockport; 1</w:t>
      </w:r>
      <w:r>
        <w:rPr>
          <w:sz w:val="28"/>
          <w:szCs w:val="32"/>
        </w:rPr>
        <w:t>0.7</w:t>
      </w:r>
      <w:r w:rsidR="000F1EC4" w:rsidRPr="00000F6A">
        <w:rPr>
          <w:sz w:val="28"/>
          <w:szCs w:val="32"/>
        </w:rPr>
        <w:t>% live outside Stockport.</w:t>
      </w:r>
    </w:p>
    <w:p w14:paraId="1A5F5749" w14:textId="77777777" w:rsidR="000F1EC4" w:rsidRPr="00EA5DDE" w:rsidRDefault="000F1EC4" w:rsidP="000F1EC4">
      <w:pPr>
        <w:rPr>
          <w:b/>
          <w:sz w:val="28"/>
          <w:szCs w:val="32"/>
        </w:rPr>
      </w:pPr>
      <w:r w:rsidRPr="00EA5DDE">
        <w:rPr>
          <w:b/>
          <w:sz w:val="28"/>
          <w:szCs w:val="32"/>
        </w:rPr>
        <w:t xml:space="preserve">Aims and Values </w:t>
      </w:r>
    </w:p>
    <w:p w14:paraId="56A4546C" w14:textId="77777777" w:rsidR="000F1EC4" w:rsidRPr="00EA5DDE" w:rsidRDefault="000F1EC4" w:rsidP="000F1EC4">
      <w:pPr>
        <w:rPr>
          <w:sz w:val="28"/>
          <w:szCs w:val="32"/>
        </w:rPr>
      </w:pPr>
      <w:r w:rsidRPr="00EA5DDE">
        <w:rPr>
          <w:sz w:val="28"/>
          <w:szCs w:val="32"/>
        </w:rPr>
        <w:t xml:space="preserve">Our school </w:t>
      </w:r>
      <w:r>
        <w:rPr>
          <w:sz w:val="28"/>
          <w:szCs w:val="32"/>
        </w:rPr>
        <w:t>ethos states:</w:t>
      </w:r>
    </w:p>
    <w:p w14:paraId="7947A951" w14:textId="77777777" w:rsidR="000F1EC4" w:rsidRPr="00EA5DDE" w:rsidRDefault="000F1EC4" w:rsidP="000F1EC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  <w:szCs w:val="18"/>
        </w:rPr>
      </w:pPr>
      <w:r w:rsidRPr="00EA5DDE">
        <w:rPr>
          <w:rFonts w:asciiTheme="minorHAnsi" w:hAnsiTheme="minorHAnsi" w:cs="Arial"/>
          <w:color w:val="000000"/>
          <w:sz w:val="28"/>
          <w:szCs w:val="18"/>
        </w:rPr>
        <w:t>We are a vibrant, happy, welcoming school and provide a stimulating and inclusive environment for learning. </w:t>
      </w:r>
    </w:p>
    <w:p w14:paraId="4D3792D1" w14:textId="77777777" w:rsidR="000F1EC4" w:rsidRPr="00EA5DDE" w:rsidRDefault="000F1EC4" w:rsidP="000F1EC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  <w:szCs w:val="18"/>
        </w:rPr>
      </w:pPr>
      <w:r w:rsidRPr="00EA5DDE">
        <w:rPr>
          <w:rFonts w:asciiTheme="minorHAnsi" w:hAnsiTheme="minorHAnsi" w:cs="Arial"/>
          <w:color w:val="000000"/>
          <w:sz w:val="28"/>
          <w:szCs w:val="18"/>
        </w:rPr>
        <w:t>We take pride in responding to the learner's interests and ensure that lessons are challenging, fun and purposeful.  </w:t>
      </w:r>
      <w:r>
        <w:rPr>
          <w:rFonts w:asciiTheme="minorHAnsi" w:hAnsiTheme="minorHAnsi" w:cs="Arial"/>
          <w:color w:val="000000"/>
          <w:sz w:val="28"/>
          <w:szCs w:val="18"/>
        </w:rPr>
        <w:t xml:space="preserve">We have high ambitions for all of our pupils and we expect them to participate in, contribute to and achieve in all aspects of school life.  </w:t>
      </w:r>
    </w:p>
    <w:p w14:paraId="20D7D149" w14:textId="615B20D0" w:rsidR="000F1EC4" w:rsidRDefault="000F1EC4" w:rsidP="000F1EC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EA5DDE">
        <w:rPr>
          <w:rFonts w:asciiTheme="minorHAnsi" w:hAnsiTheme="minorHAnsi" w:cs="Arial"/>
          <w:color w:val="000000"/>
          <w:sz w:val="28"/>
          <w:szCs w:val="28"/>
        </w:rPr>
        <w:t>We have a wonderful school environment, with well-developed areas in the school grounds to maximize the children's opportunities to play.  Our school incorporates a Resource Base for children with specific special educational needs and disabilities which underpin</w:t>
      </w:r>
      <w:r>
        <w:rPr>
          <w:rFonts w:asciiTheme="minorHAnsi" w:hAnsiTheme="minorHAnsi" w:cs="Arial"/>
          <w:color w:val="000000"/>
          <w:sz w:val="28"/>
          <w:szCs w:val="28"/>
        </w:rPr>
        <w:t>s</w:t>
      </w:r>
      <w:r w:rsidRPr="00EA5DDE">
        <w:rPr>
          <w:rFonts w:asciiTheme="minorHAnsi" w:hAnsiTheme="minorHAnsi" w:cs="Arial"/>
          <w:color w:val="000000"/>
          <w:sz w:val="28"/>
          <w:szCs w:val="28"/>
        </w:rPr>
        <w:t xml:space="preserve"> our overarching philosophy of inclusion and Education for All.  We also have a 40-place nursery on site, as well as before and after school provision.</w:t>
      </w:r>
    </w:p>
    <w:p w14:paraId="1284B437" w14:textId="77777777" w:rsidR="000F1EC4" w:rsidRDefault="000F1EC4" w:rsidP="000F1EC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EA5DDE">
        <w:rPr>
          <w:rFonts w:asciiTheme="minorHAnsi" w:hAnsiTheme="minorHAnsi" w:cs="Arial"/>
          <w:b/>
          <w:color w:val="000000"/>
          <w:sz w:val="28"/>
          <w:szCs w:val="28"/>
        </w:rPr>
        <w:t xml:space="preserve">At Etchells Primary School we aim to;  </w:t>
      </w:r>
    </w:p>
    <w:p w14:paraId="08025B87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 w:cs="Arial"/>
          <w:color w:val="000000"/>
          <w:sz w:val="28"/>
        </w:rPr>
        <w:t xml:space="preserve">Provide a secure environment where all individuals feel a sense of belonging in which there is a </w:t>
      </w:r>
      <w:r w:rsidRPr="00141936">
        <w:rPr>
          <w:rFonts w:asciiTheme="minorHAnsi" w:hAnsiTheme="minorHAnsi"/>
          <w:sz w:val="28"/>
        </w:rPr>
        <w:t>strong focus on high aspirations and on improving outcomes for all our children and young people</w:t>
      </w:r>
    </w:p>
    <w:p w14:paraId="5D7E10B3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 xml:space="preserve">Prepare children for life in a diverse society in which children are able to identify their place and their responsibilities in the local, regional, national </w:t>
      </w:r>
      <w:r w:rsidRPr="00141936">
        <w:rPr>
          <w:rFonts w:asciiTheme="minorHAnsi" w:hAnsiTheme="minorHAnsi"/>
          <w:sz w:val="28"/>
        </w:rPr>
        <w:lastRenderedPageBreak/>
        <w:t xml:space="preserve">and international community, successfully preparing children for the skills needed in adulthood; </w:t>
      </w:r>
    </w:p>
    <w:p w14:paraId="485387E1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 xml:space="preserve">Include and value the contribution of all families to our understanding of equality and diversity with a clear focus on the participation of children and young people and parents in decision-making at individual and strategic levels;  </w:t>
      </w:r>
    </w:p>
    <w:p w14:paraId="4790AF4F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 xml:space="preserve">Provide positive non-stereotyping information about different groups of people regardless of protected characteristics under the law (age, disability, gender, gender identity, race, religion or belief, sexual orientation, gender reassignment and pregnancy/maternity); </w:t>
      </w:r>
    </w:p>
    <w:p w14:paraId="14A24B1C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 xml:space="preserve">Plan systematically to improve our understanding and promotion of diversity; </w:t>
      </w:r>
    </w:p>
    <w:p w14:paraId="312829BE" w14:textId="77777777" w:rsidR="000F1EC4" w:rsidRPr="00141936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 xml:space="preserve">Actively challenge discrimination and disadvantage; </w:t>
      </w:r>
    </w:p>
    <w:p w14:paraId="71F601C6" w14:textId="7DFAB948" w:rsidR="000F1EC4" w:rsidRPr="000F1EC4" w:rsidRDefault="000F1EC4" w:rsidP="000F1E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000000"/>
          <w:sz w:val="28"/>
        </w:rPr>
      </w:pPr>
      <w:r w:rsidRPr="00141936">
        <w:rPr>
          <w:rFonts w:asciiTheme="minorHAnsi" w:hAnsiTheme="minorHAnsi"/>
          <w:sz w:val="28"/>
        </w:rPr>
        <w:t>Make inclusion a thread which runs through all our activities.</w:t>
      </w:r>
    </w:p>
    <w:p w14:paraId="05AEF0B6" w14:textId="77777777" w:rsidR="000F1EC4" w:rsidRDefault="000F1EC4" w:rsidP="000F1EC4">
      <w:pPr>
        <w:rPr>
          <w:b/>
          <w:sz w:val="28"/>
          <w:szCs w:val="28"/>
        </w:rPr>
      </w:pPr>
      <w:r w:rsidRPr="00205683">
        <w:rPr>
          <w:b/>
          <w:sz w:val="28"/>
          <w:szCs w:val="28"/>
        </w:rPr>
        <w:t xml:space="preserve">To achieve these aims we will; </w:t>
      </w:r>
    </w:p>
    <w:p w14:paraId="23551943" w14:textId="77777777" w:rsidR="000F1EC4" w:rsidRPr="00205683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Evaluate the Accessibility policy on an annual basis in collaboration with staff, parents and governors</w:t>
      </w:r>
    </w:p>
    <w:p w14:paraId="12B6DA16" w14:textId="0DA89951" w:rsidR="000F1EC4" w:rsidRPr="00CE2AF4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Monitor and track the progress of every pupil and identify those within vulnerable groups such as EAL, FSM, </w:t>
      </w:r>
      <w:r w:rsidR="00E46AEF">
        <w:rPr>
          <w:sz w:val="28"/>
          <w:szCs w:val="28"/>
        </w:rPr>
        <w:t>CLA</w:t>
      </w:r>
      <w:r>
        <w:rPr>
          <w:sz w:val="28"/>
          <w:szCs w:val="28"/>
        </w:rPr>
        <w:t xml:space="preserve">, gender, race and ability etc. </w:t>
      </w:r>
    </w:p>
    <w:p w14:paraId="0BD9410E" w14:textId="77777777" w:rsidR="000F1EC4" w:rsidRPr="00CE2AF4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Use this data to inform future planning and target setting ensuring no group is subject to disadvantage</w:t>
      </w:r>
    </w:p>
    <w:p w14:paraId="28A17F5E" w14:textId="77777777" w:rsidR="000F1EC4" w:rsidRPr="003C1EEA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Ensure that reasonable adjustments are made to ensure equality of opportunity </w:t>
      </w:r>
    </w:p>
    <w:p w14:paraId="56A00559" w14:textId="77777777" w:rsidR="000F1EC4" w:rsidRPr="003C1EEA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Implement joint planning and commissioning of services to ensure close cooperation between education, health/social care and ethnic diversity services</w:t>
      </w:r>
    </w:p>
    <w:p w14:paraId="40693DA3" w14:textId="39D0B4BD" w:rsidR="000F1EC4" w:rsidRPr="00E46AEF" w:rsidRDefault="000F1EC4" w:rsidP="000F1EC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Apply a graduated approach to identifying and supporting pupils with SEND</w:t>
      </w:r>
    </w:p>
    <w:p w14:paraId="5C94C234" w14:textId="77777777" w:rsidR="00E46AEF" w:rsidRDefault="00E46AEF" w:rsidP="00E46AEF">
      <w:pPr>
        <w:rPr>
          <w:b/>
          <w:sz w:val="28"/>
          <w:szCs w:val="28"/>
        </w:rPr>
      </w:pPr>
    </w:p>
    <w:p w14:paraId="62001D9F" w14:textId="77777777" w:rsidR="00E46AEF" w:rsidRDefault="00E46AEF" w:rsidP="00E46AEF">
      <w:pPr>
        <w:rPr>
          <w:b/>
          <w:sz w:val="28"/>
          <w:szCs w:val="28"/>
        </w:rPr>
      </w:pPr>
    </w:p>
    <w:p w14:paraId="17632887" w14:textId="77777777" w:rsidR="00E46AEF" w:rsidRDefault="00E46AEF" w:rsidP="00E46AEF">
      <w:pPr>
        <w:rPr>
          <w:b/>
          <w:sz w:val="28"/>
          <w:szCs w:val="28"/>
        </w:rPr>
      </w:pPr>
    </w:p>
    <w:p w14:paraId="44434D2D" w14:textId="77777777" w:rsidR="00E46AEF" w:rsidRPr="00E46AEF" w:rsidRDefault="00E46AEF" w:rsidP="00E46AEF">
      <w:pPr>
        <w:rPr>
          <w:b/>
          <w:sz w:val="28"/>
          <w:szCs w:val="28"/>
        </w:rPr>
      </w:pPr>
    </w:p>
    <w:p w14:paraId="49C1C441" w14:textId="33C18B09" w:rsidR="000F1EC4" w:rsidRDefault="000F1EC4" w:rsidP="000F1EC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Roles and Responsibilities</w:t>
      </w:r>
    </w:p>
    <w:p w14:paraId="2992D6D8" w14:textId="1727F241" w:rsidR="000F1EC4" w:rsidRDefault="000F1EC4" w:rsidP="000F1EC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SEN</w:t>
      </w:r>
      <w:r w:rsidR="00E46AEF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CO</w:t>
      </w:r>
    </w:p>
    <w:p w14:paraId="0148DF29" w14:textId="728553F8" w:rsidR="000F1EC4" w:rsidRDefault="000F1EC4" w:rsidP="000F1EC4">
      <w:pPr>
        <w:ind w:left="360"/>
        <w:rPr>
          <w:sz w:val="28"/>
          <w:szCs w:val="28"/>
        </w:rPr>
      </w:pPr>
      <w:r>
        <w:rPr>
          <w:sz w:val="28"/>
          <w:szCs w:val="28"/>
        </w:rPr>
        <w:t>It is the SEN</w:t>
      </w:r>
      <w:r w:rsidR="00E46AEF">
        <w:rPr>
          <w:sz w:val="28"/>
          <w:szCs w:val="28"/>
        </w:rPr>
        <w:t>D</w:t>
      </w:r>
      <w:r>
        <w:rPr>
          <w:sz w:val="28"/>
          <w:szCs w:val="28"/>
        </w:rPr>
        <w:t>CO’s responsibility to:</w:t>
      </w:r>
    </w:p>
    <w:p w14:paraId="63A5CE55" w14:textId="083FF943" w:rsidR="000F1EC4" w:rsidRDefault="000C3AAE" w:rsidP="000F1E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Read, understand and implement the statutory requirements from an EHCP.</w:t>
      </w:r>
    </w:p>
    <w:p w14:paraId="6AE973AF" w14:textId="77777777" w:rsidR="000F1EC4" w:rsidRDefault="000F1EC4" w:rsidP="000F1E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Implement the policy and its strategies and procedures</w:t>
      </w:r>
    </w:p>
    <w:p w14:paraId="1907FFF4" w14:textId="77777777" w:rsidR="000F1EC4" w:rsidRDefault="000F1EC4" w:rsidP="000F1E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Ensure that staff are made aware of appropriate and continuous professional development with regard to disability and inclusion</w:t>
      </w:r>
    </w:p>
    <w:p w14:paraId="62F30563" w14:textId="77777777" w:rsidR="000F1EC4" w:rsidRPr="003C1EEA" w:rsidRDefault="000F1EC4" w:rsidP="000F1E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Ensure that all reasonable adjustments are made to ensure equality of opportunity for all children with SEND</w:t>
      </w:r>
    </w:p>
    <w:p w14:paraId="20228753" w14:textId="77777777" w:rsidR="000F1EC4" w:rsidRDefault="000F1EC4" w:rsidP="000F1EC4">
      <w:pPr>
        <w:rPr>
          <w:b/>
          <w:sz w:val="28"/>
          <w:szCs w:val="28"/>
        </w:rPr>
      </w:pPr>
      <w:r w:rsidRPr="00CE2AF4">
        <w:rPr>
          <w:b/>
          <w:sz w:val="28"/>
          <w:szCs w:val="28"/>
        </w:rPr>
        <w:t>And in partnership with the Senior Leadership Team to:</w:t>
      </w:r>
    </w:p>
    <w:p w14:paraId="67AE4541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CE2AF4">
        <w:rPr>
          <w:sz w:val="28"/>
          <w:szCs w:val="28"/>
        </w:rPr>
        <w:t>ontribute to the SLT in monitoring high quality support for all, inclu</w:t>
      </w:r>
      <w:r>
        <w:rPr>
          <w:sz w:val="28"/>
          <w:szCs w:val="28"/>
        </w:rPr>
        <w:t>ding SSE and appraisal systems;</w:t>
      </w:r>
    </w:p>
    <w:p w14:paraId="23A3C11B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CE2AF4">
        <w:rPr>
          <w:sz w:val="28"/>
          <w:szCs w:val="28"/>
        </w:rPr>
        <w:t xml:space="preserve">ctively challenge and take appropriate action in any cases of discriminatory practice; </w:t>
      </w:r>
    </w:p>
    <w:p w14:paraId="5C33F143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CE2AF4">
        <w:rPr>
          <w:sz w:val="28"/>
          <w:szCs w:val="28"/>
        </w:rPr>
        <w:t xml:space="preserve">ddress any reported incidents of harassment or bullying in line with LA guidance; </w:t>
      </w:r>
    </w:p>
    <w:p w14:paraId="4FBB89FB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CE2AF4">
        <w:rPr>
          <w:sz w:val="28"/>
          <w:szCs w:val="28"/>
        </w:rPr>
        <w:t xml:space="preserve">nsure that all visitors and contractors are aware of, and comply with, the school’s equality and diversity policy; </w:t>
      </w:r>
    </w:p>
    <w:p w14:paraId="68A93893" w14:textId="77777777" w:rsidR="000F1EC4" w:rsidRDefault="000F1EC4" w:rsidP="000F1EC4">
      <w:pPr>
        <w:pStyle w:val="ListParagraph"/>
        <w:rPr>
          <w:sz w:val="28"/>
          <w:szCs w:val="28"/>
        </w:rPr>
      </w:pPr>
    </w:p>
    <w:p w14:paraId="3EEC49CD" w14:textId="77777777" w:rsidR="000F1EC4" w:rsidRDefault="000F1EC4" w:rsidP="000F1EC4">
      <w:pPr>
        <w:pStyle w:val="ListParagraph"/>
        <w:rPr>
          <w:sz w:val="28"/>
          <w:szCs w:val="28"/>
        </w:rPr>
      </w:pPr>
      <w:r w:rsidRPr="009857FF">
        <w:rPr>
          <w:b/>
          <w:sz w:val="28"/>
          <w:szCs w:val="28"/>
        </w:rPr>
        <w:t>All Staff</w:t>
      </w:r>
      <w:r w:rsidRPr="00CE2AF4">
        <w:rPr>
          <w:sz w:val="28"/>
          <w:szCs w:val="28"/>
        </w:rPr>
        <w:t xml:space="preserve"> </w:t>
      </w:r>
    </w:p>
    <w:p w14:paraId="09D8149E" w14:textId="77777777" w:rsidR="000F1EC4" w:rsidRDefault="000F1EC4" w:rsidP="000F1EC4">
      <w:pPr>
        <w:pStyle w:val="ListParagraph"/>
        <w:rPr>
          <w:sz w:val="28"/>
          <w:szCs w:val="28"/>
        </w:rPr>
      </w:pPr>
    </w:p>
    <w:p w14:paraId="419BAE64" w14:textId="77777777" w:rsidR="000F1EC4" w:rsidRDefault="000F1EC4" w:rsidP="000F1EC4">
      <w:pPr>
        <w:pStyle w:val="ListParagraph"/>
        <w:rPr>
          <w:sz w:val="28"/>
          <w:szCs w:val="28"/>
        </w:rPr>
      </w:pPr>
      <w:r w:rsidRPr="00CE2AF4">
        <w:rPr>
          <w:sz w:val="28"/>
          <w:szCs w:val="28"/>
        </w:rPr>
        <w:t xml:space="preserve">It is the responsibility of all staff to: </w:t>
      </w:r>
    </w:p>
    <w:p w14:paraId="0C7E06A0" w14:textId="77777777" w:rsidR="000F1EC4" w:rsidRDefault="000F1EC4" w:rsidP="000F1EC4">
      <w:pPr>
        <w:pStyle w:val="ListParagraph"/>
        <w:rPr>
          <w:sz w:val="28"/>
          <w:szCs w:val="28"/>
        </w:rPr>
      </w:pPr>
    </w:p>
    <w:p w14:paraId="59D0E8DD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CE2AF4">
        <w:rPr>
          <w:sz w:val="28"/>
          <w:szCs w:val="28"/>
        </w:rPr>
        <w:t>e vigilant in all areas of the school for any t</w:t>
      </w:r>
      <w:r>
        <w:rPr>
          <w:sz w:val="28"/>
          <w:szCs w:val="28"/>
        </w:rPr>
        <w:t>ype of harassment and bullying;</w:t>
      </w:r>
    </w:p>
    <w:p w14:paraId="3E823DBA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CE2AF4">
        <w:rPr>
          <w:sz w:val="28"/>
          <w:szCs w:val="28"/>
        </w:rPr>
        <w:t xml:space="preserve">ddress effectively all incidents from overt name-calling to the more subtle forms of victimisation caused by perceived differences; </w:t>
      </w:r>
    </w:p>
    <w:p w14:paraId="2586E170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Pr="00CE2AF4">
        <w:rPr>
          <w:sz w:val="28"/>
          <w:szCs w:val="28"/>
        </w:rPr>
        <w:t xml:space="preserve">dentify and challenge bias and stereotyping within the curriculum and in the school’s culture; </w:t>
      </w:r>
    </w:p>
    <w:p w14:paraId="4283497F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CE2AF4">
        <w:rPr>
          <w:sz w:val="28"/>
          <w:szCs w:val="28"/>
        </w:rPr>
        <w:t xml:space="preserve">romote equality and good relations and not discriminate on grounds of any protected characteristics; </w:t>
      </w:r>
    </w:p>
    <w:p w14:paraId="41A775BD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CE2AF4">
        <w:rPr>
          <w:sz w:val="28"/>
          <w:szCs w:val="28"/>
        </w:rPr>
        <w:t>romote an inclusive curriculum and whole school ethos which reflects our diverse society</w:t>
      </w:r>
    </w:p>
    <w:p w14:paraId="505C9D04" w14:textId="77777777" w:rsidR="000F1EC4" w:rsidRDefault="000F1EC4" w:rsidP="000F1EC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</w:t>
      </w:r>
      <w:r w:rsidRPr="003C1EEA">
        <w:rPr>
          <w:sz w:val="28"/>
          <w:szCs w:val="28"/>
        </w:rPr>
        <w:t>eep up to date with equality legislation, development and issues by attending relevant training and accessing information from appropriate sources.</w:t>
      </w:r>
    </w:p>
    <w:p w14:paraId="08AD466E" w14:textId="0BC2303F" w:rsidR="000F1EC4" w:rsidRPr="000F1EC4" w:rsidRDefault="000F1EC4" w:rsidP="000F1EC4">
      <w:pPr>
        <w:rPr>
          <w:b/>
          <w:sz w:val="28"/>
          <w:szCs w:val="28"/>
        </w:rPr>
      </w:pPr>
      <w:r w:rsidRPr="003C1EEA">
        <w:rPr>
          <w:b/>
          <w:sz w:val="28"/>
          <w:szCs w:val="28"/>
        </w:rPr>
        <w:t>The Governing Body</w:t>
      </w:r>
    </w:p>
    <w:p w14:paraId="43935F05" w14:textId="07F98DD1" w:rsidR="000F1EC4" w:rsidRDefault="000F1EC4" w:rsidP="000F1EC4">
      <w:r>
        <w:t xml:space="preserve"> </w:t>
      </w:r>
      <w:r w:rsidRPr="003C1EEA">
        <w:rPr>
          <w:sz w:val="28"/>
          <w:szCs w:val="28"/>
        </w:rPr>
        <w:t>It is the Governing Body’s responsibility to:</w:t>
      </w:r>
      <w:r>
        <w:t xml:space="preserve"> </w:t>
      </w:r>
    </w:p>
    <w:p w14:paraId="07B1152B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Ensure that the school complies with equality legislation; </w:t>
      </w:r>
    </w:p>
    <w:p w14:paraId="2F85B7A3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Meet requirements to publish measurable equality objectives; </w:t>
      </w:r>
    </w:p>
    <w:p w14:paraId="37E2B7B7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Ensure that the school’s policy and its procedures and strategies are carried out and monitored with appropriate impact assessments informing future plans; </w:t>
      </w:r>
    </w:p>
    <w:p w14:paraId="0FAEB69C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Scrutinise the recording and reporting procedures at least annually; </w:t>
      </w:r>
    </w:p>
    <w:p w14:paraId="3CA02AF4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>Follow the LA’s admissions policy, which is fair and equitable in its treatment of all groups;</w:t>
      </w:r>
    </w:p>
    <w:p w14:paraId="679CB9E4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Monitor attendance and take appropriate action where necessary; </w:t>
      </w:r>
    </w:p>
    <w:p w14:paraId="02944536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Have equal opportunities in staff recruitment and professional development and membership of the Governing Body; </w:t>
      </w:r>
    </w:p>
    <w:p w14:paraId="0D2FD2E1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Provide information in appropriate, accessible formats; </w:t>
      </w:r>
    </w:p>
    <w:p w14:paraId="7EB9C64C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 xml:space="preserve">Be involved in dealing with serious breaches of the policy; </w:t>
      </w:r>
    </w:p>
    <w:p w14:paraId="37F94A29" w14:textId="77777777" w:rsidR="000F1EC4" w:rsidRPr="00ED3E97" w:rsidRDefault="000F1EC4" w:rsidP="000F1EC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D3E97">
        <w:rPr>
          <w:sz w:val="28"/>
          <w:szCs w:val="28"/>
        </w:rPr>
        <w:t>Be pro-active in recruiting high-quality applicants from under-represented groups.</w:t>
      </w:r>
    </w:p>
    <w:p w14:paraId="719EDB7C" w14:textId="77777777" w:rsidR="000F1EC4" w:rsidRPr="00ED3E97" w:rsidRDefault="000F1EC4" w:rsidP="000F1EC4">
      <w:pPr>
        <w:rPr>
          <w:b/>
          <w:sz w:val="28"/>
          <w:szCs w:val="28"/>
        </w:rPr>
      </w:pPr>
    </w:p>
    <w:p w14:paraId="76572705" w14:textId="77777777" w:rsidR="000F1EC4" w:rsidRPr="00ED3E97" w:rsidRDefault="000F1EC4" w:rsidP="000F1EC4">
      <w:pPr>
        <w:rPr>
          <w:b/>
          <w:sz w:val="28"/>
          <w:szCs w:val="28"/>
        </w:rPr>
      </w:pPr>
      <w:r w:rsidRPr="00ED3E97">
        <w:rPr>
          <w:b/>
          <w:sz w:val="28"/>
          <w:szCs w:val="28"/>
        </w:rPr>
        <w:t xml:space="preserve">Breaches of the Policy </w:t>
      </w:r>
    </w:p>
    <w:p w14:paraId="0880D824" w14:textId="77777777" w:rsidR="000F1EC4" w:rsidRPr="00ED3E97" w:rsidRDefault="000F1EC4" w:rsidP="000F1EC4">
      <w:pPr>
        <w:rPr>
          <w:sz w:val="28"/>
          <w:szCs w:val="28"/>
        </w:rPr>
      </w:pPr>
      <w:r w:rsidRPr="00ED3E97">
        <w:rPr>
          <w:sz w:val="28"/>
          <w:szCs w:val="28"/>
        </w:rPr>
        <w:t>All breaches of the policy will be rigorously followed up using the appropriate procedures and reported to the Governing Body and LA as required.</w:t>
      </w:r>
    </w:p>
    <w:p w14:paraId="51F09127" w14:textId="77777777" w:rsidR="000F1EC4" w:rsidRPr="00141936" w:rsidRDefault="000F1EC4" w:rsidP="000F1EC4">
      <w:pPr>
        <w:rPr>
          <w:sz w:val="36"/>
          <w:szCs w:val="32"/>
        </w:rPr>
      </w:pPr>
    </w:p>
    <w:p w14:paraId="7D5BAC2C" w14:textId="77777777" w:rsidR="000F1EC4" w:rsidRDefault="000F1EC4" w:rsidP="001468A9"/>
    <w:p w14:paraId="76006E87" w14:textId="77777777" w:rsidR="000F1EC4" w:rsidRDefault="000F1EC4" w:rsidP="001468A9"/>
    <w:p w14:paraId="3A1D87C9" w14:textId="77777777" w:rsidR="000F1EC4" w:rsidRDefault="000F1EC4" w:rsidP="001468A9"/>
    <w:p w14:paraId="00518DA9" w14:textId="77777777" w:rsidR="000F1EC4" w:rsidRDefault="000F1EC4" w:rsidP="001468A9"/>
    <w:sectPr w:rsidR="000F1EC4" w:rsidSect="00AF1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0CF8" w14:textId="77777777" w:rsidR="00C15757" w:rsidRDefault="00C15757" w:rsidP="00296785">
      <w:pPr>
        <w:spacing w:after="0" w:line="240" w:lineRule="auto"/>
      </w:pPr>
      <w:r>
        <w:separator/>
      </w:r>
    </w:p>
  </w:endnote>
  <w:endnote w:type="continuationSeparator" w:id="0">
    <w:p w14:paraId="040A7FAE" w14:textId="77777777" w:rsidR="00C15757" w:rsidRDefault="00C15757" w:rsidP="0029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7C2C" w14:textId="77777777" w:rsidR="00000F6A" w:rsidRDefault="00000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7D7D" w14:textId="77777777" w:rsidR="00296785" w:rsidRDefault="00000000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54214575"/>
        <w:placeholder>
          <w:docPart w:val="CF12C4AFC93B4091B2C266A1705ACB3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96785">
          <w:rPr>
            <w:color w:val="000000" w:themeColor="text1"/>
            <w:sz w:val="24"/>
            <w:szCs w:val="24"/>
          </w:rPr>
          <w:t>Etchells Primary School</w:t>
        </w:r>
      </w:sdtContent>
    </w:sdt>
  </w:p>
  <w:p w14:paraId="51F70451" w14:textId="77777777" w:rsidR="00296785" w:rsidRDefault="0029678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CC2BA" wp14:editId="2BF7199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38A612" w14:textId="77777777" w:rsidR="00296785" w:rsidRDefault="00296785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CC2B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6CDIg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" filled="f" stroked="f" strokeweight=".5pt">
              <v:textbox style="mso-fit-shape-to-text:t">
                <w:txbxContent>
                  <w:p w14:paraId="2E38A612" w14:textId="77777777" w:rsidR="00296785" w:rsidRDefault="00296785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19C616F" wp14:editId="2752BB0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5C1E0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&#13;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EE44" w14:textId="77777777" w:rsidR="00296785" w:rsidRDefault="00000000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-964192355"/>
        <w:placeholder>
          <w:docPart w:val="CF192D2328BF4C7C98E3E175B04E7CC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96785">
          <w:rPr>
            <w:color w:val="000000" w:themeColor="text1"/>
            <w:sz w:val="24"/>
            <w:szCs w:val="24"/>
          </w:rPr>
          <w:t>Etchells Primary School</w:t>
        </w:r>
      </w:sdtContent>
    </w:sdt>
  </w:p>
  <w:p w14:paraId="00879347" w14:textId="77777777" w:rsidR="00296785" w:rsidRDefault="0029678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DE2EB3" wp14:editId="05B2481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72455B" w14:textId="77777777" w:rsidR="00296785" w:rsidRDefault="00296785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E2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e9WIQ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" filled="f" stroked="f" strokeweight=".5pt">
              <v:textbox style="mso-fit-shape-to-text:t">
                <w:txbxContent>
                  <w:p w14:paraId="3372455B" w14:textId="77777777" w:rsidR="00296785" w:rsidRDefault="00296785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23857E7E" wp14:editId="53526836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6AE93" id="Rectangle 3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&#13;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BDAD" w14:textId="77777777" w:rsidR="00C15757" w:rsidRDefault="00C15757" w:rsidP="00296785">
      <w:pPr>
        <w:spacing w:after="0" w:line="240" w:lineRule="auto"/>
      </w:pPr>
      <w:r>
        <w:separator/>
      </w:r>
    </w:p>
  </w:footnote>
  <w:footnote w:type="continuationSeparator" w:id="0">
    <w:p w14:paraId="2CD22FB7" w14:textId="77777777" w:rsidR="00C15757" w:rsidRDefault="00C15757" w:rsidP="0029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065" w14:textId="77777777" w:rsidR="00000F6A" w:rsidRDefault="00000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A6B" w14:textId="37494D31" w:rsidR="00FD7769" w:rsidRDefault="00FD7769" w:rsidP="00000F6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2D7D59" wp14:editId="5610384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3E6536EE" w14:textId="77777777" w:rsidR="00FD7769" w:rsidRDefault="00FD7769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1468A9" w:rsidRPr="001468A9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7D59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6" type="#_x0000_t202" style="position:absolute;left:0;text-align:left;margin-left:20.8pt;margin-top:0;width:1in;height:13.45pt;z-index:25166540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" o:allowincell="f" fillcolor="#4f81bd [3204]" stroked="f">
              <v:textbox style="mso-fit-shape-to-text:t" inset=",0,,0">
                <w:txbxContent>
                  <w:p w14:paraId="3E6536EE" w14:textId="77777777" w:rsidR="00FD7769" w:rsidRDefault="00FD7769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1468A9" w:rsidRPr="001468A9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00F6A">
      <w:t xml:space="preserve">Accessibility Policy.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6CA1" w14:textId="77777777" w:rsidR="00000F6A" w:rsidRDefault="00000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A36"/>
    <w:multiLevelType w:val="hybridMultilevel"/>
    <w:tmpl w:val="DDF0F41E"/>
    <w:lvl w:ilvl="0" w:tplc="2C843B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480"/>
    <w:multiLevelType w:val="hybridMultilevel"/>
    <w:tmpl w:val="9D904580"/>
    <w:lvl w:ilvl="0" w:tplc="2C843B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5656"/>
    <w:multiLevelType w:val="hybridMultilevel"/>
    <w:tmpl w:val="C9869F24"/>
    <w:lvl w:ilvl="0" w:tplc="2C843B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0E98"/>
    <w:multiLevelType w:val="hybridMultilevel"/>
    <w:tmpl w:val="2F508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81A37"/>
    <w:multiLevelType w:val="hybridMultilevel"/>
    <w:tmpl w:val="365E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F7697"/>
    <w:multiLevelType w:val="hybridMultilevel"/>
    <w:tmpl w:val="B5BA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26317"/>
    <w:multiLevelType w:val="hybridMultilevel"/>
    <w:tmpl w:val="23BA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E02B1"/>
    <w:multiLevelType w:val="hybridMultilevel"/>
    <w:tmpl w:val="EB0CBFA6"/>
    <w:lvl w:ilvl="0" w:tplc="2C843BA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3405"/>
    <w:multiLevelType w:val="hybridMultilevel"/>
    <w:tmpl w:val="D81E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488"/>
    <w:multiLevelType w:val="hybridMultilevel"/>
    <w:tmpl w:val="0A2A5842"/>
    <w:lvl w:ilvl="0" w:tplc="2C843BA6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B57CAB"/>
    <w:multiLevelType w:val="hybridMultilevel"/>
    <w:tmpl w:val="E998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576A0"/>
    <w:multiLevelType w:val="hybridMultilevel"/>
    <w:tmpl w:val="6EF4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61718">
    <w:abstractNumId w:val="1"/>
  </w:num>
  <w:num w:numId="2" w16cid:durableId="1976718303">
    <w:abstractNumId w:val="7"/>
  </w:num>
  <w:num w:numId="3" w16cid:durableId="987635233">
    <w:abstractNumId w:val="9"/>
  </w:num>
  <w:num w:numId="4" w16cid:durableId="1865941106">
    <w:abstractNumId w:val="0"/>
  </w:num>
  <w:num w:numId="5" w16cid:durableId="1205872226">
    <w:abstractNumId w:val="2"/>
  </w:num>
  <w:num w:numId="6" w16cid:durableId="877356907">
    <w:abstractNumId w:val="5"/>
  </w:num>
  <w:num w:numId="7" w16cid:durableId="680009379">
    <w:abstractNumId w:val="4"/>
  </w:num>
  <w:num w:numId="8" w16cid:durableId="1374387624">
    <w:abstractNumId w:val="11"/>
  </w:num>
  <w:num w:numId="9" w16cid:durableId="444813948">
    <w:abstractNumId w:val="10"/>
  </w:num>
  <w:num w:numId="10" w16cid:durableId="1720590536">
    <w:abstractNumId w:val="3"/>
  </w:num>
  <w:num w:numId="11" w16cid:durableId="528880899">
    <w:abstractNumId w:val="6"/>
  </w:num>
  <w:num w:numId="12" w16cid:durableId="44573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2B"/>
    <w:rsid w:val="00000F6A"/>
    <w:rsid w:val="000C3AAE"/>
    <w:rsid w:val="000F1EC4"/>
    <w:rsid w:val="0014154C"/>
    <w:rsid w:val="001468A9"/>
    <w:rsid w:val="00163F24"/>
    <w:rsid w:val="001B1125"/>
    <w:rsid w:val="00291245"/>
    <w:rsid w:val="00296785"/>
    <w:rsid w:val="0040382E"/>
    <w:rsid w:val="0047594A"/>
    <w:rsid w:val="004A4F45"/>
    <w:rsid w:val="004B04F6"/>
    <w:rsid w:val="0057422B"/>
    <w:rsid w:val="0059309C"/>
    <w:rsid w:val="00772C46"/>
    <w:rsid w:val="008902AD"/>
    <w:rsid w:val="00960D10"/>
    <w:rsid w:val="0096563A"/>
    <w:rsid w:val="009B6B05"/>
    <w:rsid w:val="00A537D3"/>
    <w:rsid w:val="00AF1DDE"/>
    <w:rsid w:val="00B80C1F"/>
    <w:rsid w:val="00BC2627"/>
    <w:rsid w:val="00C15757"/>
    <w:rsid w:val="00C37D2C"/>
    <w:rsid w:val="00DA0361"/>
    <w:rsid w:val="00E46AEF"/>
    <w:rsid w:val="00F10453"/>
    <w:rsid w:val="00FD7769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F77D"/>
  <w15:docId w15:val="{A2BA8C36-9C8B-9748-8372-5D2647F3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7422B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7422B"/>
    <w:rPr>
      <w:rFonts w:ascii="Arial" w:eastAsia="Times New Roman" w:hAnsi="Arial" w:cs="Arial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85"/>
  </w:style>
  <w:style w:type="paragraph" w:styleId="Footer">
    <w:name w:val="footer"/>
    <w:basedOn w:val="Normal"/>
    <w:link w:val="FooterChar"/>
    <w:uiPriority w:val="99"/>
    <w:unhideWhenUsed/>
    <w:rsid w:val="0029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85"/>
  </w:style>
  <w:style w:type="paragraph" w:customStyle="1" w:styleId="538552DCBB0F4C4BB087ED922D6A6322">
    <w:name w:val="538552DCBB0F4C4BB087ED922D6A6322"/>
    <w:rsid w:val="00296785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FF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EC4"/>
    <w:pPr>
      <w:spacing w:line="240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2C4AFC93B4091B2C266A1705A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79E9-9891-4F7D-9BA2-4DC5F403ECC0}"/>
      </w:docPartPr>
      <w:docPartBody>
        <w:p w:rsidR="006A3686" w:rsidRDefault="003C63B4" w:rsidP="003C63B4">
          <w:pPr>
            <w:pStyle w:val="CF12C4AFC93B4091B2C266A1705ACB31"/>
          </w:pPr>
          <w:r>
            <w:t>[Type the author name]</w:t>
          </w:r>
        </w:p>
      </w:docPartBody>
    </w:docPart>
    <w:docPart>
      <w:docPartPr>
        <w:name w:val="CF192D2328BF4C7C98E3E175B04E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96EF-7A95-451D-95B3-893761573C2F}"/>
      </w:docPartPr>
      <w:docPartBody>
        <w:p w:rsidR="006A3686" w:rsidRDefault="003C63B4" w:rsidP="003C63B4">
          <w:pPr>
            <w:pStyle w:val="CF192D2328BF4C7C98E3E175B04E7CC9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B4"/>
    <w:rsid w:val="000B64A0"/>
    <w:rsid w:val="00291245"/>
    <w:rsid w:val="003A2DAB"/>
    <w:rsid w:val="003C63B4"/>
    <w:rsid w:val="004C5730"/>
    <w:rsid w:val="006A3686"/>
    <w:rsid w:val="00750CE9"/>
    <w:rsid w:val="008902AD"/>
    <w:rsid w:val="008A7492"/>
    <w:rsid w:val="00DA0361"/>
    <w:rsid w:val="00EB0ED8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12C4AFC93B4091B2C266A1705ACB31">
    <w:name w:val="CF12C4AFC93B4091B2C266A1705ACB31"/>
    <w:rsid w:val="003C63B4"/>
  </w:style>
  <w:style w:type="paragraph" w:customStyle="1" w:styleId="CF192D2328BF4C7C98E3E175B04E7CC9">
    <w:name w:val="CF192D2328BF4C7C98E3E175B04E7CC9"/>
    <w:rsid w:val="003C6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Policy</vt:lpstr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Policy</dc:title>
  <dc:creator>Etchells Primary School</dc:creator>
  <cp:lastModifiedBy>PCope</cp:lastModifiedBy>
  <cp:revision>7</cp:revision>
  <dcterms:created xsi:type="dcterms:W3CDTF">2025-10-06T06:35:00Z</dcterms:created>
  <dcterms:modified xsi:type="dcterms:W3CDTF">2025-10-07T08:18:00Z</dcterms:modified>
</cp:coreProperties>
</file>