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7D283" w14:textId="2ABC9968" w:rsidR="00DD1A2C" w:rsidRPr="003B605D" w:rsidRDefault="008B731E">
      <w:pPr>
        <w:rPr>
          <w:rFonts w:cstheme="minorHAnsi"/>
          <w:sz w:val="24"/>
          <w:szCs w:val="24"/>
        </w:rPr>
      </w:pPr>
      <w:r w:rsidRPr="003B605D">
        <w:rPr>
          <w:rFonts w:cstheme="minorHAnsi"/>
          <w:sz w:val="24"/>
          <w:szCs w:val="24"/>
        </w:rPr>
        <w:t>Dear Parent/Carer</w:t>
      </w:r>
    </w:p>
    <w:p w14:paraId="6982CB71" w14:textId="2B8FF3AB" w:rsidR="008B731E" w:rsidRPr="00D80551" w:rsidRDefault="008B731E">
      <w:pPr>
        <w:rPr>
          <w:rFonts w:cstheme="minorHAnsi"/>
          <w:b/>
          <w:bCs/>
          <w:sz w:val="24"/>
          <w:szCs w:val="24"/>
        </w:rPr>
      </w:pPr>
      <w:r w:rsidRPr="00D80551">
        <w:rPr>
          <w:rFonts w:cstheme="minorHAnsi"/>
          <w:b/>
          <w:bCs/>
          <w:sz w:val="24"/>
          <w:szCs w:val="24"/>
        </w:rPr>
        <w:t xml:space="preserve">National Framework for Penalty Notices for School Attendance </w:t>
      </w:r>
    </w:p>
    <w:p w14:paraId="7B058D51" w14:textId="5948F128" w:rsidR="003B605D" w:rsidRPr="003B605D" w:rsidRDefault="008B731E" w:rsidP="003B605D">
      <w:p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A new </w:t>
      </w:r>
      <w:r w:rsidRPr="008B731E">
        <w:rPr>
          <w:rFonts w:eastAsia="Arial" w:cstheme="minorHAnsi"/>
          <w:color w:val="000000"/>
          <w:sz w:val="24"/>
          <w:szCs w:val="24"/>
          <w:lang w:eastAsia="en-GB"/>
        </w:rPr>
        <w:t xml:space="preserve">National Framework for Penalty Notices for </w:t>
      </w: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>S</w:t>
      </w:r>
      <w:r w:rsidRPr="008B731E">
        <w:rPr>
          <w:rFonts w:eastAsia="Arial" w:cstheme="minorHAnsi"/>
          <w:color w:val="000000"/>
          <w:sz w:val="24"/>
          <w:szCs w:val="24"/>
          <w:lang w:eastAsia="en-GB"/>
        </w:rPr>
        <w:t xml:space="preserve">chool </w:t>
      </w: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>A</w:t>
      </w:r>
      <w:r w:rsidRPr="008B731E">
        <w:rPr>
          <w:rFonts w:eastAsia="Arial" w:cstheme="minorHAnsi"/>
          <w:color w:val="000000"/>
          <w:sz w:val="24"/>
          <w:szCs w:val="24"/>
          <w:lang w:eastAsia="en-GB"/>
        </w:rPr>
        <w:t xml:space="preserve">bsence </w:t>
      </w: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>will come into e</w:t>
      </w:r>
      <w:r w:rsidRPr="008B731E">
        <w:rPr>
          <w:rFonts w:eastAsia="Arial" w:cstheme="minorHAnsi"/>
          <w:color w:val="000000"/>
          <w:sz w:val="24"/>
          <w:szCs w:val="24"/>
          <w:lang w:eastAsia="en-GB"/>
        </w:rPr>
        <w:t xml:space="preserve">ffect from the </w:t>
      </w:r>
      <w:proofErr w:type="gramStart"/>
      <w:r w:rsidRPr="008B731E">
        <w:rPr>
          <w:rFonts w:eastAsia="Arial" w:cstheme="minorHAnsi"/>
          <w:color w:val="000000"/>
          <w:sz w:val="24"/>
          <w:szCs w:val="24"/>
          <w:lang w:eastAsia="en-GB"/>
        </w:rPr>
        <w:t>19</w:t>
      </w:r>
      <w:r w:rsidRPr="008B731E">
        <w:rPr>
          <w:rFonts w:eastAsia="Arial" w:cstheme="minorHAnsi"/>
          <w:color w:val="000000"/>
          <w:sz w:val="24"/>
          <w:szCs w:val="24"/>
          <w:vertAlign w:val="superscript"/>
          <w:lang w:eastAsia="en-GB"/>
        </w:rPr>
        <w:t>th</w:t>
      </w:r>
      <w:proofErr w:type="gramEnd"/>
      <w:r w:rsidRPr="008B731E">
        <w:rPr>
          <w:rFonts w:eastAsia="Arial" w:cstheme="minorHAnsi"/>
          <w:color w:val="000000"/>
          <w:sz w:val="24"/>
          <w:szCs w:val="24"/>
          <w:lang w:eastAsia="en-GB"/>
        </w:rPr>
        <w:t xml:space="preserve"> August 2024</w:t>
      </w: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>.</w:t>
      </w:r>
      <w:r w:rsidR="005D7CB6"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  </w:t>
      </w:r>
      <w:r w:rsidR="003B605D"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A penalty notice is an out of court settlement which is intended to </w:t>
      </w:r>
      <w:r w:rsidR="00480BB9">
        <w:rPr>
          <w:rFonts w:eastAsia="Arial" w:cstheme="minorHAnsi"/>
          <w:color w:val="000000"/>
          <w:sz w:val="24"/>
          <w:szCs w:val="24"/>
          <w:lang w:eastAsia="en-GB"/>
        </w:rPr>
        <w:t xml:space="preserve">cause </w:t>
      </w:r>
      <w:r w:rsidR="003B605D"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improved attendance without the need for a criminal prosecution. </w:t>
      </w:r>
    </w:p>
    <w:p w14:paraId="1F0B5A62" w14:textId="77777777" w:rsidR="003B605D" w:rsidRPr="003B605D" w:rsidRDefault="003B605D" w:rsidP="003B605D">
      <w:p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</w:p>
    <w:p w14:paraId="2126D2EF" w14:textId="4CA1B197" w:rsidR="005D7CB6" w:rsidRPr="003B605D" w:rsidRDefault="005D7CB6" w:rsidP="005D7CB6">
      <w:pPr>
        <w:spacing w:after="3" w:line="265" w:lineRule="auto"/>
        <w:rPr>
          <w:rFonts w:eastAsia="Arial" w:cstheme="minorHAnsi"/>
          <w:bCs/>
          <w:color w:val="000000"/>
          <w:sz w:val="24"/>
          <w:szCs w:val="24"/>
          <w:lang w:eastAsia="en-GB"/>
        </w:rPr>
      </w:pPr>
      <w:r w:rsidRPr="005D7CB6">
        <w:rPr>
          <w:rFonts w:eastAsia="Arial" w:cstheme="minorHAnsi"/>
          <w:bCs/>
          <w:color w:val="000000"/>
          <w:sz w:val="24"/>
          <w:szCs w:val="24"/>
          <w:lang w:eastAsia="en-GB"/>
        </w:rPr>
        <w:t xml:space="preserve">The National Framework aims to:  </w:t>
      </w:r>
    </w:p>
    <w:p w14:paraId="5C731BF6" w14:textId="77777777" w:rsidR="005D7CB6" w:rsidRPr="005D7CB6" w:rsidRDefault="005D7CB6" w:rsidP="005D7CB6">
      <w:pPr>
        <w:spacing w:after="3" w:line="265" w:lineRule="auto"/>
        <w:rPr>
          <w:rFonts w:eastAsia="Arial" w:cstheme="minorHAnsi"/>
          <w:bCs/>
          <w:color w:val="000000"/>
          <w:sz w:val="24"/>
          <w:szCs w:val="24"/>
          <w:lang w:eastAsia="en-GB"/>
        </w:rPr>
      </w:pPr>
    </w:p>
    <w:p w14:paraId="6976DDCF" w14:textId="605598ED" w:rsidR="005D7CB6" w:rsidRPr="002D234B" w:rsidRDefault="005D7CB6" w:rsidP="002D234B">
      <w:pPr>
        <w:pStyle w:val="ListParagraph"/>
        <w:numPr>
          <w:ilvl w:val="0"/>
          <w:numId w:val="15"/>
        </w:num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2D234B">
        <w:rPr>
          <w:rFonts w:eastAsia="Arial" w:cstheme="minorHAnsi"/>
          <w:b/>
          <w:color w:val="000000"/>
          <w:sz w:val="24"/>
          <w:szCs w:val="24"/>
          <w:lang w:eastAsia="en-GB"/>
        </w:rPr>
        <w:t>Make penalty notices more effective</w:t>
      </w: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 by ensuring they are only used in cases where they are the most appropriate tool.  </w:t>
      </w:r>
    </w:p>
    <w:p w14:paraId="102836E1" w14:textId="4E44765B" w:rsidR="005D7CB6" w:rsidRPr="002D234B" w:rsidRDefault="005D7CB6" w:rsidP="002D234B">
      <w:pPr>
        <w:pStyle w:val="ListParagraph"/>
        <w:numPr>
          <w:ilvl w:val="0"/>
          <w:numId w:val="15"/>
        </w:numPr>
        <w:spacing w:after="27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2D234B"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Prioritise the support first approach </w:t>
      </w: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by expecting support to be used in cases where it is appropriate.    </w:t>
      </w:r>
    </w:p>
    <w:p w14:paraId="71CDFFB2" w14:textId="77777777" w:rsidR="005D7CB6" w:rsidRPr="002D234B" w:rsidRDefault="005D7CB6" w:rsidP="002D234B">
      <w:pPr>
        <w:pStyle w:val="ListParagraph"/>
        <w:numPr>
          <w:ilvl w:val="0"/>
          <w:numId w:val="15"/>
        </w:num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2D234B"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Improve consistency in the use of penalty notices across England </w:t>
      </w: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by introducing a new national threshold at which they are considered.  </w:t>
      </w:r>
    </w:p>
    <w:p w14:paraId="06D74515" w14:textId="1605EF44" w:rsidR="005D7CB6" w:rsidRPr="002D234B" w:rsidRDefault="005D7CB6" w:rsidP="002D234B">
      <w:pPr>
        <w:pStyle w:val="ListParagraph"/>
        <w:numPr>
          <w:ilvl w:val="0"/>
          <w:numId w:val="15"/>
        </w:num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2D234B">
        <w:rPr>
          <w:rFonts w:eastAsia="Arial" w:cstheme="minorHAnsi"/>
          <w:b/>
          <w:color w:val="000000"/>
          <w:sz w:val="24"/>
          <w:szCs w:val="24"/>
          <w:lang w:eastAsia="en-GB"/>
        </w:rPr>
        <w:t xml:space="preserve">Improve the deterrent effect of a penalty notice </w:t>
      </w: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by increasing the amount and introducing a new national limit of 2 penalty notices within a </w:t>
      </w:r>
      <w:proofErr w:type="gramStart"/>
      <w:r w:rsidRPr="002D234B">
        <w:rPr>
          <w:rFonts w:eastAsia="Arial" w:cstheme="minorHAnsi"/>
          <w:color w:val="000000"/>
          <w:sz w:val="24"/>
          <w:szCs w:val="24"/>
          <w:lang w:eastAsia="en-GB"/>
        </w:rPr>
        <w:t>3 year</w:t>
      </w:r>
      <w:proofErr w:type="gramEnd"/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 period</w:t>
      </w:r>
      <w:r w:rsidR="00C71D48">
        <w:rPr>
          <w:rFonts w:eastAsia="Arial" w:cstheme="minorHAnsi"/>
          <w:color w:val="000000"/>
          <w:sz w:val="24"/>
          <w:szCs w:val="24"/>
          <w:lang w:eastAsia="en-GB"/>
        </w:rPr>
        <w:t>.</w:t>
      </w: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  </w:t>
      </w:r>
    </w:p>
    <w:p w14:paraId="2414F7B7" w14:textId="77777777" w:rsidR="003B605D" w:rsidRPr="005D7CB6" w:rsidRDefault="003B605D" w:rsidP="002D234B">
      <w:pPr>
        <w:spacing w:after="3" w:line="265" w:lineRule="auto"/>
        <w:ind w:left="1081"/>
        <w:rPr>
          <w:rFonts w:eastAsia="Arial" w:cstheme="minorHAnsi"/>
          <w:color w:val="000000"/>
          <w:sz w:val="24"/>
          <w:szCs w:val="24"/>
          <w:lang w:eastAsia="en-GB"/>
        </w:rPr>
      </w:pPr>
    </w:p>
    <w:p w14:paraId="50DC4787" w14:textId="0AF06B7F" w:rsidR="008B731E" w:rsidRPr="003B605D" w:rsidRDefault="005D7CB6" w:rsidP="008B731E">
      <w:p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>The National Framework includes</w:t>
      </w:r>
      <w:r w:rsidR="00E2541C">
        <w:rPr>
          <w:rFonts w:eastAsia="Arial" w:cstheme="minorHAnsi"/>
          <w:color w:val="000000"/>
          <w:sz w:val="24"/>
          <w:szCs w:val="24"/>
          <w:lang w:eastAsia="en-GB"/>
        </w:rPr>
        <w:t>:</w:t>
      </w: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 </w:t>
      </w:r>
    </w:p>
    <w:p w14:paraId="061A5F17" w14:textId="77777777" w:rsidR="00F13114" w:rsidRPr="003B605D" w:rsidRDefault="00F13114" w:rsidP="008B731E">
      <w:p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</w:p>
    <w:p w14:paraId="483B8DE1" w14:textId="69B808CF" w:rsidR="003B605D" w:rsidRPr="00480BB9" w:rsidRDefault="00F13114" w:rsidP="002D234B">
      <w:pPr>
        <w:pStyle w:val="ListParagraph"/>
        <w:numPr>
          <w:ilvl w:val="0"/>
          <w:numId w:val="6"/>
        </w:num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A single consistent national threshold for when a penalty notice must be considered of 10 sessions (usually equivalent to 5 school days) of unauthorised absence within a rolling 10 school week period. </w:t>
      </w:r>
      <w:r w:rsidR="006C1787" w:rsidRPr="00480BB9">
        <w:rPr>
          <w:sz w:val="24"/>
          <w:szCs w:val="24"/>
        </w:rPr>
        <w:t>The three-year period begins from the date of the first penalty notice issued on or after 19 August 2024.</w:t>
      </w:r>
    </w:p>
    <w:p w14:paraId="571DF000" w14:textId="77777777" w:rsidR="002D234B" w:rsidRPr="00480BB9" w:rsidRDefault="002D234B" w:rsidP="002D234B">
      <w:pPr>
        <w:pStyle w:val="ListParagraph"/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</w:p>
    <w:p w14:paraId="2F550BB3" w14:textId="32A36A9F" w:rsidR="00F13114" w:rsidRPr="002D234B" w:rsidRDefault="00480BB9" w:rsidP="002D234B">
      <w:pPr>
        <w:pStyle w:val="ListParagraph"/>
        <w:numPr>
          <w:ilvl w:val="0"/>
          <w:numId w:val="6"/>
        </w:numPr>
        <w:spacing w:after="3" w:line="265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B605D" w:rsidRPr="002D234B">
        <w:rPr>
          <w:rFonts w:cstheme="minorHAnsi"/>
          <w:sz w:val="24"/>
          <w:szCs w:val="24"/>
        </w:rPr>
        <w:t xml:space="preserve">nauthorised absence sessions can be consecutive (e.g. 10 sessions of holiday in one week) or </w:t>
      </w:r>
      <w:r>
        <w:rPr>
          <w:rFonts w:cstheme="minorHAnsi"/>
          <w:sz w:val="24"/>
          <w:szCs w:val="24"/>
        </w:rPr>
        <w:t>sporadic</w:t>
      </w:r>
      <w:r w:rsidR="003B605D" w:rsidRPr="002D234B">
        <w:rPr>
          <w:rFonts w:cstheme="minorHAnsi"/>
          <w:sz w:val="24"/>
          <w:szCs w:val="24"/>
        </w:rPr>
        <w:t xml:space="preserve"> (e.g. 6 sessions of unauthorised absence in 1 week and 1 per week for the next 4 weeks).  The </w:t>
      </w:r>
      <w:proofErr w:type="gramStart"/>
      <w:r w:rsidR="003B605D" w:rsidRPr="002D234B">
        <w:rPr>
          <w:rFonts w:cstheme="minorHAnsi"/>
          <w:sz w:val="24"/>
          <w:szCs w:val="24"/>
        </w:rPr>
        <w:t>10 school</w:t>
      </w:r>
      <w:proofErr w:type="gramEnd"/>
      <w:r w:rsidR="003B605D" w:rsidRPr="002D234B">
        <w:rPr>
          <w:rFonts w:cstheme="minorHAnsi"/>
          <w:sz w:val="24"/>
          <w:szCs w:val="24"/>
        </w:rPr>
        <w:t xml:space="preserve"> week period may span different terms or school years</w:t>
      </w:r>
      <w:r>
        <w:rPr>
          <w:rFonts w:cstheme="minorHAnsi"/>
          <w:sz w:val="24"/>
          <w:szCs w:val="24"/>
        </w:rPr>
        <w:t>.</w:t>
      </w:r>
      <w:r w:rsidR="003B605D" w:rsidRPr="002D234B">
        <w:rPr>
          <w:rFonts w:cstheme="minorHAnsi"/>
          <w:sz w:val="24"/>
          <w:szCs w:val="24"/>
        </w:rPr>
        <w:t xml:space="preserve"> </w:t>
      </w:r>
    </w:p>
    <w:p w14:paraId="36D26944" w14:textId="77777777" w:rsidR="003B605D" w:rsidRPr="003B605D" w:rsidRDefault="003B605D" w:rsidP="003B605D">
      <w:pPr>
        <w:spacing w:after="0" w:line="267" w:lineRule="auto"/>
        <w:rPr>
          <w:rFonts w:cstheme="minorHAnsi"/>
          <w:sz w:val="24"/>
          <w:szCs w:val="24"/>
        </w:rPr>
      </w:pPr>
    </w:p>
    <w:p w14:paraId="3DD20ABC" w14:textId="77777777" w:rsidR="00F13114" w:rsidRPr="002D234B" w:rsidRDefault="00F13114" w:rsidP="002D234B">
      <w:pPr>
        <w:pStyle w:val="ListParagraph"/>
        <w:numPr>
          <w:ilvl w:val="0"/>
          <w:numId w:val="6"/>
        </w:numPr>
        <w:spacing w:after="27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The option of using a ‘Notice to Improve’ where support is appropriate to provide a final opportunity to engage with support to prevent a penalty notice being issued.  </w:t>
      </w:r>
    </w:p>
    <w:p w14:paraId="1882F142" w14:textId="411BCE6E" w:rsidR="00F13114" w:rsidRPr="00F13114" w:rsidRDefault="00F13114" w:rsidP="00F13114">
      <w:pPr>
        <w:spacing w:after="0"/>
        <w:ind w:left="720"/>
        <w:rPr>
          <w:rFonts w:eastAsia="Arial" w:cstheme="minorHAnsi"/>
          <w:color w:val="000000"/>
          <w:sz w:val="24"/>
          <w:szCs w:val="24"/>
          <w:lang w:eastAsia="en-GB"/>
        </w:rPr>
      </w:pPr>
    </w:p>
    <w:p w14:paraId="2F9F12E1" w14:textId="77777777" w:rsidR="00F13114" w:rsidRPr="002D234B" w:rsidRDefault="00F13114" w:rsidP="002D234B">
      <w:pPr>
        <w:pStyle w:val="ListParagraph"/>
        <w:numPr>
          <w:ilvl w:val="0"/>
          <w:numId w:val="6"/>
        </w:numPr>
        <w:spacing w:after="27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The first penalty notice issued to the parent for that pupil will be charged at £160 if paid within 28 days reducing to £80 if paid within 21 days. (this is less than an inflationary rise since 2013) </w:t>
      </w:r>
    </w:p>
    <w:p w14:paraId="0A619AD0" w14:textId="77777777" w:rsidR="00F13114" w:rsidRPr="00F13114" w:rsidRDefault="00F13114" w:rsidP="00F13114">
      <w:pPr>
        <w:spacing w:after="0"/>
        <w:ind w:left="721"/>
        <w:rPr>
          <w:rFonts w:eastAsia="Arial" w:cstheme="minorHAnsi"/>
          <w:color w:val="000000"/>
          <w:sz w:val="24"/>
          <w:szCs w:val="24"/>
          <w:lang w:eastAsia="en-GB"/>
        </w:rPr>
      </w:pPr>
      <w:r w:rsidRPr="00F13114">
        <w:rPr>
          <w:rFonts w:eastAsia="Arial" w:cstheme="minorHAnsi"/>
          <w:color w:val="000000"/>
          <w:sz w:val="24"/>
          <w:szCs w:val="24"/>
          <w:lang w:eastAsia="en-GB"/>
        </w:rPr>
        <w:t xml:space="preserve"> </w:t>
      </w:r>
    </w:p>
    <w:p w14:paraId="5D7CC20D" w14:textId="77777777" w:rsidR="00F13114" w:rsidRPr="002D234B" w:rsidRDefault="00F13114" w:rsidP="002D234B">
      <w:pPr>
        <w:pStyle w:val="ListParagraph"/>
        <w:numPr>
          <w:ilvl w:val="0"/>
          <w:numId w:val="6"/>
        </w:num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2D234B">
        <w:rPr>
          <w:rFonts w:eastAsia="Arial" w:cstheme="minorHAnsi"/>
          <w:color w:val="000000"/>
          <w:sz w:val="24"/>
          <w:szCs w:val="24"/>
          <w:lang w:eastAsia="en-GB"/>
        </w:rPr>
        <w:t xml:space="preserve">Where it is deemed appropriate to issue a second penalty notice to the same parent for the same pupil within 3 years of the first notice, the second notice is charged at a flat rate of £160 if paid within 28 days.  </w:t>
      </w:r>
    </w:p>
    <w:p w14:paraId="162D582C" w14:textId="3578AF10" w:rsidR="00F13114" w:rsidRPr="00F13114" w:rsidRDefault="00F13114" w:rsidP="002D234B">
      <w:pPr>
        <w:spacing w:after="0"/>
        <w:ind w:left="721" w:firstLine="60"/>
        <w:rPr>
          <w:rFonts w:eastAsia="Arial" w:cstheme="minorHAnsi"/>
          <w:color w:val="000000"/>
          <w:sz w:val="24"/>
          <w:szCs w:val="24"/>
          <w:lang w:eastAsia="en-GB"/>
        </w:rPr>
      </w:pPr>
    </w:p>
    <w:p w14:paraId="649C5597" w14:textId="19F902E8" w:rsidR="00F13114" w:rsidRPr="006C1787" w:rsidRDefault="00F13114" w:rsidP="002D234B">
      <w:pPr>
        <w:pStyle w:val="ListParagraph"/>
        <w:numPr>
          <w:ilvl w:val="0"/>
          <w:numId w:val="6"/>
        </w:num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6C1787">
        <w:rPr>
          <w:rFonts w:eastAsia="Arial" w:cstheme="minorHAnsi"/>
          <w:color w:val="000000"/>
          <w:sz w:val="24"/>
          <w:szCs w:val="24"/>
          <w:lang w:eastAsia="en-GB"/>
        </w:rPr>
        <w:lastRenderedPageBreak/>
        <w:t xml:space="preserve">A third penalty notice must not be issued within a </w:t>
      </w:r>
      <w:proofErr w:type="gramStart"/>
      <w:r w:rsidRPr="006C1787">
        <w:rPr>
          <w:rFonts w:eastAsia="Arial" w:cstheme="minorHAnsi"/>
          <w:color w:val="000000"/>
          <w:sz w:val="24"/>
          <w:szCs w:val="24"/>
          <w:lang w:eastAsia="en-GB"/>
        </w:rPr>
        <w:t>3 year</w:t>
      </w:r>
      <w:proofErr w:type="gramEnd"/>
      <w:r w:rsidRPr="006C1787">
        <w:rPr>
          <w:rFonts w:eastAsia="Arial" w:cstheme="minorHAnsi"/>
          <w:color w:val="000000"/>
          <w:sz w:val="24"/>
          <w:szCs w:val="24"/>
          <w:lang w:eastAsia="en-GB"/>
        </w:rPr>
        <w:t xml:space="preserve"> period. Therefore, in cases where the threshold is met for a third (or subsequent) times within those 3 years, a penalty notice cannot be </w:t>
      </w:r>
      <w:proofErr w:type="gramStart"/>
      <w:r w:rsidRPr="006C1787">
        <w:rPr>
          <w:rFonts w:eastAsia="Arial" w:cstheme="minorHAnsi"/>
          <w:color w:val="000000"/>
          <w:sz w:val="24"/>
          <w:szCs w:val="24"/>
          <w:lang w:eastAsia="en-GB"/>
        </w:rPr>
        <w:t>issued</w:t>
      </w:r>
      <w:proofErr w:type="gramEnd"/>
      <w:r w:rsidRPr="006C1787">
        <w:rPr>
          <w:rFonts w:eastAsia="Arial" w:cstheme="minorHAnsi"/>
          <w:color w:val="000000"/>
          <w:sz w:val="24"/>
          <w:szCs w:val="24"/>
          <w:lang w:eastAsia="en-GB"/>
        </w:rPr>
        <w:t xml:space="preserve"> and alternative action should be taken instead. This will often include considering </w:t>
      </w:r>
      <w:proofErr w:type="gramStart"/>
      <w:r w:rsidRPr="006C1787">
        <w:rPr>
          <w:rFonts w:eastAsia="Arial" w:cstheme="minorHAnsi"/>
          <w:color w:val="000000"/>
          <w:sz w:val="24"/>
          <w:szCs w:val="24"/>
          <w:lang w:eastAsia="en-GB"/>
        </w:rPr>
        <w:t>prosecution, but</w:t>
      </w:r>
      <w:proofErr w:type="gramEnd"/>
      <w:r w:rsidRPr="006C1787">
        <w:rPr>
          <w:rFonts w:eastAsia="Arial" w:cstheme="minorHAnsi"/>
          <w:color w:val="000000"/>
          <w:sz w:val="24"/>
          <w:szCs w:val="24"/>
          <w:lang w:eastAsia="en-GB"/>
        </w:rPr>
        <w:t xml:space="preserve"> may include other tools such as one of the other attendance legal interventions. </w:t>
      </w:r>
    </w:p>
    <w:p w14:paraId="36CB63DB" w14:textId="14673F46" w:rsidR="00BC2180" w:rsidRPr="006C1787" w:rsidRDefault="00BC2180" w:rsidP="00BC2180">
      <w:pPr>
        <w:spacing w:after="0"/>
        <w:ind w:left="721"/>
        <w:rPr>
          <w:rFonts w:cstheme="minorHAnsi"/>
          <w:sz w:val="24"/>
          <w:szCs w:val="24"/>
        </w:rPr>
      </w:pPr>
    </w:p>
    <w:p w14:paraId="739F16F4" w14:textId="77777777" w:rsidR="00585BC5" w:rsidRDefault="003B605D" w:rsidP="00585BC5">
      <w:p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The penalty notice system is not a </w:t>
      </w:r>
      <w:proofErr w:type="gramStart"/>
      <w:r w:rsidRPr="003B605D">
        <w:rPr>
          <w:rFonts w:eastAsia="Arial" w:cstheme="minorHAnsi"/>
          <w:color w:val="000000"/>
          <w:sz w:val="24"/>
          <w:szCs w:val="24"/>
          <w:lang w:eastAsia="en-GB"/>
        </w:rPr>
        <w:t>money making</w:t>
      </w:r>
      <w:proofErr w:type="gramEnd"/>
      <w:r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 scheme and local authorities </w:t>
      </w:r>
      <w:r w:rsidR="00E2541C" w:rsidRPr="006C1787">
        <w:rPr>
          <w:rFonts w:eastAsia="Arial" w:cstheme="minorHAnsi"/>
          <w:color w:val="000000"/>
          <w:sz w:val="24"/>
          <w:szCs w:val="24"/>
          <w:lang w:eastAsia="en-GB"/>
        </w:rPr>
        <w:t xml:space="preserve">do </w:t>
      </w:r>
      <w:r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not have income targets. </w:t>
      </w:r>
      <w:r w:rsidR="00E2541C" w:rsidRPr="006C1787">
        <w:rPr>
          <w:rFonts w:eastAsia="Arial" w:cstheme="minorHAnsi"/>
          <w:color w:val="000000"/>
          <w:sz w:val="24"/>
          <w:szCs w:val="24"/>
          <w:lang w:eastAsia="en-GB"/>
        </w:rPr>
        <w:t xml:space="preserve">Monies should be first used for </w:t>
      </w:r>
      <w:r w:rsidR="006C1787" w:rsidRPr="006C1787">
        <w:rPr>
          <w:rFonts w:eastAsia="Arial" w:cstheme="minorHAnsi"/>
          <w:color w:val="000000"/>
          <w:sz w:val="24"/>
          <w:szCs w:val="24"/>
          <w:lang w:eastAsia="en-GB"/>
        </w:rPr>
        <w:t xml:space="preserve">the </w:t>
      </w:r>
      <w:r w:rsidR="00E2541C" w:rsidRPr="006C1787">
        <w:rPr>
          <w:rFonts w:eastAsia="Arial" w:cstheme="minorHAnsi"/>
          <w:color w:val="000000"/>
          <w:sz w:val="24"/>
          <w:szCs w:val="24"/>
          <w:lang w:eastAsia="en-GB"/>
        </w:rPr>
        <w:t>administration of the penalty notice system and prosecution</w:t>
      </w:r>
      <w:r w:rsidR="00D80551" w:rsidRPr="006C1787">
        <w:rPr>
          <w:rFonts w:eastAsia="Arial" w:cstheme="minorHAnsi"/>
          <w:color w:val="000000"/>
          <w:sz w:val="24"/>
          <w:szCs w:val="24"/>
          <w:lang w:eastAsia="en-GB"/>
        </w:rPr>
        <w:t xml:space="preserve">. </w:t>
      </w:r>
      <w:r w:rsidR="00D80551" w:rsidRPr="003B605D">
        <w:rPr>
          <w:rFonts w:eastAsia="Arial" w:cstheme="minorHAnsi"/>
          <w:color w:val="000000"/>
          <w:sz w:val="24"/>
          <w:szCs w:val="24"/>
          <w:lang w:eastAsia="en-GB"/>
        </w:rPr>
        <w:t xml:space="preserve">Any revenues collected through the system must be ring fenced for </w:t>
      </w:r>
      <w:r w:rsidR="00D80551" w:rsidRPr="006C1787">
        <w:rPr>
          <w:rFonts w:eastAsia="Arial" w:cstheme="minorHAnsi"/>
          <w:color w:val="000000"/>
          <w:sz w:val="24"/>
          <w:szCs w:val="24"/>
          <w:lang w:eastAsia="en-GB"/>
        </w:rPr>
        <w:t>attendance and a</w:t>
      </w:r>
      <w:r w:rsidR="00E2541C" w:rsidRPr="006C1787">
        <w:rPr>
          <w:rFonts w:eastAsia="Arial" w:cstheme="minorHAnsi"/>
          <w:color w:val="000000"/>
          <w:sz w:val="24"/>
          <w:szCs w:val="24"/>
          <w:lang w:eastAsia="en-GB"/>
        </w:rPr>
        <w:t xml:space="preserve">ny surplus must be paid to the Secretary of State. </w:t>
      </w:r>
    </w:p>
    <w:p w14:paraId="7BC910D1" w14:textId="77777777" w:rsidR="00585BC5" w:rsidRDefault="00585BC5" w:rsidP="00585BC5">
      <w:p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</w:p>
    <w:p w14:paraId="5C1DD94D" w14:textId="394088B3" w:rsidR="00B2448E" w:rsidRPr="00585BC5" w:rsidRDefault="00B2448E" w:rsidP="00585BC5">
      <w:pPr>
        <w:spacing w:after="3" w:line="265" w:lineRule="auto"/>
        <w:rPr>
          <w:rFonts w:cstheme="minorHAnsi"/>
          <w:color w:val="0B0C0C"/>
          <w:sz w:val="24"/>
          <w:szCs w:val="24"/>
        </w:rPr>
      </w:pPr>
      <w:r w:rsidRPr="00585BC5">
        <w:rPr>
          <w:rFonts w:cstheme="minorHAnsi"/>
          <w:color w:val="0B0C0C"/>
          <w:sz w:val="24"/>
          <w:szCs w:val="24"/>
        </w:rPr>
        <w:t>If you’re having trouble getting your child to go to school, the school will discuss attendance problems with you and should agree a plan with you to improve your child’s attendance.</w:t>
      </w:r>
    </w:p>
    <w:p w14:paraId="34BA0B65" w14:textId="1B853A24" w:rsidR="00B2448E" w:rsidRPr="00585BC5" w:rsidRDefault="00B2448E" w:rsidP="00585BC5">
      <w:pPr>
        <w:pStyle w:val="NormalWeb"/>
        <w:shd w:val="clear" w:color="auto" w:fill="FFFFFF"/>
        <w:spacing w:before="0" w:beforeAutospacing="0" w:after="300" w:afterAutospacing="0"/>
        <w:rPr>
          <w:rFonts w:asciiTheme="minorHAnsi" w:eastAsia="Arial" w:hAnsiTheme="minorHAnsi" w:cstheme="minorHAnsi"/>
          <w:color w:val="000000"/>
        </w:rPr>
      </w:pPr>
      <w:r w:rsidRPr="00585BC5">
        <w:rPr>
          <w:rFonts w:asciiTheme="minorHAnsi" w:hAnsiTheme="minorHAnsi" w:cstheme="minorHAnsi"/>
          <w:color w:val="0B0C0C"/>
        </w:rPr>
        <w:t xml:space="preserve">The Council offers </w:t>
      </w:r>
      <w:r w:rsidR="006C1787" w:rsidRPr="00585BC5">
        <w:rPr>
          <w:rFonts w:asciiTheme="minorHAnsi" w:eastAsia="Arial" w:hAnsiTheme="minorHAnsi" w:cstheme="minorHAnsi"/>
          <w:color w:val="000000"/>
        </w:rPr>
        <w:t xml:space="preserve">support through </w:t>
      </w:r>
      <w:r w:rsidRPr="00585BC5">
        <w:rPr>
          <w:rFonts w:asciiTheme="minorHAnsi" w:eastAsia="Arial" w:hAnsiTheme="minorHAnsi" w:cstheme="minorHAnsi"/>
          <w:color w:val="000000"/>
        </w:rPr>
        <w:t>Team around the Family (TAF) and Live Well</w:t>
      </w:r>
      <w:r w:rsidR="00585BC5">
        <w:rPr>
          <w:rFonts w:asciiTheme="minorHAnsi" w:eastAsia="Arial" w:hAnsiTheme="minorHAnsi" w:cstheme="minorHAnsi"/>
          <w:color w:val="000000"/>
        </w:rPr>
        <w:t>.</w:t>
      </w:r>
    </w:p>
    <w:p w14:paraId="0F24F642" w14:textId="7D5ABFB9" w:rsidR="00B2448E" w:rsidRPr="00585BC5" w:rsidRDefault="00BA1F2B" w:rsidP="00E2541C">
      <w:pPr>
        <w:spacing w:after="3" w:line="265" w:lineRule="auto"/>
        <w:rPr>
          <w:rFonts w:eastAsia="Arial" w:cstheme="minorHAnsi"/>
          <w:color w:val="000000"/>
          <w:sz w:val="24"/>
          <w:szCs w:val="24"/>
          <w:lang w:eastAsia="en-GB"/>
        </w:rPr>
      </w:pPr>
      <w:hyperlink r:id="rId7" w:history="1">
        <w:r w:rsidR="00B2448E" w:rsidRPr="00585BC5">
          <w:rPr>
            <w:rStyle w:val="Hyperlink"/>
            <w:rFonts w:cstheme="minorHAnsi"/>
            <w:sz w:val="24"/>
            <w:szCs w:val="24"/>
          </w:rPr>
          <w:t>Home | Live Well Cheshire West (cheshirewestandchester.gov.uk)</w:t>
        </w:r>
      </w:hyperlink>
    </w:p>
    <w:sectPr w:rsidR="00B2448E" w:rsidRPr="00585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24681" w14:textId="77777777" w:rsidR="005D7CB6" w:rsidRDefault="005D7CB6" w:rsidP="005D7CB6">
      <w:pPr>
        <w:spacing w:after="0" w:line="240" w:lineRule="auto"/>
      </w:pPr>
      <w:r>
        <w:separator/>
      </w:r>
    </w:p>
  </w:endnote>
  <w:endnote w:type="continuationSeparator" w:id="0">
    <w:p w14:paraId="30455485" w14:textId="77777777" w:rsidR="005D7CB6" w:rsidRDefault="005D7CB6" w:rsidP="005D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4F00" w14:textId="77777777" w:rsidR="005D7CB6" w:rsidRDefault="005D7CB6" w:rsidP="005D7CB6">
      <w:pPr>
        <w:spacing w:after="0" w:line="240" w:lineRule="auto"/>
      </w:pPr>
      <w:r>
        <w:separator/>
      </w:r>
    </w:p>
  </w:footnote>
  <w:footnote w:type="continuationSeparator" w:id="0">
    <w:p w14:paraId="0363A7AD" w14:textId="77777777" w:rsidR="005D7CB6" w:rsidRDefault="005D7CB6" w:rsidP="005D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617E"/>
    <w:multiLevelType w:val="hybridMultilevel"/>
    <w:tmpl w:val="B5C82E1C"/>
    <w:lvl w:ilvl="0" w:tplc="50E4B850">
      <w:start w:val="42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0ED0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8B3A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2A2492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2D1C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36FE7A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04C8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90E61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A68F6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24208"/>
    <w:multiLevelType w:val="hybridMultilevel"/>
    <w:tmpl w:val="7E78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C0915"/>
    <w:multiLevelType w:val="hybridMultilevel"/>
    <w:tmpl w:val="57A85EEE"/>
    <w:lvl w:ilvl="0" w:tplc="115A2C42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B94"/>
    <w:multiLevelType w:val="hybridMultilevel"/>
    <w:tmpl w:val="A6327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C2D26"/>
    <w:multiLevelType w:val="hybridMultilevel"/>
    <w:tmpl w:val="3008F44A"/>
    <w:lvl w:ilvl="0" w:tplc="FFFFFFFF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F51C8"/>
    <w:multiLevelType w:val="hybridMultilevel"/>
    <w:tmpl w:val="41609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35E53"/>
    <w:multiLevelType w:val="hybridMultilevel"/>
    <w:tmpl w:val="E16EF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B06"/>
    <w:multiLevelType w:val="hybridMultilevel"/>
    <w:tmpl w:val="C566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80691"/>
    <w:multiLevelType w:val="hybridMultilevel"/>
    <w:tmpl w:val="114CF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1F91"/>
    <w:multiLevelType w:val="hybridMultilevel"/>
    <w:tmpl w:val="4B84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04424"/>
    <w:multiLevelType w:val="hybridMultilevel"/>
    <w:tmpl w:val="A9C6A7D6"/>
    <w:lvl w:ilvl="0" w:tplc="115A2C42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C6D87"/>
    <w:multiLevelType w:val="hybridMultilevel"/>
    <w:tmpl w:val="3008F44A"/>
    <w:lvl w:ilvl="0" w:tplc="751E933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0951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AD654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5A2C42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CF64C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2496A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9CF6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8D3BC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E9532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CD5D58"/>
    <w:multiLevelType w:val="hybridMultilevel"/>
    <w:tmpl w:val="A99412CC"/>
    <w:lvl w:ilvl="0" w:tplc="898C614E">
      <w:start w:val="5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6ECAE">
      <w:start w:val="1"/>
      <w:numFmt w:val="lowerLetter"/>
      <w:lvlText w:val="%2)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4E242">
      <w:start w:val="1"/>
      <w:numFmt w:val="lowerRoman"/>
      <w:lvlText w:val="%3."/>
      <w:lvlJc w:val="left"/>
      <w:pPr>
        <w:ind w:left="1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8F4C4">
      <w:start w:val="1"/>
      <w:numFmt w:val="decimal"/>
      <w:lvlText w:val="%4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B0713E">
      <w:start w:val="1"/>
      <w:numFmt w:val="lowerLetter"/>
      <w:lvlText w:val="%5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62138">
      <w:start w:val="1"/>
      <w:numFmt w:val="lowerRoman"/>
      <w:lvlText w:val="%6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DC3130">
      <w:start w:val="1"/>
      <w:numFmt w:val="decimal"/>
      <w:lvlText w:val="%7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3618AE">
      <w:start w:val="1"/>
      <w:numFmt w:val="lowerLetter"/>
      <w:lvlText w:val="%8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B26318">
      <w:start w:val="1"/>
      <w:numFmt w:val="lowerRoman"/>
      <w:lvlText w:val="%9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955714"/>
    <w:multiLevelType w:val="hybridMultilevel"/>
    <w:tmpl w:val="E024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D0A4E"/>
    <w:multiLevelType w:val="hybridMultilevel"/>
    <w:tmpl w:val="FDE611D6"/>
    <w:lvl w:ilvl="0" w:tplc="C2DAA550">
      <w:start w:val="24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614B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8C0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5ADE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F860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FC45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82F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2BE5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C2B9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0669221">
    <w:abstractNumId w:val="11"/>
  </w:num>
  <w:num w:numId="2" w16cid:durableId="319581591">
    <w:abstractNumId w:val="12"/>
  </w:num>
  <w:num w:numId="3" w16cid:durableId="928584561">
    <w:abstractNumId w:val="14"/>
  </w:num>
  <w:num w:numId="4" w16cid:durableId="1494680816">
    <w:abstractNumId w:val="4"/>
  </w:num>
  <w:num w:numId="5" w16cid:durableId="80303125">
    <w:abstractNumId w:val="0"/>
  </w:num>
  <w:num w:numId="6" w16cid:durableId="1335766248">
    <w:abstractNumId w:val="1"/>
  </w:num>
  <w:num w:numId="7" w16cid:durableId="176627448">
    <w:abstractNumId w:val="8"/>
  </w:num>
  <w:num w:numId="8" w16cid:durableId="1836413519">
    <w:abstractNumId w:val="3"/>
  </w:num>
  <w:num w:numId="9" w16cid:durableId="1021735554">
    <w:abstractNumId w:val="7"/>
  </w:num>
  <w:num w:numId="10" w16cid:durableId="131407304">
    <w:abstractNumId w:val="6"/>
  </w:num>
  <w:num w:numId="11" w16cid:durableId="1694186687">
    <w:abstractNumId w:val="5"/>
  </w:num>
  <w:num w:numId="12" w16cid:durableId="1943294522">
    <w:abstractNumId w:val="9"/>
  </w:num>
  <w:num w:numId="13" w16cid:durableId="1399016673">
    <w:abstractNumId w:val="2"/>
  </w:num>
  <w:num w:numId="14" w16cid:durableId="1623421954">
    <w:abstractNumId w:val="10"/>
  </w:num>
  <w:num w:numId="15" w16cid:durableId="1664895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1E"/>
    <w:rsid w:val="002D234B"/>
    <w:rsid w:val="003B605D"/>
    <w:rsid w:val="00480BB9"/>
    <w:rsid w:val="00585BC5"/>
    <w:rsid w:val="005D7CB6"/>
    <w:rsid w:val="006C1787"/>
    <w:rsid w:val="00746FBA"/>
    <w:rsid w:val="008B60CA"/>
    <w:rsid w:val="008B731E"/>
    <w:rsid w:val="009423B5"/>
    <w:rsid w:val="00B2448E"/>
    <w:rsid w:val="00BA1F2B"/>
    <w:rsid w:val="00BC2180"/>
    <w:rsid w:val="00C71D48"/>
    <w:rsid w:val="00D000B3"/>
    <w:rsid w:val="00D80551"/>
    <w:rsid w:val="00DD1A2C"/>
    <w:rsid w:val="00E2541C"/>
    <w:rsid w:val="00F1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9E44"/>
  <w15:chartTrackingRefBased/>
  <w15:docId w15:val="{1C08677D-761A-4D54-819E-762CC298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5D7CB6"/>
    <w:pPr>
      <w:spacing w:after="0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5D7CB6"/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mark">
    <w:name w:val="footnote mark"/>
    <w:hidden/>
    <w:rsid w:val="005D7CB6"/>
    <w:rPr>
      <w:rFonts w:ascii="Arial" w:eastAsia="Arial" w:hAnsi="Arial" w:cs="Arial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3B60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44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well.cheshirewestandchester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BRAGGER, Morag</dc:creator>
  <cp:keywords/>
  <dc:description/>
  <cp:lastModifiedBy>Davenham Primary Admin</cp:lastModifiedBy>
  <cp:revision>2</cp:revision>
  <dcterms:created xsi:type="dcterms:W3CDTF">2024-06-21T11:51:00Z</dcterms:created>
  <dcterms:modified xsi:type="dcterms:W3CDTF">2024-06-21T11:51:00Z</dcterms:modified>
</cp:coreProperties>
</file>