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CE6C69" w14:textId="77777777" w:rsidR="006C0052" w:rsidRDefault="003C47E1">
      <w:pPr>
        <w:pStyle w:val="Title"/>
        <w:jc w:val="center"/>
      </w:pPr>
      <w:r>
        <w:t>Early Years Foundation Stage Policy</w:t>
      </w:r>
    </w:p>
    <w:p w14:paraId="7C21B176" w14:textId="77777777" w:rsidR="006C0052" w:rsidRDefault="003C47E1">
      <w:pPr>
        <w:pStyle w:val="Subtitle"/>
        <w:jc w:val="center"/>
      </w:pPr>
      <w:r>
        <w:t>Irlam Primary School - 2026-27</w:t>
      </w:r>
    </w:p>
    <w:p w14:paraId="33A1FA59" w14:textId="77777777" w:rsidR="006C0052" w:rsidRDefault="003C47E1">
      <w:pPr>
        <w:pStyle w:val="Subtitle"/>
        <w:jc w:val="center"/>
      </w:pPr>
      <w:r>
        <w:t>Respect • Achieve • Aspire</w:t>
      </w:r>
    </w:p>
    <w:p w14:paraId="680DF32F" w14:textId="77777777" w:rsidR="006C0052" w:rsidRDefault="006C0052"/>
    <w:tbl>
      <w:tblPr>
        <w:tblW w:w="0" w:type="auto"/>
        <w:jc w:val="center"/>
        <w:tblLayout w:type="fixed"/>
        <w:tblLook w:val="04A0" w:firstRow="1" w:lastRow="0" w:firstColumn="1" w:lastColumn="0" w:noHBand="0" w:noVBand="1"/>
      </w:tblPr>
      <w:tblGrid>
        <w:gridCol w:w="2268"/>
        <w:gridCol w:w="6917"/>
      </w:tblGrid>
      <w:tr w:rsidR="006C0052" w14:paraId="16CAFDFC" w14:textId="77777777">
        <w:trPr>
          <w:tblHeader/>
          <w:jc w:val="center"/>
        </w:trPr>
        <w:tc>
          <w:tcPr>
            <w:tcW w:w="2268" w:type="dxa"/>
            <w:tcBorders>
              <w:top w:val="single" w:sz="5" w:space="0" w:color="B4C6E7"/>
              <w:left w:val="single" w:sz="5" w:space="0" w:color="B4C6E7"/>
              <w:bottom w:val="single" w:sz="5" w:space="0" w:color="B4C6E7"/>
              <w:right w:val="single" w:sz="5" w:space="0" w:color="B4C6E7"/>
            </w:tcBorders>
            <w:shd w:val="clear" w:color="auto" w:fill="0F4761"/>
            <w:tcMar>
              <w:top w:w="70" w:type="dxa"/>
              <w:left w:w="90" w:type="dxa"/>
              <w:bottom w:w="70" w:type="dxa"/>
              <w:right w:w="90" w:type="dxa"/>
            </w:tcMar>
          </w:tcPr>
          <w:p w14:paraId="7A373D85" w14:textId="77777777" w:rsidR="006C0052" w:rsidRDefault="003C47E1">
            <w:r>
              <w:rPr>
                <w:b/>
                <w:color w:val="FFFFFF"/>
              </w:rPr>
              <w:t>Policy lead</w:t>
            </w:r>
          </w:p>
        </w:tc>
        <w:tc>
          <w:tcPr>
            <w:tcW w:w="691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tcPr>
          <w:p w14:paraId="3440034A" w14:textId="77777777" w:rsidR="006C0052" w:rsidRDefault="003C47E1">
            <w:r>
              <w:t>EYFS Lead</w:t>
            </w:r>
          </w:p>
        </w:tc>
      </w:tr>
      <w:tr w:rsidR="006C0052" w14:paraId="42E72FDB" w14:textId="77777777">
        <w:trPr>
          <w:jc w:val="center"/>
        </w:trPr>
        <w:tc>
          <w:tcPr>
            <w:tcW w:w="2268" w:type="dxa"/>
            <w:tcBorders>
              <w:top w:val="single" w:sz="5" w:space="0" w:color="B4C6E7"/>
              <w:left w:val="single" w:sz="5" w:space="0" w:color="B4C6E7"/>
              <w:bottom w:val="single" w:sz="5" w:space="0" w:color="B4C6E7"/>
              <w:right w:val="single" w:sz="5" w:space="0" w:color="B4C6E7"/>
            </w:tcBorders>
            <w:shd w:val="clear" w:color="auto" w:fill="0F4761"/>
            <w:tcMar>
              <w:top w:w="70" w:type="dxa"/>
              <w:left w:w="90" w:type="dxa"/>
              <w:bottom w:w="70" w:type="dxa"/>
              <w:right w:w="90" w:type="dxa"/>
            </w:tcMar>
          </w:tcPr>
          <w:p w14:paraId="047E66B2" w14:textId="77777777" w:rsidR="006C0052" w:rsidRDefault="003C47E1">
            <w:r>
              <w:rPr>
                <w:b/>
                <w:color w:val="FFFFFF"/>
              </w:rPr>
              <w:t>Approved by</w:t>
            </w:r>
          </w:p>
        </w:tc>
        <w:tc>
          <w:tcPr>
            <w:tcW w:w="691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tcPr>
          <w:p w14:paraId="00366C59" w14:textId="77777777" w:rsidR="006C0052" w:rsidRDefault="003C47E1">
            <w:r>
              <w:t>Headteacher</w:t>
            </w:r>
          </w:p>
        </w:tc>
      </w:tr>
      <w:tr w:rsidR="006C0052" w14:paraId="4CA86C67" w14:textId="77777777">
        <w:trPr>
          <w:jc w:val="center"/>
        </w:trPr>
        <w:tc>
          <w:tcPr>
            <w:tcW w:w="2268" w:type="dxa"/>
            <w:tcBorders>
              <w:top w:val="single" w:sz="5" w:space="0" w:color="B4C6E7"/>
              <w:left w:val="single" w:sz="5" w:space="0" w:color="B4C6E7"/>
              <w:bottom w:val="single" w:sz="5" w:space="0" w:color="B4C6E7"/>
              <w:right w:val="single" w:sz="5" w:space="0" w:color="B4C6E7"/>
            </w:tcBorders>
            <w:shd w:val="clear" w:color="auto" w:fill="0F4761"/>
            <w:tcMar>
              <w:top w:w="70" w:type="dxa"/>
              <w:left w:w="90" w:type="dxa"/>
              <w:bottom w:w="70" w:type="dxa"/>
              <w:right w:w="90" w:type="dxa"/>
            </w:tcMar>
          </w:tcPr>
          <w:p w14:paraId="3A23ADC4" w14:textId="77777777" w:rsidR="006C0052" w:rsidRDefault="003C47E1">
            <w:r>
              <w:rPr>
                <w:b/>
                <w:color w:val="FFFFFF"/>
              </w:rPr>
              <w:t>Effective from</w:t>
            </w:r>
          </w:p>
        </w:tc>
        <w:tc>
          <w:tcPr>
            <w:tcW w:w="691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tcPr>
          <w:p w14:paraId="05CE0BD4" w14:textId="77777777" w:rsidR="006C0052" w:rsidRDefault="003C47E1">
            <w:r>
              <w:t>1 September 2026</w:t>
            </w:r>
          </w:p>
        </w:tc>
      </w:tr>
      <w:tr w:rsidR="006C0052" w14:paraId="6F8DA320" w14:textId="77777777">
        <w:trPr>
          <w:jc w:val="center"/>
        </w:trPr>
        <w:tc>
          <w:tcPr>
            <w:tcW w:w="2268" w:type="dxa"/>
            <w:tcBorders>
              <w:top w:val="single" w:sz="5" w:space="0" w:color="B4C6E7"/>
              <w:left w:val="single" w:sz="5" w:space="0" w:color="B4C6E7"/>
              <w:bottom w:val="single" w:sz="5" w:space="0" w:color="B4C6E7"/>
              <w:right w:val="single" w:sz="5" w:space="0" w:color="B4C6E7"/>
            </w:tcBorders>
            <w:shd w:val="clear" w:color="auto" w:fill="0F4761"/>
            <w:tcMar>
              <w:top w:w="70" w:type="dxa"/>
              <w:left w:w="90" w:type="dxa"/>
              <w:bottom w:w="70" w:type="dxa"/>
              <w:right w:w="90" w:type="dxa"/>
            </w:tcMar>
          </w:tcPr>
          <w:p w14:paraId="74538195" w14:textId="77777777" w:rsidR="006C0052" w:rsidRDefault="003C47E1">
            <w:r>
              <w:rPr>
                <w:b/>
                <w:color w:val="FFFFFF"/>
              </w:rPr>
              <w:t>Review date</w:t>
            </w:r>
          </w:p>
        </w:tc>
        <w:tc>
          <w:tcPr>
            <w:tcW w:w="691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tcPr>
          <w:p w14:paraId="429F2CFC" w14:textId="77777777" w:rsidR="006C0052" w:rsidRDefault="003C47E1">
            <w:r>
              <w:t>July 2027, or earlier if statutory guidance changes</w:t>
            </w:r>
          </w:p>
        </w:tc>
      </w:tr>
      <w:tr w:rsidR="006C0052" w14:paraId="61204CE4" w14:textId="77777777">
        <w:trPr>
          <w:jc w:val="center"/>
        </w:trPr>
        <w:tc>
          <w:tcPr>
            <w:tcW w:w="2268" w:type="dxa"/>
            <w:tcBorders>
              <w:top w:val="single" w:sz="5" w:space="0" w:color="B4C6E7"/>
              <w:left w:val="single" w:sz="5" w:space="0" w:color="B4C6E7"/>
              <w:bottom w:val="single" w:sz="5" w:space="0" w:color="B4C6E7"/>
              <w:right w:val="single" w:sz="5" w:space="0" w:color="B4C6E7"/>
            </w:tcBorders>
            <w:shd w:val="clear" w:color="auto" w:fill="0F4761"/>
            <w:tcMar>
              <w:top w:w="70" w:type="dxa"/>
              <w:left w:w="90" w:type="dxa"/>
              <w:bottom w:w="70" w:type="dxa"/>
              <w:right w:w="90" w:type="dxa"/>
            </w:tcMar>
          </w:tcPr>
          <w:p w14:paraId="27B7EBD3" w14:textId="77777777" w:rsidR="006C0052" w:rsidRDefault="003C47E1">
            <w:r>
              <w:rPr>
                <w:b/>
                <w:color w:val="FFFFFF"/>
              </w:rPr>
              <w:t>Applies to</w:t>
            </w:r>
          </w:p>
        </w:tc>
        <w:tc>
          <w:tcPr>
            <w:tcW w:w="691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tcPr>
          <w:p w14:paraId="55DED864" w14:textId="77777777" w:rsidR="006C0052" w:rsidRDefault="003C47E1">
            <w:r>
              <w:t>Nursery and Reception</w:t>
            </w:r>
          </w:p>
        </w:tc>
      </w:tr>
    </w:tbl>
    <w:p w14:paraId="2F32BB7E" w14:textId="77777777" w:rsidR="006C0052" w:rsidRDefault="003C47E1">
      <w:pPr>
        <w:pStyle w:val="Heading1"/>
      </w:pPr>
      <w:r>
        <w:t>1. Purpose and vision</w:t>
      </w:r>
    </w:p>
    <w:p w14:paraId="484FA37E" w14:textId="77777777" w:rsidR="006C0052" w:rsidRDefault="003C47E1">
      <w:r>
        <w:t>At Irlam Primary School, every child is recognised as unique, capable and entitled to an ambitious, inclusive and language-rich start. Our Early Years Foundation Stage (EYFS) provision builds secure foundations for later learning while protecting the relationships, play, exploration and responsive teaching through which young children learn best.</w:t>
      </w:r>
    </w:p>
    <w:p w14:paraId="324006FE" w14:textId="77777777" w:rsidR="006C0052" w:rsidRDefault="003C47E1">
      <w:r>
        <w:t>The four guiding principles of the EYFS underpin our practice:</w:t>
      </w:r>
    </w:p>
    <w:p w14:paraId="5D591F87" w14:textId="77777777" w:rsidR="006C0052" w:rsidRDefault="003C47E1">
      <w:pPr>
        <w:pStyle w:val="ActionBullet"/>
      </w:pPr>
      <w:r>
        <w:t>• a unique child</w:t>
      </w:r>
    </w:p>
    <w:p w14:paraId="3F1B7567" w14:textId="77777777" w:rsidR="006C0052" w:rsidRDefault="003C47E1">
      <w:pPr>
        <w:pStyle w:val="ActionBullet"/>
      </w:pPr>
      <w:r>
        <w:t>• positive relationships</w:t>
      </w:r>
    </w:p>
    <w:p w14:paraId="1B73D7D2" w14:textId="77777777" w:rsidR="006C0052" w:rsidRDefault="003C47E1">
      <w:pPr>
        <w:pStyle w:val="ActionBullet"/>
      </w:pPr>
      <w:r>
        <w:t>• enabling environments</w:t>
      </w:r>
    </w:p>
    <w:p w14:paraId="462B603E" w14:textId="77777777" w:rsidR="006C0052" w:rsidRDefault="003C47E1">
      <w:pPr>
        <w:pStyle w:val="ActionBullet"/>
      </w:pPr>
      <w:r>
        <w:t>• learning and development</w:t>
      </w:r>
    </w:p>
    <w:p w14:paraId="0917F2E8" w14:textId="77777777" w:rsidR="006C0052" w:rsidRDefault="003C47E1">
      <w:r>
        <w:t>Our aim is for children to leave Reception ready for the next stage of their education, with secure foundations, curiosity, confidence, independence and a positive sense of themselves as learners.</w:t>
      </w:r>
    </w:p>
    <w:p w14:paraId="76CE7396" w14:textId="77777777" w:rsidR="006C0052" w:rsidRDefault="003C47E1">
      <w:pPr>
        <w:pStyle w:val="Heading1"/>
      </w:pPr>
      <w:r>
        <w:t>2. Statutory framework and evidence base</w:t>
      </w:r>
    </w:p>
    <w:p w14:paraId="6935425E" w14:textId="77777777" w:rsidR="006C0052" w:rsidRDefault="003C47E1">
      <w:r>
        <w:t>This policy complies with the Statutory framework for the early years foundation stage for group and school-based providers, effective from 1 September 2026. It should be read alongside the school’s safeguarding, inclusion, early reading and phonics, curriculum, behaviour, attendance and Assessment and Feedback policies.</w:t>
      </w:r>
    </w:p>
    <w:p w14:paraId="3B3FFA2C" w14:textId="77777777" w:rsidR="006C0052" w:rsidRDefault="003C47E1">
      <w:r>
        <w:t>Practice is informed by the statutory educational programmes, Development Matters and other proportionate professional guidance, alongside relevant evidence on high-quality interactions, early language, literacy, mathematics, self-regulation and physical development. Birth to 5 Matters may be used as a professional reference. It is not used as an assessable checklist or as objectives on Insight.</w:t>
      </w:r>
    </w:p>
    <w:p w14:paraId="206D44A6" w14:textId="77777777" w:rsidR="006C0052" w:rsidRDefault="003C47E1">
      <w:pPr>
        <w:pStyle w:val="Heading1"/>
      </w:pPr>
      <w:r>
        <w:t>3. Curriculum intent</w:t>
      </w:r>
    </w:p>
    <w:p w14:paraId="1AEF65E7" w14:textId="77777777" w:rsidR="006C0052" w:rsidRDefault="003C47E1">
      <w:r>
        <w:t>The curriculum is ambitious, carefully sequenced and responsive to children’s starting points and experiences. It covers the three prime and four specific areas of learning:</w:t>
      </w:r>
    </w:p>
    <w:p w14:paraId="6D252156" w14:textId="77777777" w:rsidR="006C0052" w:rsidRDefault="003C47E1">
      <w:pPr>
        <w:pStyle w:val="ActionBullet"/>
      </w:pPr>
      <w:r>
        <w:t>• communication and language</w:t>
      </w:r>
    </w:p>
    <w:p w14:paraId="447CD8F4" w14:textId="77777777" w:rsidR="006C0052" w:rsidRDefault="003C47E1">
      <w:pPr>
        <w:pStyle w:val="ActionBullet"/>
      </w:pPr>
      <w:r>
        <w:t>• personal, social and emotional development</w:t>
      </w:r>
    </w:p>
    <w:p w14:paraId="049BD419" w14:textId="77777777" w:rsidR="006C0052" w:rsidRDefault="003C47E1">
      <w:pPr>
        <w:pStyle w:val="ActionBullet"/>
      </w:pPr>
      <w:r>
        <w:t>• physical development</w:t>
      </w:r>
    </w:p>
    <w:p w14:paraId="6924732F" w14:textId="77777777" w:rsidR="006C0052" w:rsidRDefault="003C47E1">
      <w:pPr>
        <w:pStyle w:val="ActionBullet"/>
      </w:pPr>
      <w:r>
        <w:t>• literacy</w:t>
      </w:r>
    </w:p>
    <w:p w14:paraId="3663C371" w14:textId="77777777" w:rsidR="006C0052" w:rsidRDefault="003C47E1">
      <w:pPr>
        <w:pStyle w:val="ActionBullet"/>
      </w:pPr>
      <w:r>
        <w:t>• mathematics</w:t>
      </w:r>
    </w:p>
    <w:p w14:paraId="2C4D9913" w14:textId="77777777" w:rsidR="006C0052" w:rsidRDefault="003C47E1">
      <w:pPr>
        <w:pStyle w:val="ActionBullet"/>
      </w:pPr>
      <w:r>
        <w:lastRenderedPageBreak/>
        <w:t>• understanding the world</w:t>
      </w:r>
    </w:p>
    <w:p w14:paraId="37F62B45" w14:textId="77777777" w:rsidR="006C0052" w:rsidRDefault="003C47E1">
      <w:pPr>
        <w:pStyle w:val="ActionBullet"/>
      </w:pPr>
      <w:r>
        <w:t>• expressive arts and design</w:t>
      </w:r>
    </w:p>
    <w:p w14:paraId="79E6C6D6" w14:textId="77777777" w:rsidR="006C0052" w:rsidRDefault="003C47E1">
      <w:r>
        <w:t>The statutory educational programmes and the school’s long-term plans secure breadth over time. The Early Learning Goals (ELGs) support the statutory end-of-Reception judgement; they are not the curriculum and do not limit the range and depth of experiences offered.</w:t>
      </w:r>
    </w:p>
    <w:p w14:paraId="2566F89A" w14:textId="77777777" w:rsidR="006C0052" w:rsidRDefault="003C47E1">
      <w:r>
        <w:t>Communication and language, vocabulary, early reading, writing and mathematics are deliberately strengthened because they enable children to access and express learning across the whole curriculum. Children also develop background knowledge, physical competence, creativity, self-regulation, relationships and the Characteristics of Effective Teaching and Learning.</w:t>
      </w:r>
    </w:p>
    <w:p w14:paraId="7A5C0555" w14:textId="77777777" w:rsidR="006C0052" w:rsidRDefault="003C47E1">
      <w:pPr>
        <w:pStyle w:val="Heading1"/>
      </w:pPr>
      <w:r>
        <w:t>4. Teaching and learning</w:t>
      </w:r>
    </w:p>
    <w:p w14:paraId="37458278" w14:textId="77777777" w:rsidR="006C0052" w:rsidRDefault="003C47E1">
      <w:pPr>
        <w:pStyle w:val="Heading2"/>
      </w:pPr>
      <w:r>
        <w:t>4.1 Responsive teaching and high-quality interaction</w:t>
      </w:r>
    </w:p>
    <w:p w14:paraId="00AB015A" w14:textId="77777777" w:rsidR="006C0052" w:rsidRDefault="003C47E1">
      <w:r>
        <w:t>Adults build warm, secure relationships and use close knowledge of each child to decide when to observe, join play, model, explain, question, practise or teach directly. Feedback is usually immediate and may include modelling language, clarifying a misconception, prompting a child to think, adapting provision or returning to important knowledge. Children may demonstrate understanding through talk, action, play, practical work, mark-making or more formal recorded work, depending on their stage and the learni</w:t>
      </w:r>
      <w:r>
        <w:t>ng involved.</w:t>
      </w:r>
    </w:p>
    <w:p w14:paraId="3B5F7F4F" w14:textId="77777777" w:rsidR="006C0052" w:rsidRDefault="003C47E1">
      <w:r>
        <w:t>Children respond in different ways. Professional judgement is therefore informed by a range of interactions and contexts, not only by willingness to answer questions in a group or by the volume of recorded work.</w:t>
      </w:r>
    </w:p>
    <w:p w14:paraId="59A3DA95" w14:textId="77777777" w:rsidR="006C0052" w:rsidRDefault="003C47E1">
      <w:pPr>
        <w:pStyle w:val="Heading2"/>
      </w:pPr>
      <w:r>
        <w:t>4.2 Balanced provision</w:t>
      </w:r>
    </w:p>
    <w:p w14:paraId="7E05661C" w14:textId="77777777" w:rsidR="006C0052" w:rsidRDefault="003C47E1">
      <w:r>
        <w:t>Children learn through a considered balance of child-initiated play, adult-guided activity and direct teaching. Indoor and outdoor provision is purposeful, progressive and adapted in response to the cohort. Adults use precise vocabulary, sustained shared thinking, modelling and appropriate scaffolding, reducing support as independence develops.</w:t>
      </w:r>
    </w:p>
    <w:p w14:paraId="302B342A" w14:textId="77777777" w:rsidR="006C0052" w:rsidRDefault="003C47E1">
      <w:pPr>
        <w:pStyle w:val="Heading2"/>
      </w:pPr>
      <w:r>
        <w:t>4.3 Characteristics of Effective Teaching and Learning</w:t>
      </w:r>
    </w:p>
    <w:p w14:paraId="047CE9A2" w14:textId="77777777" w:rsidR="006C0052" w:rsidRDefault="003C47E1">
      <w:r>
        <w:t>Planning and interaction promote playing and exploring, active learning, and creating and thinking critically. Adults support co-regulation, confidence, perseverance and reflection through predictable routines, sensitive relationships and appropriate challenge.</w:t>
      </w:r>
    </w:p>
    <w:p w14:paraId="471B8C12" w14:textId="77777777" w:rsidR="006C0052" w:rsidRDefault="003C47E1">
      <w:pPr>
        <w:pStyle w:val="Heading1"/>
      </w:pPr>
      <w:r>
        <w:t>5. Assessment</w:t>
      </w:r>
    </w:p>
    <w:p w14:paraId="06D96C6E" w14:textId="77777777" w:rsidR="006C0052" w:rsidRDefault="003C47E1">
      <w:pPr>
        <w:pStyle w:val="Heading2"/>
      </w:pPr>
      <w:r>
        <w:t>5.1 Principles</w:t>
      </w:r>
    </w:p>
    <w:p w14:paraId="5E215BED" w14:textId="77777777" w:rsidR="006C0052" w:rsidRDefault="003C47E1">
      <w:r>
        <w:t>Assessment is integral to everyday teaching. Practitioners notice what children know, understand and can do, consider their interests and barriers, and use this information to shape interactions, teaching, provision and support. Written records are not required for every observation or interaction. Assessment should not cause long breaks from children or generate paperwork that does not influence teaching, support, transition or leadership decisions.</w:t>
      </w:r>
    </w:p>
    <w:p w14:paraId="40D07421" w14:textId="77777777" w:rsidR="006C0052" w:rsidRDefault="003C47E1">
      <w:r>
        <w:t>Judgements are based on cumulative professional knowledge from everyday interaction, observation, discussion, play, pupils’ work and relevant screening or assessment information. No single task, photograph or data point determines a judgement.</w:t>
      </w:r>
    </w:p>
    <w:p w14:paraId="1803F872" w14:textId="77777777" w:rsidR="006C0052" w:rsidRDefault="003C47E1">
      <w:pPr>
        <w:pStyle w:val="Heading2"/>
      </w:pPr>
      <w:r>
        <w:t>5.2 Statutory assessment</w:t>
      </w:r>
    </w:p>
    <w:p w14:paraId="6B5EFAD0" w14:textId="77777777" w:rsidR="006C0052" w:rsidRDefault="003C47E1">
      <w:pPr>
        <w:pStyle w:val="ActionBullet"/>
      </w:pPr>
      <w:r>
        <w:t>• The Reception Baseline Assessment is completed within the statutory window. It is not used as a formative or diagnostic assessment and does not replace practitioners’ own knowledge of each child.</w:t>
      </w:r>
    </w:p>
    <w:p w14:paraId="35C8EFC1" w14:textId="77777777" w:rsidR="006C0052" w:rsidRDefault="003C47E1">
      <w:pPr>
        <w:pStyle w:val="ActionBullet"/>
      </w:pPr>
      <w:r>
        <w:t xml:space="preserve">• </w:t>
      </w:r>
      <w:r>
        <w:t>The statutory EYFS Profile is completed at the end of Reception against all 17 ELGs using a holistic, best-fit professional judgement and current statutory guidance.</w:t>
      </w:r>
    </w:p>
    <w:p w14:paraId="78A2920E" w14:textId="77777777" w:rsidR="006C0052" w:rsidRDefault="003C47E1">
      <w:pPr>
        <w:pStyle w:val="ActionBullet"/>
      </w:pPr>
      <w:r>
        <w:t>• EYFS Profile outcomes are discussed within school where helpful for consistency, shared with parents and Year 1, and submitted through the school’s agreed statutory process.</w:t>
      </w:r>
    </w:p>
    <w:p w14:paraId="0FCA2637" w14:textId="77777777" w:rsidR="006C0052" w:rsidRDefault="003C47E1">
      <w:pPr>
        <w:pStyle w:val="Heading2"/>
      </w:pPr>
      <w:r>
        <w:lastRenderedPageBreak/>
        <w:t>5.3 Termly Insight judgements</w:t>
      </w:r>
    </w:p>
    <w:p w14:paraId="5928BA82" w14:textId="77777777" w:rsidR="006C0052" w:rsidRDefault="003C47E1">
      <w:r>
        <w:t>Termly Insight entries provide a useful, proportionate overview. They are not separate assessments carried out on children and do not require objective-by-objective tracking.</w:t>
      </w:r>
    </w:p>
    <w:tbl>
      <w:tblPr>
        <w:tblStyle w:val="TableGrid"/>
        <w:tblW w:w="0" w:type="auto"/>
        <w:jc w:val="center"/>
        <w:tblLook w:val="04A0" w:firstRow="1" w:lastRow="0" w:firstColumn="1" w:lastColumn="0" w:noHBand="0" w:noVBand="1"/>
      </w:tblPr>
      <w:tblGrid>
        <w:gridCol w:w="3453"/>
        <w:gridCol w:w="3452"/>
        <w:gridCol w:w="3453"/>
      </w:tblGrid>
      <w:tr w:rsidR="006C0052" w14:paraId="3B4929DD" w14:textId="77777777">
        <w:trPr>
          <w:cantSplit/>
          <w:tblHeader/>
          <w:jc w:val="center"/>
        </w:trPr>
        <w:tc>
          <w:tcPr>
            <w:tcW w:w="3457" w:type="dxa"/>
            <w:tcBorders>
              <w:top w:val="single" w:sz="5" w:space="0" w:color="B4C6E7"/>
              <w:left w:val="single" w:sz="5" w:space="0" w:color="B4C6E7"/>
              <w:bottom w:val="single" w:sz="5" w:space="0" w:color="B4C6E7"/>
              <w:right w:val="single" w:sz="5" w:space="0" w:color="B4C6E7"/>
            </w:tcBorders>
            <w:shd w:val="clear" w:color="auto" w:fill="0F4761"/>
            <w:tcMar>
              <w:top w:w="70" w:type="dxa"/>
              <w:left w:w="90" w:type="dxa"/>
              <w:bottom w:w="70" w:type="dxa"/>
              <w:right w:w="90" w:type="dxa"/>
            </w:tcMar>
            <w:vAlign w:val="center"/>
          </w:tcPr>
          <w:p w14:paraId="0A8805B7" w14:textId="77777777" w:rsidR="006C0052" w:rsidRDefault="003C47E1">
            <w:r>
              <w:rPr>
                <w:b/>
                <w:color w:val="FFFFFF"/>
              </w:rPr>
              <w:t>Stage</w:t>
            </w:r>
          </w:p>
        </w:tc>
        <w:tc>
          <w:tcPr>
            <w:tcW w:w="3457" w:type="dxa"/>
            <w:tcBorders>
              <w:top w:val="single" w:sz="5" w:space="0" w:color="B4C6E7"/>
              <w:left w:val="single" w:sz="5" w:space="0" w:color="B4C6E7"/>
              <w:bottom w:val="single" w:sz="5" w:space="0" w:color="B4C6E7"/>
              <w:right w:val="single" w:sz="5" w:space="0" w:color="B4C6E7"/>
            </w:tcBorders>
            <w:shd w:val="clear" w:color="auto" w:fill="0F4761"/>
            <w:tcMar>
              <w:top w:w="70" w:type="dxa"/>
              <w:left w:w="90" w:type="dxa"/>
              <w:bottom w:w="70" w:type="dxa"/>
              <w:right w:w="90" w:type="dxa"/>
            </w:tcMar>
            <w:vAlign w:val="center"/>
          </w:tcPr>
          <w:p w14:paraId="1F4FF3F5" w14:textId="77777777" w:rsidR="006C0052" w:rsidRDefault="003C47E1">
            <w:r>
              <w:rPr>
                <w:b/>
                <w:color w:val="FFFFFF"/>
              </w:rPr>
              <w:t>Timing</w:t>
            </w:r>
          </w:p>
        </w:tc>
        <w:tc>
          <w:tcPr>
            <w:tcW w:w="3457" w:type="dxa"/>
            <w:tcBorders>
              <w:top w:val="single" w:sz="5" w:space="0" w:color="B4C6E7"/>
              <w:left w:val="single" w:sz="5" w:space="0" w:color="B4C6E7"/>
              <w:bottom w:val="single" w:sz="5" w:space="0" w:color="B4C6E7"/>
              <w:right w:val="single" w:sz="5" w:space="0" w:color="B4C6E7"/>
            </w:tcBorders>
            <w:shd w:val="clear" w:color="auto" w:fill="0F4761"/>
            <w:tcMar>
              <w:top w:w="70" w:type="dxa"/>
              <w:left w:w="90" w:type="dxa"/>
              <w:bottom w:w="70" w:type="dxa"/>
              <w:right w:w="90" w:type="dxa"/>
            </w:tcMar>
            <w:vAlign w:val="center"/>
          </w:tcPr>
          <w:p w14:paraId="594EB380" w14:textId="77777777" w:rsidR="006C0052" w:rsidRDefault="003C47E1">
            <w:r>
              <w:rPr>
                <w:b/>
                <w:color w:val="FFFFFF"/>
              </w:rPr>
              <w:t>Insight judgement</w:t>
            </w:r>
          </w:p>
        </w:tc>
      </w:tr>
      <w:tr w:rsidR="006C0052" w14:paraId="54EFB1E3" w14:textId="77777777">
        <w:trPr>
          <w:cantSplit/>
          <w:jc w:val="center"/>
        </w:trPr>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00D7E080" w14:textId="77777777" w:rsidR="006C0052" w:rsidRDefault="003C47E1">
            <w:r>
              <w:t>Nursery</w:t>
            </w:r>
          </w:p>
        </w:tc>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74CC4079" w14:textId="77777777" w:rsidR="006C0052" w:rsidRDefault="003C47E1">
            <w:r>
              <w:t>Autumn, spring and summer</w:t>
            </w:r>
          </w:p>
        </w:tc>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5AD26814" w14:textId="77777777" w:rsidR="006C0052" w:rsidRDefault="003C47E1">
            <w:r>
              <w:t>A broad professional judgement across each of the seven areas of learning.</w:t>
            </w:r>
          </w:p>
        </w:tc>
      </w:tr>
      <w:tr w:rsidR="006C0052" w14:paraId="67652565" w14:textId="77777777">
        <w:trPr>
          <w:cantSplit/>
          <w:jc w:val="center"/>
        </w:trPr>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0A883D84" w14:textId="77777777" w:rsidR="006C0052" w:rsidRDefault="003C47E1">
            <w:r>
              <w:t>Reception</w:t>
            </w:r>
          </w:p>
        </w:tc>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27ACA195" w14:textId="77777777" w:rsidR="006C0052" w:rsidRDefault="003C47E1">
            <w:r>
              <w:t>Autumn</w:t>
            </w:r>
          </w:p>
        </w:tc>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24BFA68D" w14:textId="77777777" w:rsidR="006C0052" w:rsidRDefault="003C47E1">
            <w:r>
              <w:t>A broad professional overview across each of the seven areas of learning.</w:t>
            </w:r>
          </w:p>
        </w:tc>
      </w:tr>
      <w:tr w:rsidR="006C0052" w14:paraId="2159F11F" w14:textId="77777777">
        <w:trPr>
          <w:cantSplit/>
          <w:jc w:val="center"/>
        </w:trPr>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2E587A0B" w14:textId="77777777" w:rsidR="006C0052" w:rsidRDefault="003C47E1">
            <w:r>
              <w:t>Reception</w:t>
            </w:r>
          </w:p>
        </w:tc>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134ED67C" w14:textId="77777777" w:rsidR="006C0052" w:rsidRDefault="003C47E1">
            <w:r>
              <w:t>Spring</w:t>
            </w:r>
          </w:p>
        </w:tc>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52870865" w14:textId="77777777" w:rsidR="006C0052" w:rsidRDefault="003C47E1">
            <w:r>
              <w:t>Whether each child is currently on track to meet each of the 17 ELGs by the end of Reception. This is a projection, not a judgement that an ELG has already been achieved.</w:t>
            </w:r>
          </w:p>
        </w:tc>
      </w:tr>
      <w:tr w:rsidR="006C0052" w14:paraId="7437EFB8" w14:textId="77777777">
        <w:trPr>
          <w:cantSplit/>
          <w:jc w:val="center"/>
        </w:trPr>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1283F15B" w14:textId="77777777" w:rsidR="006C0052" w:rsidRDefault="003C47E1">
            <w:r>
              <w:t>Reception</w:t>
            </w:r>
          </w:p>
        </w:tc>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6ACEE149" w14:textId="77777777" w:rsidR="006C0052" w:rsidRDefault="003C47E1">
            <w:r>
              <w:t>Summer</w:t>
            </w:r>
          </w:p>
        </w:tc>
        <w:tc>
          <w:tcPr>
            <w:tcW w:w="3457" w:type="dxa"/>
            <w:tcBorders>
              <w:top w:val="single" w:sz="5" w:space="0" w:color="B4C6E7"/>
              <w:left w:val="single" w:sz="5" w:space="0" w:color="B4C6E7"/>
              <w:bottom w:val="single" w:sz="5" w:space="0" w:color="B4C6E7"/>
              <w:right w:val="single" w:sz="5" w:space="0" w:color="B4C6E7"/>
            </w:tcBorders>
            <w:tcMar>
              <w:top w:w="70" w:type="dxa"/>
              <w:left w:w="90" w:type="dxa"/>
              <w:bottom w:w="70" w:type="dxa"/>
              <w:right w:w="90" w:type="dxa"/>
            </w:tcMar>
            <w:vAlign w:val="center"/>
          </w:tcPr>
          <w:p w14:paraId="1DA59453" w14:textId="77777777" w:rsidR="006C0052" w:rsidRDefault="003C47E1">
            <w:r>
              <w:t>The statutory EYFS Profile outcome against each of the 17 ELGs. Insight derives Good Level of Development from the relevant outcomes.</w:t>
            </w:r>
          </w:p>
        </w:tc>
      </w:tr>
    </w:tbl>
    <w:p w14:paraId="20F44F32" w14:textId="77777777" w:rsidR="006C0052" w:rsidRDefault="003C47E1">
      <w:pPr>
        <w:pStyle w:val="Heading2"/>
      </w:pPr>
      <w:r>
        <w:t>5.4 WellComm and phonics</w:t>
      </w:r>
    </w:p>
    <w:p w14:paraId="578EF379" w14:textId="77777777" w:rsidR="006C0052" w:rsidRDefault="003C47E1">
      <w:r>
        <w:t>Nursery completes initial WellComm screening in Week 4. Reception completes screening early in Autumn 2, following baseline activity, with new pupils prioritised. Teachers record the red, amber or green outcome in Insight. Children identified as red or amber receive appropriate Big Book of Ideas support and are reassessed after a half-term cycle. A green reassessment is recorded as green so that it can be distinguished from missing information.</w:t>
      </w:r>
    </w:p>
    <w:p w14:paraId="221F5FA5" w14:textId="77777777" w:rsidR="006C0052" w:rsidRDefault="003C47E1">
      <w:r>
        <w:t>Detailed phonics assessment is completed through the school’s agreed Twinkl Phonics tools and used to inform teaching and next steps. Phonics objective tracking is not duplicated on Insight. Relevant statutory and practice phonics screening scores are recorded in line with the school assessment calendar.</w:t>
      </w:r>
    </w:p>
    <w:p w14:paraId="28A50BFE" w14:textId="77777777" w:rsidR="006C0052" w:rsidRDefault="003C47E1">
      <w:pPr>
        <w:pStyle w:val="Heading2"/>
      </w:pPr>
      <w:r>
        <w:t>5.5 Meaningful evidence</w:t>
      </w:r>
    </w:p>
    <w:p w14:paraId="5EC9DAF3" w14:textId="77777777" w:rsidR="006C0052" w:rsidRDefault="003C47E1">
      <w:pPr>
        <w:pStyle w:val="ActionBullet"/>
      </w:pPr>
      <w:r>
        <w:t xml:space="preserve">• </w:t>
      </w:r>
      <w:r>
        <w:t>Weekly-text floorbooks in Nursery and Reception are constructed and revisited with children so that they support teaching, language, reflection and retrieval. Reception also uses a shared mathematics floorbook; Nursery mathematics is included within its main floorbook.</w:t>
      </w:r>
    </w:p>
    <w:p w14:paraId="00E187A7" w14:textId="77777777" w:rsidR="006C0052" w:rsidRDefault="003C47E1">
      <w:pPr>
        <w:pStyle w:val="ActionBullet"/>
      </w:pPr>
      <w:r>
        <w:t>• All seven areas do not need to be forced into every weekly floorbook. Curriculum breadth is secured through planning and provision over time.</w:t>
      </w:r>
    </w:p>
    <w:p w14:paraId="671DD04E" w14:textId="77777777" w:rsidR="006C0052" w:rsidRDefault="003C47E1">
      <w:pPr>
        <w:pStyle w:val="ActionBullet"/>
      </w:pPr>
      <w:r>
        <w:t xml:space="preserve">• </w:t>
      </w:r>
      <w:r>
        <w:t>Individual learning journeys continue where they remain proportionate and useful; they do not need to record every activity.</w:t>
      </w:r>
    </w:p>
    <w:p w14:paraId="7DCD3AD7" w14:textId="77777777" w:rsidR="006C0052" w:rsidRDefault="003C47E1">
      <w:pPr>
        <w:pStyle w:val="ActionBullet"/>
      </w:pPr>
      <w:r>
        <w:t>• Photographs are selected where they capture significant learning that would otherwise be difficult to retain, inform next teaching or support, assist transition, or preserve a meaningful child contribution. They are not required for every child, activity or area and are not collected merely to prove coverage or support an Insight judgement.</w:t>
      </w:r>
    </w:p>
    <w:p w14:paraId="45575519" w14:textId="77777777" w:rsidR="006C0052" w:rsidRDefault="003C47E1">
      <w:r>
        <w:t>If evidence is not revisited or used, its collection should be reduced. Routine adult production and printing should not replace children’s contribution to, or use of, floorbooks.</w:t>
      </w:r>
    </w:p>
    <w:p w14:paraId="426877D3" w14:textId="77777777" w:rsidR="006C0052" w:rsidRDefault="003C47E1">
      <w:pPr>
        <w:pStyle w:val="Heading1"/>
      </w:pPr>
      <w:r>
        <w:t>6. Early reading, phonics and writing</w:t>
      </w:r>
    </w:p>
    <w:p w14:paraId="3CC9A807" w14:textId="77777777" w:rsidR="006C0052" w:rsidRDefault="003C47E1">
      <w:r>
        <w:t xml:space="preserve">Reception teaches the school’s validated systematic synthetic phonics programme daily. Decodable reading material is matched closely to children’s phonics knowledge and keep-up support is provided promptly. Nursery provides a </w:t>
      </w:r>
      <w:r>
        <w:lastRenderedPageBreak/>
        <w:t>sequenced Level 1 phonics curriculum that builds listening, oral blending, sound discrimination, language and enjoyment of rhyme, story and song.</w:t>
      </w:r>
    </w:p>
    <w:p w14:paraId="1F3FEE3C" w14:textId="77777777" w:rsidR="006C0052" w:rsidRDefault="003C47E1">
      <w:r>
        <w:t>Meaningful mark-making and writing are developed through shared texts, talk, oral composition, adult modelling, fine and gross motor development and purposeful opportunities across provision. Expectations and support reflect children’s stage without limiting ambition.</w:t>
      </w:r>
    </w:p>
    <w:p w14:paraId="72A33787" w14:textId="77777777" w:rsidR="006C0052" w:rsidRDefault="003C47E1">
      <w:pPr>
        <w:pStyle w:val="Heading1"/>
      </w:pPr>
      <w:r>
        <w:t>7. Inclusion, equity and early intervention</w:t>
      </w:r>
    </w:p>
    <w:p w14:paraId="7A963E09" w14:textId="77777777" w:rsidR="006C0052" w:rsidRDefault="003C47E1">
      <w:r>
        <w:t>All children are entitled to the full, ambitious EYFS curriculum. Staff identify needs and barriers early, maintain high expectations and adapt interaction, environment, teaching and resources. Assessment is used to understand the individual child and decide appropriate next steps, not to reduce a child to a group label or score.</w:t>
      </w:r>
    </w:p>
    <w:p w14:paraId="70D6D32E" w14:textId="77777777" w:rsidR="006C0052" w:rsidRDefault="003C47E1">
      <w:r>
        <w:t>The EYFS team works with parents, the Inclusion Manager, the Assessment Lead and external professionals where relevant. The graduated approach of assess, plan, do and review is used for children with SEND. Disadvantaged children and those with additional barriers receive intentional interaction, suitable enrichment, teaching and support according to need, with impact reviewed from their starting points.</w:t>
      </w:r>
    </w:p>
    <w:p w14:paraId="7C708BE9" w14:textId="77777777" w:rsidR="006C0052" w:rsidRDefault="003C47E1">
      <w:pPr>
        <w:pStyle w:val="Heading1"/>
      </w:pPr>
      <w:r>
        <w:t>8. Partnership with parents and transition</w:t>
      </w:r>
    </w:p>
    <w:p w14:paraId="04B461C2" w14:textId="77777777" w:rsidR="006C0052" w:rsidRDefault="003C47E1">
      <w:r>
        <w:t>Parents and carers are children’s first and most enduring educators. Staff build respectful relationships, exchange useful information, share learning and offer practical ways to support development at home. Concerns and successes are communicated promptly and sensitively.</w:t>
      </w:r>
    </w:p>
    <w:p w14:paraId="1717098C" w14:textId="77777777" w:rsidR="006C0052" w:rsidRDefault="003C47E1">
      <w:r>
        <w:t>Transition is treated as a process. Information from families, previous settings and professionals informs entry to Nursery or Reception. Reception staff share relevant curriculum, phonics, wellbeing, inclusion and EYFS Profile information with Year 1. Year 1 provision and teaching build appropriately from EYFS and respond to the needs of the cohort.</w:t>
      </w:r>
    </w:p>
    <w:p w14:paraId="69D610EE" w14:textId="77777777" w:rsidR="006C0052" w:rsidRDefault="003C47E1">
      <w:pPr>
        <w:pStyle w:val="Heading1"/>
      </w:pPr>
      <w:r>
        <w:t>9. Safeguarding and welfare</w:t>
      </w:r>
    </w:p>
    <w:p w14:paraId="545468D4" w14:textId="77777777" w:rsidR="006C0052" w:rsidRDefault="003C47E1">
      <w:r>
        <w:t>The school meets the safeguarding and welfare requirements of the current statutory EYFS framework and follows all related school policies and procedures. Staff maintain appropriate supervision, ratios, qualifications, paediatric first-aid arrangements, safer recruitment, behaviour expectations, food safety and safe eating practice. Rest or sleep arrangements are managed safely where applicable.</w:t>
      </w:r>
    </w:p>
    <w:p w14:paraId="45467C36" w14:textId="77777777" w:rsidR="006C0052" w:rsidRDefault="003C47E1">
      <w:r>
        <w:t>The school has regard to current government guidance on children’s screen use. Digital resources are used only when they add clear educational value, are suitable for children’s age and development, and do not displace the talk, play, movement, relationships and first-hand experiences central to early learning.</w:t>
      </w:r>
    </w:p>
    <w:p w14:paraId="3C17EC60" w14:textId="77777777" w:rsidR="006C0052" w:rsidRDefault="003C47E1">
      <w:pPr>
        <w:pStyle w:val="Heading1"/>
      </w:pPr>
      <w:r>
        <w:t>10. Leadership, accountability and review</w:t>
      </w:r>
    </w:p>
    <w:p w14:paraId="7CD3E0A9" w14:textId="77777777" w:rsidR="006C0052" w:rsidRDefault="003C47E1">
      <w:pPr>
        <w:pStyle w:val="ActionBullet"/>
      </w:pPr>
      <w:r>
        <w:t>• The Headteacher holds overall accountability for EYFS provision and the implementation of this policy.</w:t>
      </w:r>
    </w:p>
    <w:p w14:paraId="675E9FAA" w14:textId="77777777" w:rsidR="006C0052" w:rsidRDefault="003C47E1">
      <w:pPr>
        <w:pStyle w:val="ActionBullet"/>
      </w:pPr>
      <w:r>
        <w:t xml:space="preserve">• </w:t>
      </w:r>
      <w:r>
        <w:t>The EYFS Lead leads curriculum, pedagogy, phase development and the quality of EYFS provision, working collaboratively with staff and relevant leaders.</w:t>
      </w:r>
    </w:p>
    <w:p w14:paraId="342028BB" w14:textId="77777777" w:rsidR="006C0052" w:rsidRDefault="003C47E1">
      <w:pPr>
        <w:pStyle w:val="ActionBullet"/>
      </w:pPr>
      <w:r>
        <w:t>• Class teachers and practitioners use responsive assessment, maintain the agreed proportionate records and act on what they learn about children.</w:t>
      </w:r>
    </w:p>
    <w:p w14:paraId="50C75DF5" w14:textId="77777777" w:rsidR="006C0052" w:rsidRDefault="003C47E1">
      <w:pPr>
        <w:pStyle w:val="ActionBullet"/>
      </w:pPr>
      <w:r>
        <w:t xml:space="preserve">• </w:t>
      </w:r>
      <w:r>
        <w:t>The Assessment Lead supports the EYFS Lead with Insight, assessment consistency, statutory processes and analysis. The Deputy Headteacher submits the statutory EYFS Profile return through the agreed school process.</w:t>
      </w:r>
    </w:p>
    <w:p w14:paraId="0B6C598C" w14:textId="77777777" w:rsidR="006C0052" w:rsidRDefault="003C47E1">
      <w:pPr>
        <w:pStyle w:val="ActionBullet"/>
      </w:pPr>
      <w:r>
        <w:t>• The Inclusion Manager leads inclusion processes and works with the EYFS team where children need additional or different provision.</w:t>
      </w:r>
    </w:p>
    <w:p w14:paraId="56B405A8" w14:textId="77777777" w:rsidR="006C0052" w:rsidRDefault="003C47E1">
      <w:r>
        <w:t>Implementation is reviewed through normal professional dialogue and proportionate consideration of children’s learning, interactions, work, provision, staff feedback, parent communication and relevant information. Monitoring focuses on what practice changes for children, not on the volume of evidence produced. The policy is reviewed annually, or sooner where statutory requirements change.</w:t>
      </w:r>
    </w:p>
    <w:sectPr w:rsidR="006C0052" w:rsidSect="00034616">
      <w:headerReference w:type="default" r:id="rId8"/>
      <w:footerReference w:type="default" r:id="rId9"/>
      <w:pgSz w:w="12240" w:h="15840"/>
      <w:pgMar w:top="765" w:right="935" w:bottom="765"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890A6E" w14:textId="77777777" w:rsidR="003C47E1" w:rsidRDefault="003C47E1">
      <w:pPr>
        <w:spacing w:after="0" w:line="240" w:lineRule="auto"/>
      </w:pPr>
      <w:r>
        <w:separator/>
      </w:r>
    </w:p>
  </w:endnote>
  <w:endnote w:type="continuationSeparator" w:id="0">
    <w:p w14:paraId="18E24B5B" w14:textId="77777777" w:rsidR="003C47E1" w:rsidRDefault="003C4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F41D8C" w14:textId="77777777" w:rsidR="006C0052" w:rsidRDefault="003C47E1">
    <w:pPr>
      <w:pStyle w:val="Footer"/>
      <w:jc w:val="center"/>
    </w:pPr>
    <w:r>
      <w:rPr>
        <w:color w:val="595959"/>
        <w:sz w:val="16"/>
      </w:rPr>
      <w:t xml:space="preserve">Irlam Primary </w:t>
    </w:r>
    <w:proofErr w:type="gramStart"/>
    <w:r>
      <w:rPr>
        <w:color w:val="595959"/>
        <w:sz w:val="16"/>
      </w:rPr>
      <w:t>School  |</w:t>
    </w:r>
    <w:proofErr w:type="gramEnd"/>
    <w:r>
      <w:rPr>
        <w:color w:val="595959"/>
        <w:sz w:val="16"/>
      </w:rPr>
      <w:t xml:space="preserve">  EYFS Policy 2026-</w:t>
    </w:r>
    <w:proofErr w:type="gramStart"/>
    <w:r>
      <w:rPr>
        <w:color w:val="595959"/>
        <w:sz w:val="16"/>
      </w:rPr>
      <w:t>27  |</w:t>
    </w:r>
    <w:proofErr w:type="gramEnd"/>
    <w:r>
      <w:rPr>
        <w:color w:val="595959"/>
        <w:sz w:val="16"/>
      </w:rPr>
      <w:t xml:space="preserve">  </w:t>
    </w:r>
    <w:r>
      <w:fldChar w:fldCharType="begin"/>
    </w:r>
    <w:r>
      <w:instrText>PAGE</w:instrText>
    </w:r>
    <w:r>
      <w:fldChar w:fldCharType="separate"/>
    </w:r>
    <w:r w:rsidR="00AF31B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747D05" w14:textId="77777777" w:rsidR="003C47E1" w:rsidRDefault="003C47E1">
      <w:pPr>
        <w:spacing w:after="0" w:line="240" w:lineRule="auto"/>
      </w:pPr>
      <w:r>
        <w:separator/>
      </w:r>
    </w:p>
  </w:footnote>
  <w:footnote w:type="continuationSeparator" w:id="0">
    <w:p w14:paraId="63166089" w14:textId="77777777" w:rsidR="003C47E1" w:rsidRDefault="003C4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B124C" w14:textId="77777777" w:rsidR="006C0052" w:rsidRDefault="003C47E1">
    <w:pPr>
      <w:pStyle w:val="Header"/>
      <w:jc w:val="right"/>
    </w:pPr>
    <w:r>
      <w:rPr>
        <w:noProof/>
      </w:rPr>
      <w:drawing>
        <wp:inline distT="0" distB="0" distL="0" distR="0" wp14:anchorId="39A4A2D0" wp14:editId="7C06E445">
          <wp:extent cx="612000" cy="322144"/>
          <wp:effectExtent l="0" t="0" r="0" b="0"/>
          <wp:docPr id="1" name="Picture 1" descr="Irlam Primary School logo" title="Irlam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 Logo.png"/>
                  <pic:cNvPicPr/>
                </pic:nvPicPr>
                <pic:blipFill>
                  <a:blip r:embed="rId1"/>
                  <a:stretch>
                    <a:fillRect/>
                  </a:stretch>
                </pic:blipFill>
                <pic:spPr>
                  <a:xfrm>
                    <a:off x="0" y="0"/>
                    <a:ext cx="612000" cy="3221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3451501">
    <w:abstractNumId w:val="8"/>
  </w:num>
  <w:num w:numId="2" w16cid:durableId="1131437070">
    <w:abstractNumId w:val="6"/>
  </w:num>
  <w:num w:numId="3" w16cid:durableId="932472">
    <w:abstractNumId w:val="5"/>
  </w:num>
  <w:num w:numId="4" w16cid:durableId="2134249144">
    <w:abstractNumId w:val="4"/>
  </w:num>
  <w:num w:numId="5" w16cid:durableId="2121678995">
    <w:abstractNumId w:val="7"/>
  </w:num>
  <w:num w:numId="6" w16cid:durableId="761989921">
    <w:abstractNumId w:val="3"/>
  </w:num>
  <w:num w:numId="7" w16cid:durableId="825170536">
    <w:abstractNumId w:val="2"/>
  </w:num>
  <w:num w:numId="8" w16cid:durableId="608466957">
    <w:abstractNumId w:val="1"/>
  </w:num>
  <w:num w:numId="9" w16cid:durableId="18026551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47E1"/>
    <w:rsid w:val="006767BF"/>
    <w:rsid w:val="006C0052"/>
    <w:rsid w:val="00AA1D8D"/>
    <w:rsid w:val="00AF31B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GB" w:eastAsia="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03BAB"/>
  <w14:defaultImageDpi w14:val="300"/>
  <w15:docId w15:val="{45E99B02-0880-924B-A52F-0299FFBB7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ptos" w:hAnsi="Aptos"/>
      <w:color w:val="222222"/>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0F4761"/>
      <w:sz w:val="32"/>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F4761"/>
      <w:sz w:val="24"/>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color w:val="0F476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95959"/>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onBullet">
    <w:name w:val="Action Bullet"/>
    <w:basedOn w:val="Normal"/>
    <w:pPr>
      <w:spacing w:after="60"/>
      <w:ind w:left="238" w:hanging="12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A067331-06F1-4D8D-9280-D4F59DF3429A}"/>
</file>

<file path=customXml/itemProps3.xml><?xml version="1.0" encoding="utf-8"?>
<ds:datastoreItem xmlns:ds="http://schemas.openxmlformats.org/officeDocument/2006/customXml" ds:itemID="{5B0E5580-0F55-45F7-980A-63C577F64328}"/>
</file>

<file path=customXml/itemProps4.xml><?xml version="1.0" encoding="utf-8"?>
<ds:datastoreItem xmlns:ds="http://schemas.openxmlformats.org/officeDocument/2006/customXml" ds:itemID="{DE9438D0-1898-4F86-B038-0B9FDA252E5A}"/>
</file>

<file path=docProps/app.xml><?xml version="1.0" encoding="utf-8"?>
<Properties xmlns="http://schemas.openxmlformats.org/officeDocument/2006/extended-properties" xmlns:vt="http://schemas.openxmlformats.org/officeDocument/2006/docPropsVTypes">
  <Template>Normal.dotm</Template>
  <TotalTime>0</TotalTime>
  <Pages>4</Pages>
  <Words>1832</Words>
  <Characters>10447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Watson</cp:lastModifiedBy>
  <cp:revision>2</cp:revision>
  <dcterms:created xsi:type="dcterms:W3CDTF">2026-08-13T19:51:00Z</dcterms:created>
  <dcterms:modified xsi:type="dcterms:W3CDTF">2026-08-13T19:51:00Z</dcterms:modified>
  <cp:category/>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ies>
</file>