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95.0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1050"/>
        <w:gridCol w:w="4260"/>
        <w:gridCol w:w="2250"/>
        <w:gridCol w:w="1110"/>
        <w:gridCol w:w="3450"/>
        <w:gridCol w:w="345"/>
        <w:gridCol w:w="2070"/>
        <w:tblGridChange w:id="0">
          <w:tblGrid>
            <w:gridCol w:w="660"/>
            <w:gridCol w:w="1050"/>
            <w:gridCol w:w="4260"/>
            <w:gridCol w:w="2250"/>
            <w:gridCol w:w="1110"/>
            <w:gridCol w:w="3450"/>
            <w:gridCol w:w="345"/>
            <w:gridCol w:w="2070"/>
          </w:tblGrid>
        </w:tblGridChange>
      </w:tblGrid>
      <w:tr>
        <w:trPr>
          <w:cantSplit w:val="0"/>
          <w:trHeight w:val="383.9999999999999" w:hRule="atLeast"/>
          <w:tblHeader w:val="0"/>
        </w:trPr>
        <w:tc>
          <w:tcPr>
            <w:gridSpan w:val="8"/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Year: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One            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                                      Term: 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Spring 2   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                                                 Teaching focus:  Biology -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Humans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restart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Prior learning :</w:t>
            </w:r>
          </w:p>
        </w:tc>
        <w:tc>
          <w:tcPr>
            <w:gridSpan w:val="3"/>
            <w:vMerge w:val="restart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Prior vocabulary:</w:t>
            </w:r>
          </w:p>
        </w:tc>
      </w:tr>
      <w:tr>
        <w:trPr>
          <w:cantSplit w:val="0"/>
          <w:tblHeader w:val="0"/>
        </w:trPr>
        <w:tc>
          <w:tcPr>
            <w:gridSpan w:val="5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andlee" w:cs="Handlee" w:eastAsia="Handlee" w:hAnsi="Handle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andlee" w:cs="Handlee" w:eastAsia="Handlee" w:hAnsi="Handle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Basic body parts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Sens#es walk- Linked to Seasons. </w:t>
            </w:r>
          </w:p>
        </w:tc>
        <w:tc>
          <w:tcPr>
            <w:gridSpan w:val="3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Head, nose, mouth, teeth, ear, arm, hand, back, leg, knee, ankle, foot.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Sight, sound, touch, smell, taste.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andlee" w:cs="Handlee" w:eastAsia="Handlee" w:hAnsi="Handle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0" w:hRule="atLeast"/>
          <w:tblHeader w:val="0"/>
        </w:trPr>
        <w:tc>
          <w:tcPr>
            <w:gridSpan w:val="5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elius" w:cs="Delius" w:eastAsia="Delius" w:hAnsi="Delius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New key vocabulary (taken from Subject teams documentation):</w:t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Images/Pictures/Diagrams/Maps: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Compare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To look for things that are the same and different. </w:t>
            </w:r>
          </w:p>
        </w:tc>
        <w:tc>
          <w:tcPr>
            <w:gridSpan w:val="4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59056</wp:posOffset>
                  </wp:positionV>
                  <wp:extent cx="1342418" cy="1603694"/>
                  <wp:effectExtent b="0" l="0" r="0" t="0"/>
                  <wp:wrapNone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418" cy="16036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1976438" cy="1327850"/>
                  <wp:effectExtent b="0" l="0" r="0" t="0"/>
                  <wp:docPr id="1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8" cy="132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1093470</wp:posOffset>
                      </wp:positionV>
                      <wp:extent cx="476250" cy="232833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>
                                <a:off x="1849075" y="836350"/>
                                <a:ext cx="836100" cy="4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1093470</wp:posOffset>
                      </wp:positionV>
                      <wp:extent cx="476250" cy="232833"/>
                      <wp:effectExtent b="0" l="0" r="0" t="0"/>
                      <wp:wrapNone/>
                      <wp:docPr id="3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6250" cy="23283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Table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To clearly present information that I have found. 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Diagram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To draw a picture and label it. 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Fair test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When only one variable is changed at a time. 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Results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What you find out from the investigation. 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Measure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To find the size or amount of something.  </w:t>
            </w:r>
          </w:p>
        </w:tc>
        <w:tc>
          <w:tcPr>
            <w:gridSpan w:val="4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4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Key Knowledge (in teaching order with corresponding subject specific skills)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Key Skills:</w:t>
            </w:r>
          </w:p>
        </w:tc>
        <w:tc>
          <w:tcPr>
            <w:gridSpan w:val="2"/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Scientific Enquiry type: </w:t>
            </w:r>
          </w:p>
        </w:tc>
      </w:tr>
      <w:tr>
        <w:trPr>
          <w:cantSplit w:val="0"/>
          <w:trHeight w:val="796.6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  1.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ind w:left="0" w:firstLine="0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I can use basic scientific vocabulary to label the human body.</w:t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ind w:left="0" w:firstLine="0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I can make first-hand close observations of parts of the body, eg, eyes, hands and record using drawings. 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Additional vocabulary: wrist, elbow, shoulder, neck, ankle, hip, chest, fingers, finger nails, thumb, teeth, tongue, nostrils, eye lashes, eye brows.    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</w:rPr>
              <w:drawing>
                <wp:inline distB="114300" distT="114300" distL="114300" distR="114300">
                  <wp:extent cx="1895475" cy="406400"/>
                  <wp:effectExtent b="0" l="0" r="0" t="0"/>
                  <wp:docPr id="1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</w:rPr>
              <w:drawing>
                <wp:inline distB="114300" distT="114300" distL="114300" distR="114300">
                  <wp:extent cx="1881188" cy="347842"/>
                  <wp:effectExtent b="0" l="0" r="0" t="0"/>
                  <wp:docPr id="1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188" cy="3478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</w:rPr>
              <w:drawing>
                <wp:inline distB="114300" distT="114300" distL="114300" distR="114300">
                  <wp:extent cx="1895475" cy="423559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4235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</w:rPr>
              <w:drawing>
                <wp:inline distB="114300" distT="114300" distL="114300" distR="114300">
                  <wp:extent cx="1843088" cy="370128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3701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</w:rPr>
              <w:drawing>
                <wp:inline distB="114300" distT="114300" distL="114300" distR="114300">
                  <wp:extent cx="1838325" cy="342152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3421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47626</wp:posOffset>
                  </wp:positionV>
                  <wp:extent cx="605692" cy="590550"/>
                  <wp:effectExtent b="0" l="0" r="0" t="0"/>
                  <wp:wrapNone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92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266700</wp:posOffset>
                  </wp:positionV>
                  <wp:extent cx="579214" cy="563972"/>
                  <wp:effectExtent b="0" l="0" r="0" t="0"/>
                  <wp:wrapNone/>
                  <wp:docPr id="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14" cy="563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376238</wp:posOffset>
                  </wp:positionH>
                  <wp:positionV relativeFrom="paragraph">
                    <wp:posOffset>847725</wp:posOffset>
                  </wp:positionV>
                  <wp:extent cx="633413" cy="591185"/>
                  <wp:effectExtent b="0" l="0" r="0" t="0"/>
                  <wp:wrapNone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591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ind w:left="720" w:right="-45" w:hanging="63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2.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Look for patterns between people.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Do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 people with big hands have big feet?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ind w:left="720" w:right="-45" w:hanging="63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3.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shd w:fill="b6d7a8" w:val="clear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shd w:fill="b6d7a8" w:val="clear"/>
                <w:rtl w:val="0"/>
              </w:rPr>
              <w:t xml:space="preserve">Humans need a variety of food to help them grow and stay healthy.  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shd w:fill="b6d7a8" w:val="clear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What is in my healthy lunchbox?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ind w:left="720" w:right="-45" w:hanging="63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4.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shd w:fill="b6d7a8" w:val="clear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shd w:fill="b6d7a8" w:val="clear"/>
                <w:rtl w:val="0"/>
              </w:rPr>
              <w:t xml:space="preserve">Humans have 5 senses; e.g. mouth to taste and ears to listen.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Popcorn investigation - I can hear/ smell/ see/ feel/ taste…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ind w:left="720" w:right="-45" w:hanging="630"/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color w:val="111111"/>
                <w:sz w:val="20"/>
                <w:szCs w:val="20"/>
                <w:rtl w:val="0"/>
              </w:rPr>
              <w:t xml:space="preserve">5.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shd w:fill="ffe599" w:val="clear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shd w:fill="ffe599" w:val="clear"/>
                <w:rtl w:val="0"/>
              </w:rPr>
              <w:t xml:space="preserve">Link body parts to senses through practical investigations. 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Which part of the body is good for feeling? Which is not? 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Which smells can I match? 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Which flavors can I identify by taste?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color w:val="111111"/>
                <w:sz w:val="20"/>
                <w:szCs w:val="20"/>
                <w:rtl w:val="0"/>
              </w:rPr>
              <w:t xml:space="preserve">I can investigate and answer questions using my senses. </w:t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color w:val="11111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before="0" w:line="240" w:lineRule="auto"/>
              <w:ind w:left="0" w:firstLine="0"/>
              <w:rPr>
                <w:rFonts w:ascii="Handlee" w:cs="Handlee" w:eastAsia="Handlee" w:hAnsi="Handle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rPr>
          <w:rFonts w:ascii="Delius" w:cs="Delius" w:eastAsia="Delius" w:hAnsi="Delius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208.298575268112" w:type="dxa"/>
        <w:jc w:val="left"/>
        <w:tblInd w:w="-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1050"/>
        <w:gridCol w:w="4260"/>
        <w:gridCol w:w="2256.9235346693285"/>
        <w:gridCol w:w="1110"/>
        <w:gridCol w:w="2085"/>
        <w:gridCol w:w="1710"/>
        <w:gridCol w:w="2076.3750405987844"/>
        <w:tblGridChange w:id="0">
          <w:tblGrid>
            <w:gridCol w:w="660"/>
            <w:gridCol w:w="1050"/>
            <w:gridCol w:w="4260"/>
            <w:gridCol w:w="2256.9235346693285"/>
            <w:gridCol w:w="1110"/>
            <w:gridCol w:w="2085"/>
            <w:gridCol w:w="1710"/>
            <w:gridCol w:w="2076.3750405987844"/>
          </w:tblGrid>
        </w:tblGridChange>
      </w:tblGrid>
      <w:tr>
        <w:trPr>
          <w:cantSplit w:val="0"/>
          <w:trHeight w:val="383.9999999999999" w:hRule="atLeast"/>
          <w:tblHeader w:val="0"/>
        </w:trPr>
        <w:tc>
          <w:tcPr>
            <w:gridSpan w:val="8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Year: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One            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                                      Term: 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Spring 2    </w:t>
            </w: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rtl w:val="0"/>
              </w:rPr>
              <w:t xml:space="preserve">                                                   Teaching focus:   </w:t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Humans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Delius" w:cs="Delius" w:eastAsia="Delius" w:hAnsi="Delius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Post Learning: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Delius" w:cs="Delius" w:eastAsia="Delius" w:hAnsi="Delius"/>
                <w:sz w:val="20"/>
                <w:szCs w:val="20"/>
              </w:rPr>
            </w:pP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</w:rPr>
              <w:drawing>
                <wp:inline distB="114300" distT="114300" distL="114300" distR="114300">
                  <wp:extent cx="4919663" cy="6036914"/>
                  <wp:effectExtent b="0" l="0" r="0" t="0"/>
                  <wp:docPr id="1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663" cy="60369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elius" w:cs="Delius" w:eastAsia="Delius" w:hAnsi="Delius"/>
                <w:sz w:val="20"/>
                <w:szCs w:val="20"/>
                <w:rtl w:val="0"/>
              </w:rPr>
              <w:t xml:space="preserve">                                             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5229225</wp:posOffset>
                  </wp:positionH>
                  <wp:positionV relativeFrom="paragraph">
                    <wp:posOffset>4891253</wp:posOffset>
                  </wp:positionV>
                  <wp:extent cx="605692" cy="590550"/>
                  <wp:effectExtent b="0" l="0" r="0" t="0"/>
                  <wp:wrapNone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92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4981575</wp:posOffset>
                      </wp:positionH>
                      <wp:positionV relativeFrom="paragraph">
                        <wp:posOffset>4276725</wp:posOffset>
                      </wp:positionV>
                      <wp:extent cx="4371975" cy="41910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3" name="Shape 3"/>
                            <wps:spPr>
                              <a:xfrm>
                                <a:off x="1568450" y="725400"/>
                                <a:ext cx="4352400" cy="4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2CC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elius" w:cs="Delius" w:eastAsia="Delius" w:hAnsi="Delius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Which enquiry types have we used this half term? 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4981575</wp:posOffset>
                      </wp:positionH>
                      <wp:positionV relativeFrom="paragraph">
                        <wp:posOffset>4276725</wp:posOffset>
                      </wp:positionV>
                      <wp:extent cx="4371975" cy="419100"/>
                      <wp:effectExtent b="0" l="0" r="0" t="0"/>
                      <wp:wrapNone/>
                      <wp:docPr id="2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71975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8096250</wp:posOffset>
                  </wp:positionH>
                  <wp:positionV relativeFrom="paragraph">
                    <wp:posOffset>4910138</wp:posOffset>
                  </wp:positionV>
                  <wp:extent cx="581025" cy="581025"/>
                  <wp:effectExtent b="0" l="0" r="0" t="0"/>
                  <wp:wrapNone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7372350</wp:posOffset>
                  </wp:positionH>
                  <wp:positionV relativeFrom="paragraph">
                    <wp:posOffset>4905375</wp:posOffset>
                  </wp:positionV>
                  <wp:extent cx="633413" cy="591185"/>
                  <wp:effectExtent b="0" l="0" r="0" t="0"/>
                  <wp:wrapNone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3" cy="591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5953125</wp:posOffset>
                  </wp:positionH>
                  <wp:positionV relativeFrom="paragraph">
                    <wp:posOffset>4910138</wp:posOffset>
                  </wp:positionV>
                  <wp:extent cx="579214" cy="563972"/>
                  <wp:effectExtent b="0" l="0" r="0" t="0"/>
                  <wp:wrapNone/>
                  <wp:docPr id="2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14" cy="563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4924425</wp:posOffset>
                  </wp:positionH>
                  <wp:positionV relativeFrom="paragraph">
                    <wp:posOffset>238125</wp:posOffset>
                  </wp:positionV>
                  <wp:extent cx="4438650" cy="3281490"/>
                  <wp:effectExtent b="0" l="0" r="0" t="0"/>
                  <wp:wrapNone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3281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6638925</wp:posOffset>
                  </wp:positionH>
                  <wp:positionV relativeFrom="paragraph">
                    <wp:posOffset>4900613</wp:posOffset>
                  </wp:positionV>
                  <wp:extent cx="633766" cy="588226"/>
                  <wp:effectExtent b="0" l="0" r="0" t="0"/>
                  <wp:wrapNone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66" cy="588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8"/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after="0" w:before="0" w:line="240" w:lineRule="auto"/>
              <w:ind w:left="0" w:firstLine="0"/>
              <w:rPr>
                <w:rFonts w:ascii="Delius" w:cs="Delius" w:eastAsia="Delius" w:hAnsi="Deliu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widowControl w:val="0"/>
        <w:spacing w:line="240" w:lineRule="auto"/>
        <w:rPr>
          <w:rFonts w:ascii="Delius" w:cs="Delius" w:eastAsia="Delius" w:hAnsi="Deliu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spacing w:line="240" w:lineRule="auto"/>
        <w:rPr>
          <w:rFonts w:ascii="Delius" w:cs="Delius" w:eastAsia="Delius" w:hAnsi="Deliu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spacing w:line="240" w:lineRule="auto"/>
        <w:rPr>
          <w:rFonts w:ascii="Delius" w:cs="Delius" w:eastAsia="Delius" w:hAnsi="Deliu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0"/>
        <w:spacing w:line="240" w:lineRule="auto"/>
        <w:rPr>
          <w:rFonts w:ascii="Delius" w:cs="Delius" w:eastAsia="Delius" w:hAnsi="Deliu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widowControl w:val="0"/>
        <w:spacing w:line="240" w:lineRule="auto"/>
        <w:rPr>
          <w:rFonts w:ascii="Delius" w:cs="Delius" w:eastAsia="Delius" w:hAnsi="Deliu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spacing w:line="240" w:lineRule="auto"/>
        <w:rPr>
          <w:rFonts w:ascii="Delius" w:cs="Delius" w:eastAsia="Delius" w:hAnsi="Deliu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0"/>
        <w:spacing w:line="240" w:lineRule="auto"/>
        <w:rPr>
          <w:rFonts w:ascii="Delius" w:cs="Delius" w:eastAsia="Delius" w:hAnsi="Delius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elius">
    <w:embedRegular w:fontKey="{00000000-0000-0000-0000-000000000000}" r:id="rId1" w:subsetted="0"/>
  </w:font>
  <w:font w:name="Handlee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12.png"/><Relationship Id="rId10" Type="http://schemas.openxmlformats.org/officeDocument/2006/relationships/image" Target="media/image13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4.png"/><Relationship Id="rId14" Type="http://schemas.openxmlformats.org/officeDocument/2006/relationships/image" Target="media/image5.png"/><Relationship Id="rId17" Type="http://schemas.openxmlformats.org/officeDocument/2006/relationships/image" Target="media/image9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6.png"/><Relationship Id="rId18" Type="http://schemas.openxmlformats.org/officeDocument/2006/relationships/image" Target="media/image7.png"/><Relationship Id="rId7" Type="http://schemas.openxmlformats.org/officeDocument/2006/relationships/image" Target="media/image10.png"/><Relationship Id="rId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elius-regular.ttf"/><Relationship Id="rId2" Type="http://schemas.openxmlformats.org/officeDocument/2006/relationships/font" Target="fonts/Handle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