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050"/>
        <w:gridCol w:w="4260"/>
        <w:gridCol w:w="2250"/>
        <w:gridCol w:w="1110"/>
        <w:gridCol w:w="2085"/>
        <w:gridCol w:w="1710"/>
        <w:gridCol w:w="1710"/>
        <w:tblGridChange w:id="0">
          <w:tblGrid>
            <w:gridCol w:w="660"/>
            <w:gridCol w:w="1050"/>
            <w:gridCol w:w="4260"/>
            <w:gridCol w:w="2250"/>
            <w:gridCol w:w="1110"/>
            <w:gridCol w:w="2085"/>
            <w:gridCol w:w="1710"/>
            <w:gridCol w:w="1710"/>
          </w:tblGrid>
        </w:tblGridChange>
      </w:tblGrid>
      <w:tr>
        <w:trPr>
          <w:cantSplit w:val="0"/>
          <w:trHeight w:val="813.6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Year: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1                   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Term: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Spring 1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                                Teaching focus: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How do people with similar or different worldviews believe the world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began and how should we look after it?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Prior vocabulary:</w: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20"/>
                <w:szCs w:val="20"/>
                <w:u w:val="single"/>
                <w:rtl w:val="0"/>
              </w:rPr>
              <w:t xml:space="preserve">Reception-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Chn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have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t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alked about the Christian creation story and how we look after our world.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E.g. 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We need to look after our world by putting rubbish in the bin. We need to look after our world by recycling rubbish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Delius" w:cs="Delius" w:eastAsia="Delius" w:hAnsi="Deliu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World, Beginning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bCs w:val="1"/>
                <w:color w:val="9900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.8087500000001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God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elius" w:cs="Delius" w:eastAsia="Delius" w:hAnsi="Delius"/>
                <w:color w:val="202124"/>
                <w:sz w:val="20"/>
                <w:szCs w:val="20"/>
                <w:highlight w:val="white"/>
                <w:rtl w:val="0"/>
              </w:rPr>
              <w:t xml:space="preserve">Christians believe that he created the world. He is a special person.</w:t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9050" distT="19050" distL="19050" distR="19050">
                  <wp:extent cx="784415" cy="932921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15" cy="9329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347788" cy="80867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88" cy="8086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117770" cy="80608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70" cy="8060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Creation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Christians believe that God created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Stewardship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To look after the world. 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Key Knowledge (in teaching order with corresponding subject specific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18"/>
                <w:szCs w:val="18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 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Explain how Christians view the creation of the world and try to take care of it (stewardship).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  <w:drawing>
                <wp:inline distB="114300" distT="114300" distL="114300" distR="114300">
                  <wp:extent cx="3290888" cy="2137982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888" cy="21379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Retell two stories that explain how the world was made.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(Christian Creation story/ Hindu Creation story)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 3.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Explain how different groups of people believe the world was made.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(Hindu, Genesis, Big Bang Theory.) 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right="-45" w:firstLine="0"/>
              <w:jc w:val="center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Describe how religious and non-religious people say we should care for the world (St Francis, David Attenborough).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ng Soon">
    <w:embedRegular w:fontKey="{00000000-0000-0000-0000-000000000000}" r:id="rId1" w:subsetted="0"/>
  </w:font>
  <w:font w:name="Delius">
    <w:embedRegular w:fontKey="{00000000-0000-0000-0000-000000000000}" r:id="rId2" w:subsetted="0"/>
  </w:font>
  <w:font w:name="Handlee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ngSoon-regular.ttf"/><Relationship Id="rId2" Type="http://schemas.openxmlformats.org/officeDocument/2006/relationships/font" Target="fonts/Delius-regular.ttf"/><Relationship Id="rId3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