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7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035"/>
        <w:gridCol w:w="4275"/>
        <w:gridCol w:w="2250"/>
        <w:gridCol w:w="1110"/>
        <w:gridCol w:w="1785"/>
        <w:gridCol w:w="2010"/>
        <w:gridCol w:w="1650"/>
        <w:tblGridChange w:id="0">
          <w:tblGrid>
            <w:gridCol w:w="660"/>
            <w:gridCol w:w="1035"/>
            <w:gridCol w:w="4275"/>
            <w:gridCol w:w="2250"/>
            <w:gridCol w:w="1110"/>
            <w:gridCol w:w="1785"/>
            <w:gridCol w:w="2010"/>
            <w:gridCol w:w="16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Year:    1                                                            Term:       Spring 1 and 2                              Teaching focus: DT -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 Food and Nutrition - Preparing Fruit and vegetables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Fruit Kebab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vocabulary: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rtl w:val="0"/>
              </w:rPr>
              <w:t xml:space="preserve">Children have participated in simple baking activities led by an adult in Reception.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design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Draw a picture of what you want something to look like and label it.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tools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Equipment that can be used to shape and fix different materials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make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Combine things together following a design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grate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reduce (food) to small shreds by rubbing it on a grater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447675</wp:posOffset>
                  </wp:positionV>
                  <wp:extent cx="971550" cy="1066800"/>
                  <wp:effectExtent b="0" l="0" r="0" t="0"/>
                  <wp:wrapNone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7443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447675</wp:posOffset>
                  </wp:positionV>
                  <wp:extent cx="1885950" cy="1066800"/>
                  <wp:effectExtent b="0" l="0" r="0" t="0"/>
                  <wp:wrapNone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5037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95251</wp:posOffset>
                  </wp:positionV>
                  <wp:extent cx="395288" cy="1401474"/>
                  <wp:effectExtent b="12700" l="12700" r="12700" t="1270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38461" r="3333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8" cy="1401474"/>
                          </a:xfrm>
                          <a:prstGeom prst="rect"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                                                                                                     kebab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peel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remove the outer covering or skin from (a fruit or vegetable)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cut/chop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a method for cutting food into bite-sized pieces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spread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elius" w:cs="Delius" w:eastAsia="Delius" w:hAnsi="Delius"/>
                <w:sz w:val="21"/>
                <w:szCs w:val="21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1"/>
                <w:szCs w:val="21"/>
                <w:highlight w:val="white"/>
                <w:rtl w:val="0"/>
              </w:rPr>
              <w:t xml:space="preserve">foods that are applied, generally with a knife, onto bread, crackers and similar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Healthy diet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Eating a variety of healthy foods including 5 portions of fruit and vegetables each day.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Key Knowledge (in teaching order with corresponding subject specific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 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hd w:fill="93c47d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93c47d" w:val="clear"/>
                <w:rtl w:val="0"/>
              </w:rPr>
              <w:t xml:space="preserve">We should eat 5 portions of fruit and vegetables a day to stay healthy.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  <w:shd w:fill="f9cb9c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hd w:fill="f9cb9c" w:val="clear"/>
                <w:rtl w:val="0"/>
              </w:rPr>
              <w:t xml:space="preserve">To use a knife safely to spread butter onto toast and cut the toast in half using the bridge hold method.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f9cb9c" w:val="clear"/>
                <w:rtl w:val="0"/>
              </w:rPr>
              <w:t xml:space="preserve">Select ingredients to make a healthy and tasty wrap.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f9cb9c" w:val="clear"/>
                <w:rtl w:val="0"/>
              </w:rPr>
              <w:t xml:space="preserve">Use a peeler and a grater safely.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f9cb9c" w:val="clear"/>
                <w:rtl w:val="0"/>
              </w:rPr>
              <w:t xml:space="preserve">Prepare and make a fruit kebab.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f9cb9c" w:val="clear"/>
                <w:rtl w:val="0"/>
              </w:rPr>
              <w:t xml:space="preserve">Place fruit safely and carefully on a skewer.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28575</wp:posOffset>
                  </wp:positionV>
                  <wp:extent cx="2738438" cy="862430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438" cy="862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hd w:fill="f9cb9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hd w:fill="93c47d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93c47d" w:val="clear"/>
                <w:rtl w:val="0"/>
              </w:rPr>
              <w:t xml:space="preserve">Fruit and vegetables can be grown from plants or in the ground.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hd w:fill="93c47d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hd w:fill="93c47d" w:val="clear"/>
                <w:rtl w:val="0"/>
              </w:rPr>
              <w:t xml:space="preserve">Trying different foods is important.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hd w:fill="93c47d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hd w:fill="93c47d" w:val="clear"/>
                <w:rtl w:val="0"/>
              </w:rPr>
              <w:t xml:space="preserve">Make a healthy fruit kebab.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hd w:fill="93c47d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hd w:fill="93c47d" w:val="clear"/>
                <w:rtl w:val="0"/>
              </w:rPr>
              <w:t xml:space="preserve">Use kitchen equipment safely. 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sz w:val="20"/>
                <w:szCs w:val="20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widowControl w:val="0"/>
        <w:spacing w:line="240" w:lineRule="auto"/>
        <w:rPr>
          <w:sz w:val="16"/>
          <w:szCs w:val="16"/>
          <w:shd w:fill="b6d7a8" w:val="clear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23.14960629921416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elius">
    <w:embedRegular w:fontKey="{00000000-0000-0000-0000-000000000000}" r:id="rId1" w:subsetted="0"/>
  </w:font>
  <w:font w:name="Handlee">
    <w:embedRegular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elius-regular.ttf"/><Relationship Id="rId2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