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Equality Objectives 2025–2029</w:t>
      </w:r>
    </w:p>
    <w:p>
      <w:r>
        <w:t>At [School Name], we are committed to ensuring equality of opportunity for all members of our school community. Our values — Be Kind, Be Safe, Work Hard, Never Give Up — guide our approach to inclusion, belonging and respect.</w:t>
        <w:br/>
        <w:br/>
        <w:t>Under the Equality Act 2010, we have set the following objectives, based on our Equality and Diversity Action Plan and school context.</w:t>
      </w:r>
    </w:p>
    <w:p>
      <w:pPr>
        <w:pStyle w:val="Heading2"/>
      </w:pPr>
      <w:r>
        <w:t>Objective 1: Strengthen a welcoming and inclusive school community</w:t>
      </w:r>
    </w:p>
    <w:p>
      <w:r>
        <w:t>Linked Action Plan Areas: 1 (School Community) &amp; 2 (School Environment)</w:t>
      </w:r>
    </w:p>
    <w:p>
      <w:r>
        <w:t>We will:</w:t>
        <w:br/>
        <w:t>- Work closely with parents from all backgrounds, including asylum-seeking and refugee families, to celebrate different cultures and faiths.</w:t>
        <w:br/>
        <w:t>- Hold annual multicultural events and integrate learning about major world celebrations such as Eid, Ramadan, Diwali and Chinese New Year.</w:t>
        <w:br/>
        <w:t>- Continue using No Outsiders and British Values teaching to promote respect and understanding of differences.</w:t>
      </w:r>
    </w:p>
    <w:p>
      <w:r>
        <w:t>Success Measure:</w:t>
        <w:br/>
        <w:t>Parents and pupils from all backgrounds report feeling welcome and represented in school life; pupil voice reflects increased understanding and celebration of diversity.</w:t>
      </w:r>
    </w:p>
    <w:p>
      <w:pPr>
        <w:pStyle w:val="Heading2"/>
      </w:pPr>
      <w:r>
        <w:t>Objective 2: Ensure equity and inclusion in achievement and opportunity</w:t>
      </w:r>
    </w:p>
    <w:p>
      <w:r>
        <w:t>Linked Action Plan Areas: 4 (Curriculum and Resources) &amp; 5 (Guidance, Policies and Procedures)</w:t>
      </w:r>
    </w:p>
    <w:p>
      <w:r>
        <w:t>We will:</w:t>
        <w:br/>
        <w:t>- Narrow attainment gaps between disadvantaged pupils, pupils with English as an Additional Language (EAL), and their peers in reading, writing and maths.</w:t>
        <w:br/>
        <w:t>- Ensure curriculum plans reflect diversity and include positive role models from a wide range of backgrounds, cultures and abilities.</w:t>
        <w:br/>
        <w:t>- Audit resources regularly to ensure books and displays promote equality and challenge stereotypes.</w:t>
      </w:r>
    </w:p>
    <w:p>
      <w:r>
        <w:t>Success Measure:</w:t>
        <w:br/>
        <w:t>Progress data shows reduced gaps between disadvantaged/EAL pupils and their peers; classroom and corridor displays and texts reflect a diverse and inclusive curriculum.</w:t>
      </w:r>
    </w:p>
    <w:p>
      <w:pPr>
        <w:pStyle w:val="Heading2"/>
      </w:pPr>
      <w:r>
        <w:t>Objective 3: Develop staff confidence and understanding in equality and diversity</w:t>
      </w:r>
    </w:p>
    <w:p>
      <w:r>
        <w:t>Linked Action Plan Area: 3 (Staff Training, Knowledge and Understanding)</w:t>
      </w:r>
    </w:p>
    <w:p>
      <w:r>
        <w:t>We will:</w:t>
        <w:br/>
        <w:t>- Provide ongoing staff training to build confidence in discussing issues of equality, diversity and inclusion.</w:t>
        <w:br/>
        <w:t>- Support staff to address discriminatory language and behaviour proactively and consistently.</w:t>
        <w:br/>
        <w:t>- Embed equality principles into all policy reviews and recruitment processes.</w:t>
      </w:r>
    </w:p>
    <w:p>
      <w:r>
        <w:t>Success Measure:</w:t>
        <w:br/>
        <w:t>All staff report increased confidence through surveys; behaviour logs show a reduction in discriminatory incidents; policies and recruitment materials promote equality.</w:t>
      </w:r>
    </w:p>
    <w:p>
      <w:pPr>
        <w:pStyle w:val="Heading2"/>
      </w:pPr>
      <w:r>
        <w:t>Objective 4: Strengthen pupil voice and participation</w:t>
      </w:r>
    </w:p>
    <w:p>
      <w:r>
        <w:t>Linked Action Plan Areas: 2 (School Environment) &amp; 4 (Curriculum and Resources)</w:t>
      </w:r>
    </w:p>
    <w:p>
      <w:r>
        <w:t>We will:</w:t>
        <w:br/>
        <w:t>- Provide opportunities for pupils from all backgrounds, including asylum-seeking and disadvantaged pupils, to take on leadership roles (e.g. School Council, Eco-Team, Playground Leaders).</w:t>
        <w:br/>
        <w:t>- Use pupil voice to review equality initiatives and inform school decisions.</w:t>
      </w:r>
    </w:p>
    <w:p>
      <w:r>
        <w:t>Success Measure:</w:t>
        <w:br/>
        <w:t>Participation in leadership and enrichment activities reflects the diversity of the school population; pupils articulate a strong sense of belonging and fairness.</w:t>
      </w:r>
    </w:p>
    <w:p>
      <w:pPr>
        <w:pStyle w:val="Heading2"/>
      </w:pPr>
      <w:r>
        <w:t>Review and Monitoring</w:t>
      </w:r>
    </w:p>
    <w:p>
      <w:r>
        <w:t>These objectives will be reviewed annually and updated every four years in line with statutory guidance. Progress will be monitored through pupil outcomes, behaviour and attendance data, staff and pupil surveys, and parent feedback.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