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6133A6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206807">
        <w:t>Baguley Hall Primary School</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DC9605" w14:textId="77777777" w:rsidR="00206807" w:rsidRDefault="00206807" w:rsidP="00206807">
            <w:pPr>
              <w:pStyle w:val="TableRow"/>
              <w:ind w:left="0"/>
            </w:pPr>
            <w:r>
              <w:t>474</w:t>
            </w:r>
          </w:p>
          <w:p w14:paraId="2A7D54B9" w14:textId="4454781A" w:rsidR="002940F3" w:rsidRDefault="002940F3" w:rsidP="00206807">
            <w:pPr>
              <w:pStyle w:val="TableRow"/>
              <w:ind w:left="0" w:right="0"/>
            </w:pP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7905BED" w:rsidR="002940F3" w:rsidRDefault="00206807" w:rsidP="00C31636">
            <w:pPr>
              <w:pStyle w:val="TableRow"/>
              <w:ind w:left="0" w:right="0"/>
            </w:pPr>
            <w:r>
              <w:t>56%</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8C9B1D" w14:textId="77777777" w:rsidR="002940F3" w:rsidRDefault="00206807" w:rsidP="00206807">
            <w:pPr>
              <w:pStyle w:val="TableRow"/>
              <w:ind w:left="0" w:right="0"/>
            </w:pPr>
            <w:r>
              <w:t xml:space="preserve">2025-2026 </w:t>
            </w:r>
          </w:p>
          <w:p w14:paraId="3C9277D7" w14:textId="77777777" w:rsidR="00206807" w:rsidRDefault="00206807" w:rsidP="00206807">
            <w:pPr>
              <w:pStyle w:val="TableRow"/>
              <w:ind w:left="0" w:right="0"/>
            </w:pPr>
            <w:r>
              <w:t>2026-2027</w:t>
            </w:r>
          </w:p>
          <w:p w14:paraId="2A7D54BF" w14:textId="103BB7D3" w:rsidR="00206807" w:rsidRDefault="00206807" w:rsidP="00206807">
            <w:pPr>
              <w:pStyle w:val="TableRow"/>
              <w:ind w:left="0" w:right="0"/>
            </w:pPr>
            <w:r>
              <w:t>2027-2028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4A089EB" w:rsidR="002940F3" w:rsidRDefault="00206807" w:rsidP="00C31636">
            <w:pPr>
              <w:pStyle w:val="TableRow"/>
              <w:ind w:left="0" w:right="0"/>
            </w:pPr>
            <w:r>
              <w:t>November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8B14EB5" w:rsidR="002940F3" w:rsidRDefault="00206807" w:rsidP="00C31636">
            <w:pPr>
              <w:pStyle w:val="TableRow"/>
              <w:ind w:left="0" w:right="0"/>
            </w:pPr>
            <w:r>
              <w:t>15</w:t>
            </w:r>
            <w:r w:rsidRPr="00206807">
              <w:rPr>
                <w:vertAlign w:val="superscript"/>
              </w:rPr>
              <w:t>th</w:t>
            </w:r>
            <w:r>
              <w:t xml:space="preserve"> 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EF6ED15" w:rsidR="002940F3" w:rsidRDefault="00FF3538" w:rsidP="00C31636">
            <w:pPr>
              <w:pStyle w:val="TableRow"/>
              <w:ind w:left="0" w:right="0"/>
            </w:pPr>
            <w:r>
              <w:t>LGB</w:t>
            </w:r>
            <w:bookmarkStart w:id="14" w:name="_GoBack"/>
            <w:bookmarkEnd w:id="14"/>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170171B" w:rsidR="002940F3" w:rsidRDefault="00206807" w:rsidP="00C31636">
            <w:pPr>
              <w:pStyle w:val="TableRow"/>
              <w:ind w:left="0" w:right="0"/>
            </w:pPr>
            <w:r>
              <w:t>Ashley Rogers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77777" w:rsidR="002940F3" w:rsidRDefault="002940F3" w:rsidP="00C31636">
            <w:pPr>
              <w:pStyle w:val="TableRow"/>
              <w:ind w:left="0" w:right="0"/>
            </w:pP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CEC8A37" w:rsidR="00E66558" w:rsidRDefault="009D71E8" w:rsidP="00C31636">
            <w:pPr>
              <w:pStyle w:val="TableRow"/>
              <w:ind w:left="0" w:right="0"/>
            </w:pPr>
            <w:r>
              <w:t>£</w:t>
            </w:r>
            <w:r w:rsidR="003C272C" w:rsidRPr="003C272C">
              <w:t>392,540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7CF0481" w:rsidR="00E66558" w:rsidRDefault="009D71E8" w:rsidP="00C31636">
            <w:pPr>
              <w:pStyle w:val="TableRow"/>
              <w:ind w:left="0" w:right="0"/>
            </w:pPr>
            <w:r>
              <w:t>£</w:t>
            </w:r>
            <w:r w:rsidR="003C272C">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E7431F1" w:rsidR="00E66558" w:rsidRDefault="009D71E8" w:rsidP="00C31636">
            <w:pPr>
              <w:pStyle w:val="TableRow"/>
              <w:ind w:left="0" w:right="0"/>
            </w:pPr>
            <w:r>
              <w:t>£</w:t>
            </w:r>
            <w:r w:rsidR="003C272C" w:rsidRPr="003C272C">
              <w:t>392,540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30A51" w14:textId="44094DCB" w:rsidR="00E66558" w:rsidRDefault="00206807" w:rsidP="00206807">
            <w:r>
              <w:t>At Baguley Hall Primary School, our mission is to ensure that every child, regardless of background or starting point, thrives academically, socially and personally. Our Pupil Premium strategy is designed to remove barriers for disadvantaged pupils, accelerate progress, and secure sustained improvement so that outcomes for these pupils are consistently in line with, or above, those of their peers locally and nationally.</w:t>
            </w:r>
          </w:p>
          <w:p w14:paraId="648C3D49" w14:textId="3C44BF14" w:rsidR="003451E8" w:rsidRDefault="003451E8" w:rsidP="00206807">
            <w:r>
              <w:t>The proportion of pupils in receipt of Pupil premium at Baguley Hall Primary School is well above average. It is also above the local authority average. Many of our pupils have multiple indices of disadvantage. We aim to provide holistic support to our pupils in order to help them to make accelerated progress academically and in personal and social development.</w:t>
            </w:r>
          </w:p>
          <w:p w14:paraId="0E6E5C32" w14:textId="27BA31A4" w:rsidR="003451E8" w:rsidRDefault="003451E8" w:rsidP="003451E8">
            <w:pPr>
              <w:spacing w:after="0"/>
            </w:pPr>
            <w:r>
              <w:t>Objectives for Disadvantaged Pupils</w:t>
            </w:r>
          </w:p>
          <w:p w14:paraId="3AD398B2" w14:textId="77777777" w:rsidR="003451E8" w:rsidRDefault="003451E8" w:rsidP="003451E8">
            <w:pPr>
              <w:spacing w:after="0"/>
            </w:pPr>
            <w:r>
              <w:t>• Disadvantaged pupils achieve in line with or above non-disadvantaged pupils in reading, writing, and mathematics.</w:t>
            </w:r>
          </w:p>
          <w:p w14:paraId="6295B6C9" w14:textId="77777777" w:rsidR="003451E8" w:rsidRDefault="003451E8" w:rsidP="003451E8">
            <w:pPr>
              <w:spacing w:after="0"/>
            </w:pPr>
            <w:r>
              <w:t>• Early language, phonics and reading fluency gaps narrow rapidly through high-quality early years practice.</w:t>
            </w:r>
          </w:p>
          <w:p w14:paraId="249219DC" w14:textId="77777777" w:rsidR="003451E8" w:rsidRDefault="003451E8" w:rsidP="003451E8">
            <w:pPr>
              <w:spacing w:after="0"/>
            </w:pPr>
            <w:r>
              <w:t>• Disadvantaged pupils with SEND make strong progress from individual starting points.</w:t>
            </w:r>
          </w:p>
          <w:p w14:paraId="13F6C26C" w14:textId="77777777" w:rsidR="003451E8" w:rsidRDefault="003451E8" w:rsidP="003451E8">
            <w:pPr>
              <w:spacing w:after="0"/>
            </w:pPr>
            <w:r>
              <w:t>• Attendance improves so that disadvantaged pupils meet or exceed local authority averages, with persistent absence significantly reduced.</w:t>
            </w:r>
          </w:p>
          <w:p w14:paraId="7C8D773B" w14:textId="77777777" w:rsidR="003451E8" w:rsidRDefault="003451E8" w:rsidP="003451E8">
            <w:pPr>
              <w:spacing w:after="0"/>
            </w:pPr>
            <w:r>
              <w:t>• Disadvantaged pupils develop positive attitudes to learning, emotional resilience, and confidence.</w:t>
            </w:r>
          </w:p>
          <w:p w14:paraId="54A35629" w14:textId="5A241602" w:rsidR="003451E8" w:rsidRDefault="003451E8" w:rsidP="003451E8">
            <w:pPr>
              <w:spacing w:after="0"/>
            </w:pPr>
            <w:r>
              <w:t>• Pupils access rich enrichment, cultural capital experiences, and wider opportunities.</w:t>
            </w:r>
          </w:p>
          <w:p w14:paraId="2A7D54E9" w14:textId="0FD73B1A" w:rsidR="00206807" w:rsidRPr="00206807" w:rsidRDefault="00206807" w:rsidP="00206807">
            <w:pPr>
              <w:rPr>
                <w:i/>
                <w:iCs/>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E211EA8" w:rsidR="00E66558" w:rsidRPr="00A23AB3" w:rsidRDefault="00A23AB3" w:rsidP="00A23AB3">
            <w:pPr>
              <w:pStyle w:val="TableRowCentered"/>
              <w:ind w:left="0" w:right="0"/>
              <w:jc w:val="left"/>
            </w:pPr>
            <w:r w:rsidRPr="00734759">
              <w:rPr>
                <w:iCs/>
                <w:szCs w:val="22"/>
              </w:rPr>
              <w:t>The proportion disadvantaged pupils achieving a Good Level of Development at the end of Reception shows a three-year downwards trend. GLD has fallen by 20 percentage points since 2023. It is now well below local and national averages for this group of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CDD1341" w:rsidR="00E66558" w:rsidRPr="00734759" w:rsidRDefault="00BB4258" w:rsidP="00BB4258">
            <w:pPr>
              <w:pStyle w:val="TableRowCentered"/>
              <w:ind w:left="0" w:right="0"/>
              <w:jc w:val="left"/>
              <w:rPr>
                <w:szCs w:val="22"/>
              </w:rPr>
            </w:pPr>
            <w:r w:rsidRPr="00734759">
              <w:rPr>
                <w:szCs w:val="22"/>
              </w:rPr>
              <w:t>Disadvantaged pupils at end of Key Stage 2 are in-line or above local and national averages when compared with other disadvantaged pupils. There is a 10% or more gap to non-disadvantaged nationally at expected standard.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C35053B" w:rsidR="00E66558" w:rsidRPr="00734759" w:rsidRDefault="00BB4258" w:rsidP="00C31636">
            <w:pPr>
              <w:pStyle w:val="TableRowCentered"/>
              <w:ind w:left="0" w:right="0"/>
              <w:jc w:val="left"/>
              <w:rPr>
                <w:szCs w:val="22"/>
              </w:rPr>
            </w:pPr>
            <w:r w:rsidRPr="00734759">
              <w:rPr>
                <w:szCs w:val="22"/>
              </w:rPr>
              <w:t>The percentage of disadvantaged pupils achieving Greater Depth Standard is low in all subjects and in RWM combined.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69B1BF" w:rsidR="00E66558" w:rsidRPr="00734759" w:rsidRDefault="00EF5CED" w:rsidP="00C31636">
            <w:pPr>
              <w:pStyle w:val="TableRowCentered"/>
              <w:ind w:left="0" w:right="0"/>
              <w:jc w:val="left"/>
              <w:rPr>
                <w:iCs/>
              </w:rPr>
            </w:pPr>
            <w:r w:rsidRPr="00734759">
              <w:rPr>
                <w:iCs/>
              </w:rPr>
              <w:t>The attendance of pupils in receipt of Free School Meals is 3% lower than non-FSM children at Baguley Hall. Persitent absence of disadvantaged pupils 11% higher is higher than non-disadvantaged.</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5EEB42F" w:rsidR="00E66558" w:rsidRPr="00734759" w:rsidRDefault="00EF5CED" w:rsidP="00C31636">
            <w:pPr>
              <w:pStyle w:val="TableRow"/>
              <w:ind w:left="0" w:right="0"/>
            </w:pPr>
            <w:r w:rsidRPr="00734759">
              <w:t xml:space="preserve">A significant increase in the proportion of disadvantaged pupils achieving a </w:t>
            </w:r>
            <w:r w:rsidRPr="00734759">
              <w:rPr>
                <w:rStyle w:val="Strong"/>
              </w:rPr>
              <w:t>Good Level of Development (GLD)</w:t>
            </w:r>
            <w:r w:rsidRPr="00734759">
              <w:t>, driven by stronger early literacy, communication, and language development.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C0B" w14:textId="370D172C" w:rsidR="00EF5CED" w:rsidRPr="00734759" w:rsidRDefault="00EF5CED" w:rsidP="00EF5CED">
            <w:pPr>
              <w:pStyle w:val="TableRowCentered"/>
              <w:ind w:left="0"/>
              <w:jc w:val="left"/>
              <w:rPr>
                <w:szCs w:val="24"/>
              </w:rPr>
            </w:pPr>
            <w:r w:rsidRPr="00734759">
              <w:rPr>
                <w:szCs w:val="24"/>
              </w:rPr>
              <w:t>Disadvantaged GLD rises by at least 8 percentage points from 2025.</w:t>
            </w:r>
          </w:p>
          <w:p w14:paraId="3518FE13" w14:textId="404F8B25" w:rsidR="00EF5CED" w:rsidRPr="00734759" w:rsidRDefault="00EF5CED" w:rsidP="00EF5CED">
            <w:pPr>
              <w:pStyle w:val="TableRowCentered"/>
              <w:ind w:left="0"/>
              <w:jc w:val="left"/>
              <w:rPr>
                <w:szCs w:val="24"/>
              </w:rPr>
            </w:pPr>
            <w:r w:rsidRPr="00734759">
              <w:rPr>
                <w:szCs w:val="24"/>
              </w:rPr>
              <w:t>Gap to non-disadvantaged peers reduces by at least 5 percentage points.</w:t>
            </w:r>
          </w:p>
          <w:p w14:paraId="1AD7F12D" w14:textId="0D980979" w:rsidR="00EF5CED" w:rsidRPr="00734759" w:rsidRDefault="00EF5CED" w:rsidP="00EF5CED">
            <w:pPr>
              <w:pStyle w:val="TableRowCentered"/>
              <w:ind w:left="0"/>
              <w:jc w:val="left"/>
              <w:rPr>
                <w:szCs w:val="24"/>
              </w:rPr>
            </w:pPr>
            <w:r w:rsidRPr="00734759">
              <w:rPr>
                <w:szCs w:val="24"/>
              </w:rPr>
              <w:t>90%+ disadvantaged children assessed as on track in WellComm by end of each term.</w:t>
            </w:r>
          </w:p>
          <w:p w14:paraId="2A7D5505" w14:textId="1EEB08E9" w:rsidR="00E66558" w:rsidRPr="00734759" w:rsidRDefault="00EF5CED" w:rsidP="00EF5CED">
            <w:pPr>
              <w:pStyle w:val="TableRowCentered"/>
              <w:ind w:left="0" w:right="0"/>
              <w:jc w:val="left"/>
              <w:rPr>
                <w:szCs w:val="24"/>
              </w:rPr>
            </w:pPr>
            <w:r w:rsidRPr="00734759">
              <w:rPr>
                <w:szCs w:val="24"/>
              </w:rPr>
              <w:t>Early Years provision audits show consistent use of modelling, repetition, vocabulary immersion.</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CE03B2C" w:rsidR="00E66558" w:rsidRPr="00734759" w:rsidRDefault="00734759" w:rsidP="00C31636">
            <w:pPr>
              <w:pStyle w:val="TableRow"/>
              <w:ind w:left="0" w:right="0"/>
            </w:pPr>
            <w:r w:rsidRPr="00734759">
              <w:t xml:space="preserve">Disadvantaged pupils achieve </w:t>
            </w:r>
            <w:r w:rsidRPr="00734759">
              <w:rPr>
                <w:rStyle w:val="Strong"/>
              </w:rPr>
              <w:t>in line with or above national disadvantaged averages</w:t>
            </w:r>
            <w:r w:rsidRPr="00734759">
              <w:t xml:space="preserve"> at KS2 and close the gap to non-disadvantaged nationally.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2564C" w14:textId="77777777" w:rsidR="00734759" w:rsidRPr="00734759" w:rsidRDefault="00734759" w:rsidP="00734759">
            <w:pPr>
              <w:pStyle w:val="TableRowCentered"/>
              <w:ind w:left="0"/>
              <w:jc w:val="left"/>
              <w:rPr>
                <w:szCs w:val="24"/>
              </w:rPr>
            </w:pPr>
            <w:r w:rsidRPr="00734759">
              <w:rPr>
                <w:szCs w:val="24"/>
              </w:rPr>
              <w:t>Disadvantaged pupils’ EXS in Reading, Writing, Maths each improve by 5+ percentage points.</w:t>
            </w:r>
          </w:p>
          <w:p w14:paraId="2DC800F6" w14:textId="3ED05629" w:rsidR="00734759" w:rsidRPr="00734759" w:rsidRDefault="00734759" w:rsidP="00734759">
            <w:pPr>
              <w:pStyle w:val="TableRowCentered"/>
              <w:ind w:left="0"/>
              <w:jc w:val="left"/>
              <w:rPr>
                <w:szCs w:val="24"/>
              </w:rPr>
            </w:pPr>
            <w:r w:rsidRPr="00734759">
              <w:rPr>
                <w:szCs w:val="24"/>
              </w:rPr>
              <w:t>RWM combined gap to national non-disadvantaged narrows by 4+ pts.</w:t>
            </w:r>
          </w:p>
          <w:p w14:paraId="2A7D5508" w14:textId="42DEDB2D" w:rsidR="00E66558" w:rsidRPr="00734759" w:rsidRDefault="00734759" w:rsidP="00734759">
            <w:pPr>
              <w:pStyle w:val="TableRowCentered"/>
              <w:ind w:left="0" w:right="0"/>
              <w:jc w:val="left"/>
              <w:rPr>
                <w:szCs w:val="24"/>
              </w:rPr>
            </w:pPr>
            <w:r w:rsidRPr="00734759">
              <w:rPr>
                <w:szCs w:val="24"/>
              </w:rPr>
              <w:t>Termly assessment cycles show disadvantaged pupils meeting end-of-year targets at 80%+.</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CD8A611" w:rsidR="00E66558" w:rsidRPr="00734759" w:rsidRDefault="00734759" w:rsidP="00C31636">
            <w:pPr>
              <w:pStyle w:val="TableRow"/>
              <w:ind w:left="0" w:right="0"/>
            </w:pPr>
            <w:r w:rsidRPr="00734759">
              <w:t>More disadvantaged pupils achieve the Greater Depth Standard across Reading, Writing, Maths, and RWM combined.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4A52E" w14:textId="77777777" w:rsidR="00734759" w:rsidRPr="00734759" w:rsidRDefault="00734759" w:rsidP="00734759">
            <w:pPr>
              <w:pStyle w:val="TableRowCentered"/>
              <w:ind w:left="0"/>
              <w:jc w:val="left"/>
              <w:rPr>
                <w:szCs w:val="24"/>
              </w:rPr>
            </w:pPr>
            <w:r w:rsidRPr="00734759">
              <w:rPr>
                <w:szCs w:val="24"/>
              </w:rPr>
              <w:t>Disadvantaged GDS increases by at least 3 percentage points in Reading and Maths.</w:t>
            </w:r>
          </w:p>
          <w:p w14:paraId="45D361E4" w14:textId="5514F83E" w:rsidR="00734759" w:rsidRPr="00734759" w:rsidRDefault="00734759" w:rsidP="00734759">
            <w:pPr>
              <w:pStyle w:val="TableRowCentered"/>
              <w:ind w:left="0"/>
              <w:jc w:val="left"/>
              <w:rPr>
                <w:szCs w:val="24"/>
              </w:rPr>
            </w:pPr>
            <w:r w:rsidRPr="00734759">
              <w:rPr>
                <w:szCs w:val="24"/>
              </w:rPr>
              <w:t>All year groups implement stretch and challenge consistently (observations + book looks).</w:t>
            </w:r>
          </w:p>
          <w:p w14:paraId="2A7D550B" w14:textId="57CD1373" w:rsidR="00E66558" w:rsidRPr="00734759" w:rsidRDefault="00734759" w:rsidP="00734759">
            <w:pPr>
              <w:pStyle w:val="TableRowCentered"/>
              <w:ind w:left="0" w:right="0"/>
              <w:jc w:val="left"/>
              <w:rPr>
                <w:szCs w:val="24"/>
              </w:rPr>
            </w:pPr>
            <w:r w:rsidRPr="00734759">
              <w:rPr>
                <w:szCs w:val="24"/>
              </w:rPr>
              <w:t>The proportion of disadvantaged pupils in the top 20% of internal assessments rises by 10%.</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0BAC4ED" w:rsidR="00E66558" w:rsidRDefault="00734759" w:rsidP="00C31636">
            <w:pPr>
              <w:pStyle w:val="TableRow"/>
              <w:ind w:left="0" w:right="0"/>
              <w:rPr>
                <w:sz w:val="22"/>
                <w:szCs w:val="22"/>
              </w:rPr>
            </w:pPr>
            <w:r w:rsidRPr="00734759">
              <w:rPr>
                <w:szCs w:val="22"/>
              </w:rPr>
              <w:t>Disadvantaged and FSM pupils attend school more regularly, reducing the gap to non-FSM and lowering persistent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62D3" w14:textId="77777777" w:rsidR="00734759" w:rsidRPr="00734759" w:rsidRDefault="00734759" w:rsidP="00734759">
            <w:pPr>
              <w:pStyle w:val="TableRowCentered"/>
              <w:ind w:left="0"/>
              <w:jc w:val="left"/>
              <w:rPr>
                <w:szCs w:val="22"/>
              </w:rPr>
            </w:pPr>
            <w:r w:rsidRPr="00734759">
              <w:rPr>
                <w:szCs w:val="22"/>
              </w:rPr>
              <w:t>Disadvantaged attendance improves by 1.5 percentage points.</w:t>
            </w:r>
          </w:p>
          <w:p w14:paraId="389CEA82" w14:textId="77777777" w:rsidR="00734759" w:rsidRPr="00734759" w:rsidRDefault="00734759" w:rsidP="00734759">
            <w:pPr>
              <w:pStyle w:val="TableRowCentered"/>
              <w:ind w:left="0"/>
              <w:jc w:val="left"/>
              <w:rPr>
                <w:szCs w:val="22"/>
              </w:rPr>
            </w:pPr>
            <w:r w:rsidRPr="00734759">
              <w:rPr>
                <w:szCs w:val="22"/>
              </w:rPr>
              <w:t>Gap to non-disadvantaged attendance reduces from 3% to below 2%.</w:t>
            </w:r>
          </w:p>
          <w:p w14:paraId="2A7D550E" w14:textId="21C27542" w:rsidR="00E66558" w:rsidRPr="00734759" w:rsidRDefault="00734759" w:rsidP="00734759">
            <w:pPr>
              <w:pStyle w:val="TableRowCentered"/>
              <w:ind w:left="0"/>
              <w:jc w:val="left"/>
              <w:rPr>
                <w:szCs w:val="22"/>
              </w:rPr>
            </w:pPr>
            <w:r w:rsidRPr="00734759">
              <w:rPr>
                <w:szCs w:val="22"/>
              </w:rPr>
              <w:t xml:space="preserve">Persistent absence for disadvantaged reduces by at least </w:t>
            </w:r>
            <w:r>
              <w:rPr>
                <w:szCs w:val="22"/>
              </w:rPr>
              <w:t>3</w:t>
            </w:r>
            <w:r w:rsidRPr="00734759">
              <w:rPr>
                <w:szCs w:val="22"/>
              </w:rPr>
              <w:t xml:space="preserve"> percentage points.</w:t>
            </w:r>
          </w:p>
        </w:tc>
      </w:tr>
      <w:tr w:rsidR="00734759" w14:paraId="2F79D42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12C3" w14:textId="6451E35A" w:rsidR="00734759" w:rsidRPr="00734759" w:rsidRDefault="00734759" w:rsidP="00C31636">
            <w:pPr>
              <w:pStyle w:val="TableRow"/>
              <w:ind w:left="0" w:right="0"/>
              <w:rPr>
                <w:szCs w:val="22"/>
              </w:rPr>
            </w:pPr>
            <w:r w:rsidRPr="00734759">
              <w:rPr>
                <w:szCs w:val="22"/>
              </w:rPr>
              <w:t>Disadvantaged pupils experience a broader range of high-quality enrichment, leadership, and cultural opportunities, and access strengthened support networks through improved engagement with families, community partners, and multi-agency services.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F75D" w14:textId="77777777" w:rsidR="00734759" w:rsidRPr="00734759" w:rsidRDefault="00734759" w:rsidP="00734759">
            <w:pPr>
              <w:pStyle w:val="TableRowCentered"/>
              <w:ind w:left="0"/>
              <w:jc w:val="left"/>
              <w:rPr>
                <w:szCs w:val="22"/>
              </w:rPr>
            </w:pPr>
            <w:r w:rsidRPr="00734759">
              <w:rPr>
                <w:szCs w:val="22"/>
              </w:rPr>
              <w:t>At least 85% of disadvantaged pupils take part in one or more enrichment activities, trips, clubs, or leadership roles each term.</w:t>
            </w:r>
          </w:p>
          <w:p w14:paraId="216B85BF" w14:textId="10DCA798" w:rsidR="00734759" w:rsidRPr="00734759" w:rsidRDefault="00734759" w:rsidP="00734759">
            <w:pPr>
              <w:pStyle w:val="TableRowCentered"/>
              <w:ind w:left="0"/>
              <w:jc w:val="left"/>
              <w:rPr>
                <w:szCs w:val="22"/>
              </w:rPr>
            </w:pPr>
            <w:r>
              <w:rPr>
                <w:szCs w:val="22"/>
              </w:rPr>
              <w:t>There is measurable data showing pupil premium participation in extra-curricular activities. The data shows and increase over the academic year.</w:t>
            </w:r>
          </w:p>
          <w:p w14:paraId="2F5D75B8" w14:textId="66F1977C" w:rsidR="00734759" w:rsidRPr="00734759" w:rsidRDefault="00734759" w:rsidP="00734759">
            <w:pPr>
              <w:pStyle w:val="TableRowCentered"/>
              <w:ind w:left="0"/>
              <w:jc w:val="left"/>
              <w:rPr>
                <w:szCs w:val="22"/>
              </w:rPr>
            </w:pPr>
          </w:p>
        </w:tc>
      </w:tr>
    </w:tbl>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5031F623" w14:textId="77777777" w:rsidR="00D565B5" w:rsidRDefault="009D71E8" w:rsidP="00D565B5">
      <w:pPr>
        <w:spacing w:before="240" w:after="120"/>
      </w:pPr>
      <w:r>
        <w:t>Budgeted cost: £</w:t>
      </w:r>
      <w:r w:rsidR="00D565B5">
        <w:t>108,299.45</w:t>
      </w:r>
    </w:p>
    <w:p w14:paraId="2A7D5515" w14:textId="2AA32793" w:rsidR="00E66558" w:rsidRDefault="00E66558"/>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3C272C" w:rsidRPr="009F680D" w14:paraId="6ABF42A0" w14:textId="77777777" w:rsidTr="003C272C">
              <w:trPr>
                <w:tblCellSpacing w:w="15" w:type="dxa"/>
              </w:trPr>
              <w:tc>
                <w:tcPr>
                  <w:tcW w:w="0" w:type="auto"/>
                  <w:vAlign w:val="center"/>
                  <w:hideMark/>
                </w:tcPr>
                <w:p w14:paraId="131A15B3" w14:textId="77777777" w:rsidR="003C272C" w:rsidRPr="009F680D" w:rsidRDefault="003C272C" w:rsidP="003C272C">
                  <w:pPr>
                    <w:pStyle w:val="TableRow"/>
                    <w:rPr>
                      <w:iCs/>
                      <w:szCs w:val="22"/>
                    </w:rPr>
                  </w:pPr>
                  <w:r w:rsidRPr="009F680D">
                    <w:rPr>
                      <w:iCs/>
                      <w:szCs w:val="22"/>
                    </w:rPr>
                    <w:t>High-quality CPD on early reading, language acquisition, modelling, retrieval, and adaptive teaching (including Logan Framework in EYFS)</w:t>
                  </w:r>
                </w:p>
              </w:tc>
            </w:tr>
          </w:tbl>
          <w:p w14:paraId="466BE2B8" w14:textId="77777777" w:rsidR="003C272C" w:rsidRPr="009F680D" w:rsidRDefault="003C272C" w:rsidP="003C272C">
            <w:pPr>
              <w:pStyle w:val="TableRow"/>
              <w:rPr>
                <w:iCs/>
                <w:vanish/>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272C" w:rsidRPr="009F680D" w14:paraId="08023286" w14:textId="77777777" w:rsidTr="003C272C">
              <w:trPr>
                <w:tblCellSpacing w:w="15" w:type="dxa"/>
              </w:trPr>
              <w:tc>
                <w:tcPr>
                  <w:tcW w:w="0" w:type="auto"/>
                  <w:vAlign w:val="center"/>
                  <w:hideMark/>
                </w:tcPr>
                <w:p w14:paraId="33E58A95" w14:textId="030F3EC0" w:rsidR="003C272C" w:rsidRPr="009F680D" w:rsidRDefault="003C272C" w:rsidP="003C272C">
                  <w:pPr>
                    <w:pStyle w:val="TableRow"/>
                    <w:rPr>
                      <w:iCs/>
                      <w:szCs w:val="22"/>
                    </w:rPr>
                  </w:pPr>
                </w:p>
              </w:tc>
            </w:tr>
          </w:tbl>
          <w:p w14:paraId="57590197" w14:textId="77777777" w:rsidR="003C272C" w:rsidRPr="009F680D" w:rsidRDefault="003C272C" w:rsidP="003C272C">
            <w:pPr>
              <w:pStyle w:val="TableRow"/>
              <w:rPr>
                <w:i/>
                <w:iCs/>
                <w:vanish/>
                <w:szCs w:val="22"/>
              </w:rPr>
            </w:pPr>
          </w:p>
          <w:p w14:paraId="2A7D551A" w14:textId="7CD1AE56" w:rsidR="00E66558" w:rsidRPr="009F680D"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7AE6F029" w:rsidR="00E66558" w:rsidRPr="009F680D" w:rsidRDefault="003C272C" w:rsidP="00C31636">
            <w:pPr>
              <w:pStyle w:val="TableRowCentered"/>
              <w:ind w:left="0" w:right="0"/>
              <w:jc w:val="left"/>
            </w:pPr>
            <w:r w:rsidRPr="009F680D">
              <w:rPr>
                <w:iCs/>
                <w:szCs w:val="22"/>
              </w:rPr>
              <w:t>EEF: High-quality teaching disproportionately benefits disadvantaged pupils; oral language approaches + phonics have “high impact.” Early cognitive science approaches (modelling, scaffolding, retrieval) improve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3C272C" w:rsidRPr="009F680D" w14:paraId="4F2BD545" w14:textId="77777777" w:rsidTr="003C272C">
              <w:trPr>
                <w:tblCellSpacing w:w="15" w:type="dxa"/>
              </w:trPr>
              <w:tc>
                <w:tcPr>
                  <w:tcW w:w="0" w:type="auto"/>
                  <w:vAlign w:val="center"/>
                  <w:hideMark/>
                </w:tcPr>
                <w:p w14:paraId="36A7671F" w14:textId="77777777" w:rsidR="003C272C" w:rsidRPr="009F680D" w:rsidRDefault="003C272C" w:rsidP="003C272C">
                  <w:pPr>
                    <w:pStyle w:val="TableRow"/>
                    <w:rPr>
                      <w:iCs/>
                      <w:szCs w:val="22"/>
                    </w:rPr>
                  </w:pPr>
                  <w:r w:rsidRPr="009F680D">
                    <w:rPr>
                      <w:iCs/>
                      <w:szCs w:val="22"/>
                    </w:rPr>
                    <w:t>1, 2</w:t>
                  </w:r>
                </w:p>
              </w:tc>
            </w:tr>
          </w:tbl>
          <w:p w14:paraId="2A7D551C" w14:textId="77777777" w:rsidR="00E66558" w:rsidRPr="009F680D" w:rsidRDefault="00E66558" w:rsidP="00C31636">
            <w:pPr>
              <w:pStyle w:val="TableRowCentered"/>
              <w:ind w:left="0" w:right="0"/>
              <w:jc w:val="left"/>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3C272C" w:rsidRPr="009F680D" w14:paraId="483D7762" w14:textId="77777777" w:rsidTr="003C272C">
              <w:trPr>
                <w:tblCellSpacing w:w="15" w:type="dxa"/>
              </w:trPr>
              <w:tc>
                <w:tcPr>
                  <w:tcW w:w="0" w:type="auto"/>
                  <w:vAlign w:val="center"/>
                  <w:hideMark/>
                </w:tcPr>
                <w:p w14:paraId="72231DDC" w14:textId="77777777" w:rsidR="003C272C" w:rsidRPr="009F680D" w:rsidRDefault="003C272C" w:rsidP="003C272C">
                  <w:pPr>
                    <w:pStyle w:val="TableRow"/>
                  </w:pPr>
                  <w:r w:rsidRPr="009F680D">
                    <w:t>Strengthening curriculum sequencing and subject leadership to ensure disadvantaged pupils access cumulative knowledge and consistent pedagogy</w:t>
                  </w:r>
                </w:p>
              </w:tc>
            </w:tr>
          </w:tbl>
          <w:p w14:paraId="7919CB2E" w14:textId="77777777" w:rsidR="003C272C" w:rsidRPr="009F680D" w:rsidRDefault="003C272C" w:rsidP="003C272C">
            <w:pPr>
              <w:pStyle w:val="TableRow"/>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272C" w:rsidRPr="009F680D" w14:paraId="7B2770C1" w14:textId="77777777" w:rsidTr="003C272C">
              <w:trPr>
                <w:tblCellSpacing w:w="15" w:type="dxa"/>
              </w:trPr>
              <w:tc>
                <w:tcPr>
                  <w:tcW w:w="0" w:type="auto"/>
                  <w:vAlign w:val="center"/>
                  <w:hideMark/>
                </w:tcPr>
                <w:p w14:paraId="6D94A915" w14:textId="4B23DC1C" w:rsidR="003C272C" w:rsidRPr="009F680D" w:rsidRDefault="003C272C" w:rsidP="003C272C">
                  <w:pPr>
                    <w:pStyle w:val="TableRow"/>
                  </w:pPr>
                </w:p>
              </w:tc>
            </w:tr>
          </w:tbl>
          <w:p w14:paraId="331D8C22" w14:textId="77777777" w:rsidR="003C272C" w:rsidRPr="009F680D" w:rsidRDefault="003C272C" w:rsidP="003C272C">
            <w:pPr>
              <w:pStyle w:val="TableRow"/>
              <w:rPr>
                <w:i/>
                <w:vanish/>
              </w:rPr>
            </w:pPr>
          </w:p>
          <w:p w14:paraId="2A7D551E" w14:textId="77777777" w:rsidR="00E66558" w:rsidRPr="009F680D" w:rsidRDefault="00E66558" w:rsidP="00C31636">
            <w:pPr>
              <w:pStyle w:val="TableRow"/>
              <w:ind w:left="0" w:right="0"/>
              <w:rPr>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34A0BE5" w:rsidR="00E66558" w:rsidRPr="009F680D" w:rsidRDefault="003C272C" w:rsidP="00C31636">
            <w:pPr>
              <w:pStyle w:val="TableRowCentered"/>
              <w:ind w:left="0" w:right="0"/>
              <w:jc w:val="left"/>
            </w:pPr>
            <w:r w:rsidRPr="009F680D">
              <w:t>Ofsted EIF + EEF evidence on coherent curriculum design improving long-term learning and reducing gaps; especially impactful for disadvantaged learners who rely more heavily on in-school curriculum exposure.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3C272C" w:rsidRPr="009F680D" w14:paraId="65BF37F7" w14:textId="77777777" w:rsidTr="003C272C">
              <w:trPr>
                <w:tblCellSpacing w:w="15" w:type="dxa"/>
              </w:trPr>
              <w:tc>
                <w:tcPr>
                  <w:tcW w:w="0" w:type="auto"/>
                  <w:vAlign w:val="center"/>
                  <w:hideMark/>
                </w:tcPr>
                <w:p w14:paraId="2F5EDFDF" w14:textId="77777777" w:rsidR="003C272C" w:rsidRPr="009F680D" w:rsidRDefault="003C272C" w:rsidP="003C272C">
                  <w:pPr>
                    <w:pStyle w:val="TableRow"/>
                  </w:pPr>
                  <w:r w:rsidRPr="009F680D">
                    <w:t>2, 3</w:t>
                  </w:r>
                </w:p>
              </w:tc>
            </w:tr>
          </w:tbl>
          <w:p w14:paraId="2A7D5520" w14:textId="77777777" w:rsidR="00E66558" w:rsidRPr="009F680D" w:rsidRDefault="00E66558" w:rsidP="00C31636">
            <w:pPr>
              <w:pStyle w:val="TableRowCentered"/>
              <w:ind w:left="0" w:right="0"/>
              <w:jc w:val="left"/>
            </w:pPr>
          </w:p>
        </w:tc>
      </w:tr>
      <w:tr w:rsidR="003C272C" w14:paraId="075770C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FE1C" w14:textId="7B60AFEA" w:rsidR="003C272C" w:rsidRPr="009F680D" w:rsidRDefault="003C272C" w:rsidP="003C272C">
            <w:pPr>
              <w:pStyle w:val="TableRow"/>
            </w:pPr>
            <w:r w:rsidRPr="009F680D">
              <w:t>CPD on reading fluency, comprehension strategies, and vocabulary instruction across KS1–2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B64BE" w14:textId="0812C816" w:rsidR="003C272C" w:rsidRPr="009F680D" w:rsidRDefault="003C272C" w:rsidP="003C272C">
            <w:pPr>
              <w:pStyle w:val="TableRow"/>
            </w:pPr>
            <w:r w:rsidRPr="009F680D">
              <w:t>EEF Reading Comprehension Strategies: “High impact for very low cost.” Essential for closing KS2 Reading gap. Fluency-based instruction improves outcomes for lower prior attainers.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AE82" w14:textId="1E1B47BE" w:rsidR="003C272C" w:rsidRPr="009F680D" w:rsidRDefault="003C272C" w:rsidP="003C272C">
            <w:pPr>
              <w:pStyle w:val="TableRow"/>
            </w:pPr>
            <w:r w:rsidRPr="009F680D">
              <w:t>1, 2</w:t>
            </w:r>
          </w:p>
        </w:tc>
      </w:tr>
      <w:tr w:rsidR="003C272C" w14:paraId="43D9640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3C272C" w:rsidRPr="009F680D" w14:paraId="30B4BBA4" w14:textId="77777777" w:rsidTr="003C272C">
              <w:trPr>
                <w:tblCellSpacing w:w="15" w:type="dxa"/>
              </w:trPr>
              <w:tc>
                <w:tcPr>
                  <w:tcW w:w="0" w:type="auto"/>
                  <w:vAlign w:val="center"/>
                  <w:hideMark/>
                </w:tcPr>
                <w:p w14:paraId="78ECD503" w14:textId="4274D8D3" w:rsidR="003C272C" w:rsidRPr="009F680D" w:rsidRDefault="003C272C" w:rsidP="009F680D">
                  <w:pPr>
                    <w:suppressAutoHyphens w:val="0"/>
                    <w:autoSpaceDN/>
                    <w:spacing w:after="0" w:line="240" w:lineRule="auto"/>
                    <w:rPr>
                      <w:rFonts w:cs="Arial"/>
                      <w:color w:val="auto"/>
                    </w:rPr>
                  </w:pPr>
                  <w:r w:rsidRPr="009F680D">
                    <w:rPr>
                      <w:rFonts w:cs="Arial"/>
                      <w:color w:val="auto"/>
                    </w:rPr>
                    <w:t xml:space="preserve">Professional development for </w:t>
                  </w:r>
                  <w:r w:rsidR="009F680D" w:rsidRPr="009F680D">
                    <w:rPr>
                      <w:rFonts w:cs="Arial"/>
                      <w:color w:val="auto"/>
                    </w:rPr>
                    <w:t>science of learning instructional coaching.</w:t>
                  </w:r>
                </w:p>
              </w:tc>
            </w:tr>
          </w:tbl>
          <w:p w14:paraId="208F5D9E" w14:textId="77777777" w:rsidR="003C272C" w:rsidRPr="009F680D" w:rsidRDefault="003C272C" w:rsidP="003C272C">
            <w:pPr>
              <w:suppressAutoHyphens w:val="0"/>
              <w:autoSpaceDN/>
              <w:spacing w:after="0" w:line="240" w:lineRule="auto"/>
              <w:rPr>
                <w:rFonts w:cs="Arial"/>
                <w:vanish/>
                <w:color w:val="auto"/>
              </w:rPr>
            </w:pPr>
          </w:p>
          <w:p w14:paraId="5E23A4EF" w14:textId="77777777" w:rsidR="003C272C" w:rsidRPr="009F680D" w:rsidRDefault="003C272C" w:rsidP="003C272C">
            <w:pPr>
              <w:suppressAutoHyphens w:val="0"/>
              <w:autoSpaceDN/>
              <w:spacing w:after="0" w:line="240" w:lineRule="auto"/>
              <w:rPr>
                <w:rFonts w:cs="Arial"/>
                <w:vanish/>
                <w:color w:val="auto"/>
              </w:rPr>
            </w:pPr>
          </w:p>
          <w:p w14:paraId="408DEA3E" w14:textId="77777777" w:rsidR="003C272C" w:rsidRPr="009F680D" w:rsidRDefault="003C272C" w:rsidP="003C272C">
            <w:pPr>
              <w:pStyle w:val="TableRow"/>
              <w:rPr>
                <w:rFonts w:cs="Arial"/>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8"/>
            </w:tblGrid>
            <w:tr w:rsidR="003C272C" w:rsidRPr="009F680D" w14:paraId="30730795" w14:textId="77777777" w:rsidTr="003C272C">
              <w:trPr>
                <w:tblCellSpacing w:w="15" w:type="dxa"/>
              </w:trPr>
              <w:tc>
                <w:tcPr>
                  <w:tcW w:w="0" w:type="auto"/>
                  <w:vAlign w:val="center"/>
                  <w:hideMark/>
                </w:tcPr>
                <w:p w14:paraId="4E446211" w14:textId="77777777" w:rsidR="003C272C" w:rsidRPr="009F680D" w:rsidRDefault="003C272C" w:rsidP="003C272C">
                  <w:pPr>
                    <w:suppressAutoHyphens w:val="0"/>
                    <w:autoSpaceDN/>
                    <w:spacing w:after="0" w:line="240" w:lineRule="auto"/>
                    <w:rPr>
                      <w:rFonts w:cs="Arial"/>
                      <w:color w:val="auto"/>
                    </w:rPr>
                  </w:pPr>
                  <w:r w:rsidRPr="009F680D">
                    <w:rPr>
                      <w:rFonts w:cs="Arial"/>
                      <w:color w:val="auto"/>
                    </w:rPr>
                    <w:t>EEF Metacognition + Feedback consistently show high impact; critical for disadvantaged pupils’ access to GDS.</w:t>
                  </w:r>
                </w:p>
              </w:tc>
            </w:tr>
          </w:tbl>
          <w:p w14:paraId="1F601A9A" w14:textId="77777777" w:rsidR="003C272C" w:rsidRPr="009F680D" w:rsidRDefault="003C272C" w:rsidP="00C31636">
            <w:pPr>
              <w:pStyle w:val="TableRowCentered"/>
              <w:ind w:left="0" w:right="0"/>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1"/>
            </w:tblGrid>
            <w:tr w:rsidR="003C272C" w:rsidRPr="009F680D" w14:paraId="6B975F7C" w14:textId="77777777" w:rsidTr="003C272C">
              <w:trPr>
                <w:tblCellSpacing w:w="15" w:type="dxa"/>
              </w:trPr>
              <w:tc>
                <w:tcPr>
                  <w:tcW w:w="0" w:type="auto"/>
                  <w:vAlign w:val="center"/>
                  <w:hideMark/>
                </w:tcPr>
                <w:p w14:paraId="30DB63FB" w14:textId="77777777" w:rsidR="003C272C" w:rsidRPr="009F680D" w:rsidRDefault="003C272C" w:rsidP="003C272C">
                  <w:pPr>
                    <w:suppressAutoHyphens w:val="0"/>
                    <w:autoSpaceDN/>
                    <w:spacing w:after="0" w:line="240" w:lineRule="auto"/>
                    <w:rPr>
                      <w:rFonts w:cs="Arial"/>
                      <w:color w:val="auto"/>
                    </w:rPr>
                  </w:pPr>
                  <w:r w:rsidRPr="009F680D">
                    <w:rPr>
                      <w:rFonts w:cs="Arial"/>
                      <w:color w:val="auto"/>
                    </w:rPr>
                    <w:t>2, 3</w:t>
                  </w:r>
                </w:p>
              </w:tc>
            </w:tr>
          </w:tbl>
          <w:p w14:paraId="44E943C3" w14:textId="77777777" w:rsidR="003C272C" w:rsidRPr="009F680D" w:rsidRDefault="003C272C" w:rsidP="003C272C">
            <w:pPr>
              <w:pStyle w:val="TableRow"/>
              <w:rPr>
                <w:rFonts w:cs="Arial"/>
                <w:sz w:val="22"/>
              </w:rPr>
            </w:pPr>
          </w:p>
        </w:tc>
      </w:tr>
    </w:tbl>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A73603D" w:rsidR="00E66558" w:rsidRDefault="009D71E8" w:rsidP="00467AD0">
      <w:pPr>
        <w:spacing w:before="240" w:after="120"/>
      </w:pPr>
      <w:r>
        <w:t>Budgeted cost: £</w:t>
      </w:r>
      <w:r w:rsidR="00D565B5">
        <w:t>149,858.63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9F680D"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9F680D" w:rsidRPr="009F680D" w14:paraId="7515A6B7" w14:textId="77777777" w:rsidTr="009F680D">
              <w:trPr>
                <w:tblCellSpacing w:w="15" w:type="dxa"/>
              </w:trPr>
              <w:tc>
                <w:tcPr>
                  <w:tcW w:w="0" w:type="auto"/>
                  <w:vAlign w:val="center"/>
                  <w:hideMark/>
                </w:tcPr>
                <w:p w14:paraId="5386CA8F" w14:textId="77777777" w:rsidR="009F680D" w:rsidRPr="009F680D" w:rsidRDefault="009F680D" w:rsidP="009F680D">
                  <w:pPr>
                    <w:suppressAutoHyphens w:val="0"/>
                    <w:autoSpaceDN/>
                    <w:spacing w:after="0" w:line="240" w:lineRule="auto"/>
                    <w:rPr>
                      <w:rFonts w:cs="Arial"/>
                      <w:color w:val="auto"/>
                    </w:rPr>
                  </w:pPr>
                  <w:r w:rsidRPr="009F680D">
                    <w:rPr>
                      <w:rFonts w:cs="Arial"/>
                      <w:color w:val="auto"/>
                    </w:rPr>
                    <w:t xml:space="preserve">1:1 and small-group tutoring in reading, phonics, and language </w:t>
                  </w:r>
                </w:p>
              </w:tc>
            </w:tr>
          </w:tbl>
          <w:p w14:paraId="5AA9A15B" w14:textId="77777777" w:rsidR="009F680D" w:rsidRPr="009F680D" w:rsidRDefault="009F680D" w:rsidP="009F680D">
            <w:pPr>
              <w:suppressAutoHyphens w:val="0"/>
              <w:autoSpaceDN/>
              <w:spacing w:after="0" w:line="240" w:lineRule="auto"/>
              <w:rPr>
                <w:rFonts w:cs="Arial"/>
                <w:vanish/>
                <w:color w:val="auto"/>
              </w:rPr>
            </w:pPr>
          </w:p>
          <w:p w14:paraId="38A00909" w14:textId="77777777" w:rsidR="009F680D" w:rsidRPr="009F680D" w:rsidRDefault="009F680D" w:rsidP="009F680D">
            <w:pPr>
              <w:suppressAutoHyphens w:val="0"/>
              <w:autoSpaceDN/>
              <w:spacing w:after="0" w:line="240" w:lineRule="auto"/>
              <w:rPr>
                <w:rFonts w:cs="Arial"/>
                <w:vanish/>
                <w:color w:val="auto"/>
              </w:rPr>
            </w:pPr>
          </w:p>
          <w:p w14:paraId="2A7D5529" w14:textId="625E3792" w:rsidR="009F680D" w:rsidRDefault="009F680D" w:rsidP="009F680D">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8"/>
            </w:tblGrid>
            <w:tr w:rsidR="009F680D" w:rsidRPr="009F680D" w14:paraId="5B181E5F" w14:textId="77777777" w:rsidTr="009F680D">
              <w:trPr>
                <w:tblCellSpacing w:w="15" w:type="dxa"/>
              </w:trPr>
              <w:tc>
                <w:tcPr>
                  <w:tcW w:w="0" w:type="auto"/>
                  <w:vAlign w:val="center"/>
                  <w:hideMark/>
                </w:tcPr>
                <w:p w14:paraId="6E87641A" w14:textId="77777777" w:rsidR="009F680D" w:rsidRPr="009F680D" w:rsidRDefault="009F680D" w:rsidP="009F680D">
                  <w:pPr>
                    <w:suppressAutoHyphens w:val="0"/>
                    <w:autoSpaceDN/>
                    <w:spacing w:after="0" w:line="240" w:lineRule="auto"/>
                    <w:rPr>
                      <w:rFonts w:cs="Arial"/>
                      <w:color w:val="auto"/>
                    </w:rPr>
                  </w:pPr>
                  <w:r w:rsidRPr="009F680D">
                    <w:rPr>
                      <w:rFonts w:cs="Arial"/>
                      <w:color w:val="auto"/>
                    </w:rPr>
                    <w:t>EEF: Small-group and 1:1 tutoring produce highly accelerated progress for disadvantaged pupils. Oral language interventions show +6 months impact.</w:t>
                  </w:r>
                </w:p>
              </w:tc>
            </w:tr>
          </w:tbl>
          <w:p w14:paraId="2A7D552A" w14:textId="77777777" w:rsidR="009F680D" w:rsidRDefault="009F680D" w:rsidP="009F680D">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1"/>
            </w:tblGrid>
            <w:tr w:rsidR="009F680D" w:rsidRPr="009F680D" w14:paraId="3327ADE1" w14:textId="77777777" w:rsidTr="009F680D">
              <w:trPr>
                <w:tblCellSpacing w:w="15" w:type="dxa"/>
              </w:trPr>
              <w:tc>
                <w:tcPr>
                  <w:tcW w:w="0" w:type="auto"/>
                  <w:vAlign w:val="center"/>
                  <w:hideMark/>
                </w:tcPr>
                <w:p w14:paraId="47521620" w14:textId="77777777" w:rsidR="009F680D" w:rsidRPr="009F680D" w:rsidRDefault="009F680D" w:rsidP="009F680D">
                  <w:pPr>
                    <w:suppressAutoHyphens w:val="0"/>
                    <w:autoSpaceDN/>
                    <w:spacing w:after="0" w:line="240" w:lineRule="auto"/>
                    <w:rPr>
                      <w:rFonts w:cs="Arial"/>
                      <w:color w:val="auto"/>
                    </w:rPr>
                  </w:pPr>
                  <w:r w:rsidRPr="009F680D">
                    <w:rPr>
                      <w:rFonts w:cs="Arial"/>
                      <w:color w:val="auto"/>
                    </w:rPr>
                    <w:t>1, 2</w:t>
                  </w:r>
                </w:p>
              </w:tc>
            </w:tr>
          </w:tbl>
          <w:p w14:paraId="2A7D552B" w14:textId="77777777" w:rsidR="009F680D" w:rsidRDefault="009F680D" w:rsidP="009F680D">
            <w:pPr>
              <w:pStyle w:val="TableRowCentered"/>
              <w:ind w:left="0" w:right="0"/>
              <w:jc w:val="left"/>
              <w:rPr>
                <w:sz w:val="22"/>
              </w:rPr>
            </w:pPr>
          </w:p>
        </w:tc>
      </w:tr>
      <w:tr w:rsidR="009F680D"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9F680D" w:rsidRPr="009F680D" w14:paraId="6CA73F1B" w14:textId="77777777" w:rsidTr="009F680D">
              <w:trPr>
                <w:tblCellSpacing w:w="15" w:type="dxa"/>
              </w:trPr>
              <w:tc>
                <w:tcPr>
                  <w:tcW w:w="0" w:type="auto"/>
                  <w:vAlign w:val="center"/>
                  <w:hideMark/>
                </w:tcPr>
                <w:p w14:paraId="14466BEE" w14:textId="77777777" w:rsidR="009F680D" w:rsidRPr="009F680D" w:rsidRDefault="009F680D" w:rsidP="009F680D">
                  <w:pPr>
                    <w:pStyle w:val="TableRow"/>
                  </w:pPr>
                  <w:r w:rsidRPr="009F680D">
                    <w:t>School-led tutoring for KS2 in reading, writing, and maths, led by experienced teachers</w:t>
                  </w:r>
                </w:p>
              </w:tc>
            </w:tr>
          </w:tbl>
          <w:p w14:paraId="672CF11B" w14:textId="77777777" w:rsidR="009F680D" w:rsidRPr="009F680D" w:rsidRDefault="009F680D" w:rsidP="009F680D">
            <w:pPr>
              <w:pStyle w:val="TableRow"/>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F680D" w:rsidRPr="009F680D" w14:paraId="7684E209" w14:textId="77777777" w:rsidTr="009F680D">
              <w:trPr>
                <w:tblCellSpacing w:w="15" w:type="dxa"/>
              </w:trPr>
              <w:tc>
                <w:tcPr>
                  <w:tcW w:w="0" w:type="auto"/>
                  <w:vAlign w:val="center"/>
                  <w:hideMark/>
                </w:tcPr>
                <w:p w14:paraId="422A9437" w14:textId="77777777" w:rsidR="009F680D" w:rsidRPr="009F680D" w:rsidRDefault="009F680D" w:rsidP="009F680D">
                  <w:pPr>
                    <w:pStyle w:val="TableRow"/>
                  </w:pPr>
                </w:p>
              </w:tc>
            </w:tr>
          </w:tbl>
          <w:p w14:paraId="2A7D552D" w14:textId="77777777" w:rsidR="009F680D" w:rsidRDefault="009F680D" w:rsidP="009F680D">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2E06E3A" w:rsidR="009F680D" w:rsidRDefault="009F680D" w:rsidP="009F680D">
            <w:pPr>
              <w:pStyle w:val="TableRowCentered"/>
              <w:ind w:left="0" w:right="0"/>
              <w:jc w:val="left"/>
              <w:rPr>
                <w:sz w:val="22"/>
              </w:rPr>
            </w:pPr>
            <w:r w:rsidRPr="009F680D">
              <w:t>EEF: Small-group tuition +4 months; 1:1 tuition +5 months. Particularly effective for pupils at risk of not meeting EXS.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6F183C1" w:rsidR="009F680D" w:rsidRDefault="009F680D" w:rsidP="009F680D">
            <w:pPr>
              <w:pStyle w:val="TableRowCentered"/>
              <w:ind w:left="0" w:right="0"/>
              <w:jc w:val="left"/>
              <w:rPr>
                <w:sz w:val="22"/>
              </w:rPr>
            </w:pPr>
            <w:r w:rsidRPr="009F680D">
              <w:t>2</w:t>
            </w:r>
          </w:p>
        </w:tc>
      </w:tr>
      <w:tr w:rsidR="009F680D" w:rsidRPr="009F680D" w14:paraId="72F3F300" w14:textId="77777777" w:rsidTr="009F680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A05" w14:textId="77777777" w:rsidR="009F680D" w:rsidRDefault="009F680D" w:rsidP="009F680D">
            <w:pPr>
              <w:pStyle w:val="TableRow"/>
            </w:pPr>
            <w:r>
              <w:t xml:space="preserve">Focussed Greater Depth teaching in Year 6. </w:t>
            </w:r>
          </w:p>
          <w:p w14:paraId="2BDC4418" w14:textId="77777777" w:rsidR="009F680D" w:rsidRDefault="009F680D" w:rsidP="009F680D">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16E6" w14:textId="03C47E67" w:rsidR="009F680D" w:rsidRDefault="009F680D" w:rsidP="009F680D">
            <w:pPr>
              <w:pStyle w:val="TableRowCentered"/>
              <w:ind w:left="0" w:right="0"/>
              <w:jc w:val="left"/>
            </w:pPr>
            <w:r>
              <w:t>EEF: Challenging reading and problem-solving activities linked to metacognition and self-regulation have high impact for GDS progression.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448A7" w14:textId="2431EBD1" w:rsidR="009F680D" w:rsidRDefault="009F680D" w:rsidP="009F680D">
            <w:pPr>
              <w:pStyle w:val="TableRowCentered"/>
              <w:ind w:left="0" w:right="0"/>
              <w:jc w:val="left"/>
            </w:pPr>
            <w:r>
              <w:t>3</w:t>
            </w:r>
          </w:p>
        </w:tc>
      </w:tr>
    </w:tbl>
    <w:p w14:paraId="2A7D5532" w14:textId="59A68BC3" w:rsidR="00E66558" w:rsidRPr="00AA355B" w:rsidRDefault="009D71E8" w:rsidP="00AA355B">
      <w:pPr>
        <w:pStyle w:val="Heading3"/>
      </w:pPr>
      <w:r>
        <w:t>Wider strategies (for example, related to attendance, behaviour, wellbeing)</w:t>
      </w:r>
    </w:p>
    <w:p w14:paraId="2A7D5533" w14:textId="3188726E" w:rsidR="00E66558" w:rsidRDefault="009D71E8">
      <w:pPr>
        <w:spacing w:before="240" w:after="120"/>
      </w:pPr>
      <w:r>
        <w:t>Budgeted cost: £</w:t>
      </w:r>
      <w:r w:rsidR="00D565B5">
        <w:t>134,381.11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050ADE" w:rsidRPr="00050ADE" w14:paraId="6B7DEAD6" w14:textId="77777777" w:rsidTr="00050ADE">
              <w:trPr>
                <w:tblCellSpacing w:w="15" w:type="dxa"/>
              </w:trPr>
              <w:tc>
                <w:tcPr>
                  <w:tcW w:w="0" w:type="auto"/>
                  <w:vAlign w:val="center"/>
                  <w:hideMark/>
                </w:tcPr>
                <w:p w14:paraId="5BC68F8D" w14:textId="1351F0D7" w:rsidR="00050ADE" w:rsidRPr="00050ADE" w:rsidRDefault="00050ADE" w:rsidP="00050ADE">
                  <w:pPr>
                    <w:suppressAutoHyphens w:val="0"/>
                    <w:autoSpaceDN/>
                    <w:spacing w:after="0" w:line="240" w:lineRule="auto"/>
                    <w:rPr>
                      <w:rFonts w:cs="Arial"/>
                      <w:color w:val="auto"/>
                    </w:rPr>
                  </w:pPr>
                  <w:r w:rsidRPr="00050ADE">
                    <w:rPr>
                      <w:rFonts w:cs="Arial"/>
                      <w:color w:val="auto"/>
                    </w:rPr>
                    <w:t xml:space="preserve">Strengthened attendance systems: </w:t>
                  </w:r>
                  <w:r>
                    <w:rPr>
                      <w:rFonts w:cs="Arial"/>
                      <w:color w:val="auto"/>
                    </w:rPr>
                    <w:t>incentives and rewards</w:t>
                  </w:r>
                  <w:r w:rsidRPr="00050ADE">
                    <w:rPr>
                      <w:rFonts w:cs="Arial"/>
                      <w:color w:val="auto"/>
                    </w:rPr>
                    <w:t xml:space="preserve">, early intervention meetings, </w:t>
                  </w:r>
                  <w:r>
                    <w:rPr>
                      <w:rFonts w:cs="Arial"/>
                      <w:color w:val="auto"/>
                    </w:rPr>
                    <w:t>sharper targeting of interventions.</w:t>
                  </w:r>
                </w:p>
              </w:tc>
            </w:tr>
          </w:tbl>
          <w:p w14:paraId="58A7130B" w14:textId="77777777" w:rsidR="00050ADE" w:rsidRPr="00050ADE" w:rsidRDefault="00050ADE" w:rsidP="00050ADE">
            <w:pPr>
              <w:suppressAutoHyphens w:val="0"/>
              <w:autoSpaceDN/>
              <w:spacing w:after="0" w:line="240" w:lineRule="auto"/>
              <w:rPr>
                <w:rFonts w:cs="Arial"/>
                <w:vanish/>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50ADE" w:rsidRPr="00050ADE" w14:paraId="3B00C911" w14:textId="77777777" w:rsidTr="00050ADE">
              <w:trPr>
                <w:tblCellSpacing w:w="15" w:type="dxa"/>
              </w:trPr>
              <w:tc>
                <w:tcPr>
                  <w:tcW w:w="0" w:type="auto"/>
                  <w:vAlign w:val="center"/>
                  <w:hideMark/>
                </w:tcPr>
                <w:p w14:paraId="1C927E37" w14:textId="46496CE5" w:rsidR="00050ADE" w:rsidRPr="00050ADE" w:rsidRDefault="00050ADE" w:rsidP="00050ADE">
                  <w:pPr>
                    <w:suppressAutoHyphens w:val="0"/>
                    <w:autoSpaceDN/>
                    <w:spacing w:after="0" w:line="240" w:lineRule="auto"/>
                    <w:rPr>
                      <w:rFonts w:cs="Arial"/>
                      <w:color w:val="auto"/>
                    </w:rPr>
                  </w:pPr>
                </w:p>
              </w:tc>
            </w:tr>
          </w:tbl>
          <w:p w14:paraId="2A7D5538" w14:textId="7A663F87" w:rsidR="00E66558" w:rsidRPr="00050ADE" w:rsidRDefault="00E66558" w:rsidP="00C31636">
            <w:pPr>
              <w:pStyle w:val="TableRow"/>
              <w:ind w:left="0" w:right="0"/>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D913F9E" w:rsidR="00E66558" w:rsidRPr="00050ADE" w:rsidRDefault="00050ADE" w:rsidP="00050ADE">
            <w:pPr>
              <w:pStyle w:val="TableRowCentered"/>
              <w:ind w:left="0" w:right="0"/>
              <w:jc w:val="left"/>
              <w:rPr>
                <w:rFonts w:cs="Arial"/>
              </w:rPr>
            </w:pPr>
            <w:r w:rsidRPr="00050ADE">
              <w:rPr>
                <w:rFonts w:cs="Arial"/>
                <w:color w:val="auto"/>
              </w:rPr>
              <w:t xml:space="preserve">DfE Working Together to Improve Attendance; interventions are most effective when early, relational, and persistent.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800F894" w:rsidR="00E66558" w:rsidRPr="009F680D" w:rsidRDefault="00050ADE" w:rsidP="00C31636">
            <w:pPr>
              <w:pStyle w:val="TableRowCentered"/>
              <w:ind w:left="0" w:right="0"/>
              <w:jc w:val="left"/>
              <w:rPr>
                <w:rFonts w:cs="Arial"/>
              </w:rPr>
            </w:pPr>
            <w:r>
              <w:rPr>
                <w:rFonts w:cs="Arial"/>
              </w:rPr>
              <w:t>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AF73505" w:rsidR="00E66558" w:rsidRPr="009F680D" w:rsidRDefault="00050ADE" w:rsidP="00C31636">
            <w:pPr>
              <w:pStyle w:val="TableRow"/>
              <w:ind w:left="0" w:right="0"/>
            </w:pPr>
            <w:r>
              <w:t>Enrichment programme ensuring subsidised/free access for disadvantaged pupils to clubs, trips, leadership roles, cultural capital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BAAC831" w:rsidR="00E66558" w:rsidRPr="009F680D" w:rsidRDefault="00050ADE" w:rsidP="00C31636">
            <w:pPr>
              <w:pStyle w:val="TableRowCentered"/>
              <w:ind w:left="0" w:right="0"/>
              <w:jc w:val="left"/>
            </w:pPr>
            <w:r>
              <w:t>EEF: Arts participation +3 months; Outdoor Learning +4 months; Extended School Time +2 months. Strong link to confidence, attendance, aspiration.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83E4EF2" w:rsidR="00E66558" w:rsidRPr="009F680D" w:rsidRDefault="00050ADE" w:rsidP="00C31636">
            <w:pPr>
              <w:pStyle w:val="TableRowCentered"/>
              <w:ind w:left="0" w:right="0"/>
              <w:jc w:val="left"/>
            </w:pPr>
            <w:r>
              <w:t>5</w:t>
            </w:r>
          </w:p>
        </w:tc>
      </w:tr>
      <w:tr w:rsidR="009F680D" w14:paraId="1C668B8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4E0D" w14:textId="36C53C45" w:rsidR="009F680D" w:rsidRPr="009F680D" w:rsidRDefault="00050ADE" w:rsidP="009F680D">
            <w:pPr>
              <w:pStyle w:val="TableRow"/>
            </w:pPr>
            <w:r>
              <w:t>Engagement with Cradle to Career programme</w:t>
            </w:r>
            <w:r w:rsidRPr="00050ADE">
              <w:t xml:space="preserve"> to strengthen social capital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7360C" w14:textId="563B8772" w:rsidR="009F680D" w:rsidRPr="009F680D" w:rsidRDefault="00050ADE" w:rsidP="00C31636">
            <w:pPr>
              <w:pStyle w:val="TableRowCentered"/>
              <w:ind w:left="0" w:right="0"/>
              <w:jc w:val="left"/>
            </w:pPr>
            <w:r>
              <w:t>Ofsted EIF: Personal Development expects deliberate building of cultural capital. Research on social capital shows increased aspiration and post-16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1E5C" w14:textId="34BAB985" w:rsidR="009F680D" w:rsidRPr="009F680D" w:rsidRDefault="00050ADE" w:rsidP="00C31636">
            <w:pPr>
              <w:pStyle w:val="TableRowCentered"/>
              <w:ind w:left="0" w:right="0"/>
              <w:jc w:val="left"/>
            </w:pPr>
            <w:r>
              <w:t>5</w:t>
            </w:r>
          </w:p>
        </w:tc>
      </w:tr>
    </w:tbl>
    <w:p w14:paraId="2A7D5540" w14:textId="77777777" w:rsidR="00E66558" w:rsidRDefault="00E66558">
      <w:pPr>
        <w:spacing w:before="240" w:after="0"/>
        <w:rPr>
          <w:b/>
          <w:bCs/>
          <w:color w:val="104F75"/>
          <w:sz w:val="28"/>
          <w:szCs w:val="28"/>
        </w:rPr>
      </w:pPr>
    </w:p>
    <w:p w14:paraId="2A7D5541" w14:textId="50B85704" w:rsidR="00E66558" w:rsidRDefault="009D71E8" w:rsidP="00120AB1">
      <w:r>
        <w:rPr>
          <w:b/>
          <w:bCs/>
          <w:color w:val="104F75"/>
          <w:sz w:val="28"/>
          <w:szCs w:val="28"/>
        </w:rPr>
        <w:t>Total budgeted cost: £</w:t>
      </w:r>
      <w:r w:rsidR="00D565B5">
        <w:rPr>
          <w:b/>
          <w:bCs/>
          <w:color w:val="104F75"/>
          <w:sz w:val="28"/>
          <w:szCs w:val="28"/>
        </w:rPr>
        <w:t>392,540</w:t>
      </w:r>
      <w:r>
        <w:rPr>
          <w:b/>
          <w:bCs/>
          <w:color w:val="104F75"/>
          <w:sz w:val="28"/>
          <w:szCs w:val="28"/>
        </w:rPr>
        <w:t xml:space="preserve"> </w:t>
      </w:r>
    </w:p>
    <w:p w14:paraId="2A7D5542" w14:textId="18352EC3" w:rsidR="00E66558" w:rsidRPr="00064366" w:rsidRDefault="009D71E8" w:rsidP="00064366">
      <w:pPr>
        <w:pStyle w:val="Heading1"/>
      </w:pPr>
      <w:r w:rsidRPr="00064366">
        <w:t>Part B: Review of the previous academic year</w:t>
      </w:r>
    </w:p>
    <w:p w14:paraId="751285B7" w14:textId="0A17CDF0" w:rsidR="008B6404" w:rsidRDefault="00064366" w:rsidP="00173D4C">
      <w:pPr>
        <w:pStyle w:val="Heading2"/>
      </w:pPr>
      <w:r w:rsidRPr="00173D4C">
        <w:t>Outcomes for disadvantaged pupils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240"/>
        <w:gridCol w:w="2103"/>
        <w:gridCol w:w="2254"/>
        <w:gridCol w:w="2254"/>
      </w:tblGrid>
      <w:tr w:rsidR="00050ADE" w14:paraId="200A8B41" w14:textId="77777777" w:rsidTr="00050ADE">
        <w:tc>
          <w:tcPr>
            <w:tcW w:w="9016" w:type="dxa"/>
            <w:gridSpan w:val="5"/>
          </w:tcPr>
          <w:p w14:paraId="58A3D40B" w14:textId="5236324A" w:rsidR="00050ADE" w:rsidRDefault="00050ADE" w:rsidP="00050ADE">
            <w:pPr>
              <w:rPr>
                <w:sz w:val="20"/>
                <w:szCs w:val="20"/>
              </w:rPr>
            </w:pPr>
            <w:r>
              <w:rPr>
                <w:rFonts w:ascii="Calibri" w:eastAsia="Calibri" w:hAnsi="Calibri" w:cs="Calibri"/>
                <w:sz w:val="20"/>
                <w:szCs w:val="20"/>
              </w:rPr>
              <w:t>2024 25 End of Key Stage Outcomes for Disadvantaged children</w:t>
            </w:r>
          </w:p>
        </w:tc>
      </w:tr>
      <w:tr w:rsidR="00050ADE" w14:paraId="30EBE9BB" w14:textId="77777777" w:rsidTr="00050ADE">
        <w:tc>
          <w:tcPr>
            <w:tcW w:w="2405" w:type="dxa"/>
            <w:gridSpan w:val="2"/>
          </w:tcPr>
          <w:p w14:paraId="4F8D0D9C" w14:textId="77777777" w:rsidR="00050ADE" w:rsidRDefault="00050ADE" w:rsidP="00050ADE">
            <w:pPr>
              <w:jc w:val="center"/>
              <w:rPr>
                <w:rFonts w:ascii="Calibri" w:eastAsia="Calibri" w:hAnsi="Calibri" w:cs="Calibri"/>
                <w:sz w:val="20"/>
                <w:szCs w:val="20"/>
              </w:rPr>
            </w:pPr>
          </w:p>
        </w:tc>
        <w:tc>
          <w:tcPr>
            <w:tcW w:w="2103" w:type="dxa"/>
          </w:tcPr>
          <w:p w14:paraId="71500112" w14:textId="1598B30A" w:rsidR="00050ADE" w:rsidRDefault="00050ADE" w:rsidP="00050ADE">
            <w:pPr>
              <w:jc w:val="center"/>
              <w:rPr>
                <w:rFonts w:ascii="Calibri" w:eastAsia="Calibri" w:hAnsi="Calibri" w:cs="Calibri"/>
                <w:sz w:val="20"/>
                <w:szCs w:val="20"/>
              </w:rPr>
            </w:pPr>
            <w:r>
              <w:rPr>
                <w:rFonts w:ascii="Calibri" w:eastAsia="Calibri" w:hAnsi="Calibri" w:cs="Calibri"/>
                <w:sz w:val="20"/>
                <w:szCs w:val="20"/>
              </w:rPr>
              <w:t>23 24</w:t>
            </w:r>
          </w:p>
        </w:tc>
        <w:tc>
          <w:tcPr>
            <w:tcW w:w="2254" w:type="dxa"/>
          </w:tcPr>
          <w:p w14:paraId="254602DB" w14:textId="0098AD28" w:rsidR="00050ADE" w:rsidRDefault="00050ADE" w:rsidP="00050ADE">
            <w:pPr>
              <w:jc w:val="center"/>
              <w:rPr>
                <w:rFonts w:ascii="Calibri" w:eastAsia="Calibri" w:hAnsi="Calibri" w:cs="Calibri"/>
                <w:sz w:val="20"/>
                <w:szCs w:val="20"/>
              </w:rPr>
            </w:pPr>
            <w:r>
              <w:rPr>
                <w:rFonts w:ascii="Calibri" w:eastAsia="Calibri" w:hAnsi="Calibri" w:cs="Calibri"/>
                <w:sz w:val="20"/>
                <w:szCs w:val="20"/>
              </w:rPr>
              <w:t>24 25</w:t>
            </w:r>
          </w:p>
        </w:tc>
        <w:tc>
          <w:tcPr>
            <w:tcW w:w="2254" w:type="dxa"/>
          </w:tcPr>
          <w:p w14:paraId="09E85405" w14:textId="77777777" w:rsidR="00050ADE" w:rsidRDefault="00050ADE" w:rsidP="00050ADE">
            <w:pPr>
              <w:jc w:val="center"/>
              <w:rPr>
                <w:rFonts w:ascii="Calibri" w:eastAsia="Calibri" w:hAnsi="Calibri" w:cs="Calibri"/>
                <w:sz w:val="20"/>
                <w:szCs w:val="20"/>
              </w:rPr>
            </w:pPr>
            <w:r>
              <w:rPr>
                <w:rFonts w:ascii="Calibri" w:eastAsia="Calibri" w:hAnsi="Calibri" w:cs="Calibri"/>
                <w:color w:val="E36C09"/>
                <w:sz w:val="20"/>
                <w:szCs w:val="20"/>
              </w:rPr>
              <w:t>+</w:t>
            </w:r>
            <w:r>
              <w:rPr>
                <w:rFonts w:ascii="Calibri" w:eastAsia="Calibri" w:hAnsi="Calibri" w:cs="Calibri"/>
                <w:sz w:val="20"/>
                <w:szCs w:val="20"/>
              </w:rPr>
              <w:t xml:space="preserve"> / -</w:t>
            </w:r>
          </w:p>
        </w:tc>
      </w:tr>
      <w:tr w:rsidR="00050ADE" w14:paraId="525CAC81" w14:textId="77777777" w:rsidTr="00050ADE">
        <w:tc>
          <w:tcPr>
            <w:tcW w:w="1165" w:type="dxa"/>
          </w:tcPr>
          <w:p w14:paraId="65728153"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EYFS</w:t>
            </w:r>
          </w:p>
        </w:tc>
        <w:tc>
          <w:tcPr>
            <w:tcW w:w="1240" w:type="dxa"/>
          </w:tcPr>
          <w:p w14:paraId="74D8378C"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GLD</w:t>
            </w:r>
          </w:p>
        </w:tc>
        <w:tc>
          <w:tcPr>
            <w:tcW w:w="2103" w:type="dxa"/>
          </w:tcPr>
          <w:p w14:paraId="25D7F35E" w14:textId="6D87C59C" w:rsidR="00050ADE" w:rsidRDefault="00050ADE" w:rsidP="00050ADE">
            <w:pPr>
              <w:jc w:val="center"/>
              <w:rPr>
                <w:rFonts w:ascii="Calibri" w:eastAsia="Calibri" w:hAnsi="Calibri" w:cs="Calibri"/>
                <w:sz w:val="20"/>
                <w:szCs w:val="20"/>
              </w:rPr>
            </w:pPr>
            <w:r>
              <w:rPr>
                <w:rFonts w:ascii="Calibri" w:eastAsia="Calibri" w:hAnsi="Calibri" w:cs="Calibri"/>
                <w:sz w:val="20"/>
                <w:szCs w:val="20"/>
              </w:rPr>
              <w:t>56.5%</w:t>
            </w:r>
          </w:p>
        </w:tc>
        <w:tc>
          <w:tcPr>
            <w:tcW w:w="2254" w:type="dxa"/>
          </w:tcPr>
          <w:p w14:paraId="68A01A36" w14:textId="753B9C58" w:rsidR="00050ADE" w:rsidRDefault="00050ADE" w:rsidP="00050ADE">
            <w:pPr>
              <w:jc w:val="center"/>
              <w:rPr>
                <w:rFonts w:ascii="Calibri" w:eastAsia="Calibri" w:hAnsi="Calibri" w:cs="Calibri"/>
                <w:sz w:val="20"/>
                <w:szCs w:val="20"/>
              </w:rPr>
            </w:pPr>
            <w:r>
              <w:rPr>
                <w:rFonts w:ascii="Calibri" w:eastAsia="Calibri" w:hAnsi="Calibri" w:cs="Calibri"/>
                <w:sz w:val="20"/>
                <w:szCs w:val="20"/>
              </w:rPr>
              <w:t>42.9%</w:t>
            </w:r>
          </w:p>
        </w:tc>
        <w:tc>
          <w:tcPr>
            <w:tcW w:w="2254" w:type="dxa"/>
          </w:tcPr>
          <w:p w14:paraId="611A8B3E" w14:textId="21309827" w:rsidR="00050ADE" w:rsidRDefault="009F3B7B" w:rsidP="00050ADE">
            <w:pPr>
              <w:jc w:val="center"/>
              <w:rPr>
                <w:rFonts w:ascii="Calibri" w:eastAsia="Calibri" w:hAnsi="Calibri" w:cs="Calibri"/>
                <w:color w:val="FF0000"/>
                <w:sz w:val="20"/>
                <w:szCs w:val="20"/>
              </w:rPr>
            </w:pPr>
            <w:r>
              <w:rPr>
                <w:rFonts w:ascii="Calibri" w:eastAsia="Calibri" w:hAnsi="Calibri" w:cs="Calibri"/>
                <w:color w:val="FF0000"/>
                <w:sz w:val="20"/>
                <w:szCs w:val="20"/>
              </w:rPr>
              <w:t>-13.6</w:t>
            </w:r>
          </w:p>
        </w:tc>
      </w:tr>
      <w:tr w:rsidR="00050ADE" w14:paraId="1ECF1F2C" w14:textId="77777777" w:rsidTr="00050ADE">
        <w:tc>
          <w:tcPr>
            <w:tcW w:w="1165" w:type="dxa"/>
          </w:tcPr>
          <w:p w14:paraId="4852A8AE"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KS1</w:t>
            </w:r>
          </w:p>
        </w:tc>
        <w:tc>
          <w:tcPr>
            <w:tcW w:w="1240" w:type="dxa"/>
          </w:tcPr>
          <w:p w14:paraId="261DF08E"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Phonics</w:t>
            </w:r>
          </w:p>
        </w:tc>
        <w:tc>
          <w:tcPr>
            <w:tcW w:w="2103" w:type="dxa"/>
          </w:tcPr>
          <w:p w14:paraId="65A24D27" w14:textId="0CB4D0C2" w:rsidR="00050ADE" w:rsidRDefault="00050ADE" w:rsidP="00050ADE">
            <w:pPr>
              <w:jc w:val="center"/>
              <w:rPr>
                <w:rFonts w:ascii="Calibri" w:eastAsia="Calibri" w:hAnsi="Calibri" w:cs="Calibri"/>
                <w:sz w:val="20"/>
                <w:szCs w:val="20"/>
              </w:rPr>
            </w:pPr>
            <w:r>
              <w:rPr>
                <w:rFonts w:ascii="Calibri" w:eastAsia="Calibri" w:hAnsi="Calibri" w:cs="Calibri"/>
                <w:sz w:val="20"/>
                <w:szCs w:val="20"/>
              </w:rPr>
              <w:t>81.3%</w:t>
            </w:r>
          </w:p>
        </w:tc>
        <w:tc>
          <w:tcPr>
            <w:tcW w:w="2254" w:type="dxa"/>
          </w:tcPr>
          <w:p w14:paraId="1E76BBA5" w14:textId="213B5E7D" w:rsidR="00050ADE" w:rsidRDefault="00050ADE" w:rsidP="00050ADE">
            <w:pPr>
              <w:jc w:val="center"/>
              <w:rPr>
                <w:rFonts w:ascii="Calibri" w:eastAsia="Calibri" w:hAnsi="Calibri" w:cs="Calibri"/>
                <w:sz w:val="20"/>
                <w:szCs w:val="20"/>
              </w:rPr>
            </w:pPr>
            <w:r>
              <w:rPr>
                <w:rFonts w:ascii="Calibri" w:eastAsia="Calibri" w:hAnsi="Calibri" w:cs="Calibri"/>
                <w:sz w:val="20"/>
                <w:szCs w:val="20"/>
              </w:rPr>
              <w:t>82.1%</w:t>
            </w:r>
          </w:p>
        </w:tc>
        <w:tc>
          <w:tcPr>
            <w:tcW w:w="2254" w:type="dxa"/>
          </w:tcPr>
          <w:p w14:paraId="4C0960B0" w14:textId="42C493E6" w:rsidR="00050ADE" w:rsidRPr="009F3B7B" w:rsidRDefault="009F3B7B" w:rsidP="00050ADE">
            <w:pPr>
              <w:jc w:val="center"/>
              <w:rPr>
                <w:rFonts w:ascii="Calibri" w:eastAsia="Calibri" w:hAnsi="Calibri" w:cs="Calibri"/>
                <w:color w:val="00B050"/>
                <w:sz w:val="20"/>
                <w:szCs w:val="20"/>
              </w:rPr>
            </w:pPr>
            <w:r w:rsidRPr="009F3B7B">
              <w:rPr>
                <w:rFonts w:ascii="Calibri" w:eastAsia="Calibri" w:hAnsi="Calibri" w:cs="Calibri"/>
                <w:color w:val="00B050"/>
                <w:sz w:val="20"/>
                <w:szCs w:val="20"/>
              </w:rPr>
              <w:t>+0.8</w:t>
            </w:r>
          </w:p>
        </w:tc>
      </w:tr>
      <w:tr w:rsidR="00050ADE" w14:paraId="093747CE" w14:textId="77777777" w:rsidTr="00050ADE">
        <w:tc>
          <w:tcPr>
            <w:tcW w:w="1165" w:type="dxa"/>
          </w:tcPr>
          <w:p w14:paraId="0AEBAFA8"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KS2</w:t>
            </w:r>
          </w:p>
        </w:tc>
        <w:tc>
          <w:tcPr>
            <w:tcW w:w="1240" w:type="dxa"/>
          </w:tcPr>
          <w:p w14:paraId="0EBE7D40"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Reading</w:t>
            </w:r>
          </w:p>
        </w:tc>
        <w:tc>
          <w:tcPr>
            <w:tcW w:w="2103" w:type="dxa"/>
          </w:tcPr>
          <w:p w14:paraId="3CD7C316" w14:textId="0FB96949" w:rsidR="00050ADE" w:rsidRDefault="00050ADE" w:rsidP="00050ADE">
            <w:pPr>
              <w:jc w:val="center"/>
              <w:rPr>
                <w:rFonts w:ascii="Calibri" w:eastAsia="Calibri" w:hAnsi="Calibri" w:cs="Calibri"/>
                <w:sz w:val="20"/>
                <w:szCs w:val="20"/>
              </w:rPr>
            </w:pPr>
            <w:r>
              <w:rPr>
                <w:rFonts w:ascii="Calibri" w:eastAsia="Calibri" w:hAnsi="Calibri" w:cs="Calibri"/>
                <w:sz w:val="20"/>
                <w:szCs w:val="20"/>
              </w:rPr>
              <w:t>61%</w:t>
            </w:r>
          </w:p>
        </w:tc>
        <w:tc>
          <w:tcPr>
            <w:tcW w:w="2254" w:type="dxa"/>
          </w:tcPr>
          <w:p w14:paraId="3C63FDBB" w14:textId="6762AD0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71.4%</w:t>
            </w:r>
          </w:p>
        </w:tc>
        <w:tc>
          <w:tcPr>
            <w:tcW w:w="2254" w:type="dxa"/>
          </w:tcPr>
          <w:p w14:paraId="6309C77F" w14:textId="3AC56031" w:rsidR="00050ADE" w:rsidRPr="009F3B7B" w:rsidRDefault="009F3B7B" w:rsidP="00050ADE">
            <w:pPr>
              <w:jc w:val="center"/>
              <w:rPr>
                <w:rFonts w:ascii="Calibri" w:eastAsia="Calibri" w:hAnsi="Calibri" w:cs="Calibri"/>
                <w:color w:val="00B050"/>
                <w:sz w:val="20"/>
                <w:szCs w:val="20"/>
              </w:rPr>
            </w:pPr>
            <w:r w:rsidRPr="009F3B7B">
              <w:rPr>
                <w:rFonts w:ascii="Calibri" w:eastAsia="Calibri" w:hAnsi="Calibri" w:cs="Calibri"/>
                <w:color w:val="00B050"/>
                <w:sz w:val="20"/>
                <w:szCs w:val="20"/>
              </w:rPr>
              <w:t>+10.4</w:t>
            </w:r>
          </w:p>
        </w:tc>
      </w:tr>
      <w:tr w:rsidR="00050ADE" w14:paraId="783517BC" w14:textId="77777777" w:rsidTr="00050ADE">
        <w:tc>
          <w:tcPr>
            <w:tcW w:w="1165" w:type="dxa"/>
          </w:tcPr>
          <w:p w14:paraId="28CA5632" w14:textId="77777777" w:rsidR="00050ADE" w:rsidRDefault="00050ADE" w:rsidP="00050ADE">
            <w:pPr>
              <w:jc w:val="center"/>
              <w:rPr>
                <w:rFonts w:ascii="Calibri" w:eastAsia="Calibri" w:hAnsi="Calibri" w:cs="Calibri"/>
                <w:sz w:val="20"/>
                <w:szCs w:val="20"/>
              </w:rPr>
            </w:pPr>
          </w:p>
        </w:tc>
        <w:tc>
          <w:tcPr>
            <w:tcW w:w="1240" w:type="dxa"/>
          </w:tcPr>
          <w:p w14:paraId="75598404"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Reading GD</w:t>
            </w:r>
          </w:p>
        </w:tc>
        <w:tc>
          <w:tcPr>
            <w:tcW w:w="2103" w:type="dxa"/>
          </w:tcPr>
          <w:p w14:paraId="062A9514" w14:textId="5708E1F2" w:rsidR="00050ADE" w:rsidRDefault="00050ADE" w:rsidP="00050ADE">
            <w:pPr>
              <w:jc w:val="center"/>
              <w:rPr>
                <w:rFonts w:ascii="Calibri" w:eastAsia="Calibri" w:hAnsi="Calibri" w:cs="Calibri"/>
                <w:sz w:val="20"/>
                <w:szCs w:val="20"/>
              </w:rPr>
            </w:pPr>
            <w:r>
              <w:rPr>
                <w:rFonts w:ascii="Calibri" w:eastAsia="Calibri" w:hAnsi="Calibri" w:cs="Calibri"/>
                <w:sz w:val="20"/>
                <w:szCs w:val="20"/>
              </w:rPr>
              <w:t>12.2</w:t>
            </w:r>
          </w:p>
        </w:tc>
        <w:tc>
          <w:tcPr>
            <w:tcW w:w="2254" w:type="dxa"/>
          </w:tcPr>
          <w:p w14:paraId="2AA5CB0D" w14:textId="53E9EAFE" w:rsidR="00050ADE" w:rsidRDefault="00050ADE" w:rsidP="00050ADE">
            <w:pPr>
              <w:jc w:val="center"/>
              <w:rPr>
                <w:rFonts w:ascii="Calibri" w:eastAsia="Calibri" w:hAnsi="Calibri" w:cs="Calibri"/>
                <w:sz w:val="20"/>
                <w:szCs w:val="20"/>
              </w:rPr>
            </w:pPr>
            <w:r>
              <w:rPr>
                <w:rFonts w:ascii="Calibri" w:eastAsia="Calibri" w:hAnsi="Calibri" w:cs="Calibri"/>
                <w:sz w:val="20"/>
                <w:szCs w:val="20"/>
              </w:rPr>
              <w:t>14.3%</w:t>
            </w:r>
          </w:p>
        </w:tc>
        <w:tc>
          <w:tcPr>
            <w:tcW w:w="2254" w:type="dxa"/>
          </w:tcPr>
          <w:p w14:paraId="356B80B3" w14:textId="7393F383" w:rsidR="00050ADE" w:rsidRPr="009F3B7B" w:rsidRDefault="009F3B7B" w:rsidP="00050ADE">
            <w:pPr>
              <w:jc w:val="center"/>
              <w:rPr>
                <w:rFonts w:ascii="Calibri" w:eastAsia="Calibri" w:hAnsi="Calibri" w:cs="Calibri"/>
                <w:color w:val="00B050"/>
                <w:sz w:val="20"/>
                <w:szCs w:val="20"/>
              </w:rPr>
            </w:pPr>
            <w:r w:rsidRPr="009F3B7B">
              <w:rPr>
                <w:rFonts w:ascii="Calibri" w:eastAsia="Calibri" w:hAnsi="Calibri" w:cs="Calibri"/>
                <w:color w:val="00B050"/>
                <w:sz w:val="20"/>
                <w:szCs w:val="20"/>
              </w:rPr>
              <w:t>+2.1</w:t>
            </w:r>
          </w:p>
        </w:tc>
      </w:tr>
      <w:tr w:rsidR="00050ADE" w14:paraId="3FF5FE3D" w14:textId="77777777" w:rsidTr="00050ADE">
        <w:tc>
          <w:tcPr>
            <w:tcW w:w="1165" w:type="dxa"/>
          </w:tcPr>
          <w:p w14:paraId="27DC76CB" w14:textId="77777777" w:rsidR="00050ADE" w:rsidRDefault="00050ADE" w:rsidP="00050ADE">
            <w:pPr>
              <w:jc w:val="center"/>
              <w:rPr>
                <w:rFonts w:ascii="Calibri" w:eastAsia="Calibri" w:hAnsi="Calibri" w:cs="Calibri"/>
                <w:sz w:val="20"/>
                <w:szCs w:val="20"/>
              </w:rPr>
            </w:pPr>
          </w:p>
        </w:tc>
        <w:tc>
          <w:tcPr>
            <w:tcW w:w="1240" w:type="dxa"/>
          </w:tcPr>
          <w:p w14:paraId="4FC60803"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Writing</w:t>
            </w:r>
          </w:p>
        </w:tc>
        <w:tc>
          <w:tcPr>
            <w:tcW w:w="2103" w:type="dxa"/>
          </w:tcPr>
          <w:p w14:paraId="7B2E32C1" w14:textId="0AD0E53F" w:rsidR="00050ADE" w:rsidRDefault="00050ADE" w:rsidP="00050ADE">
            <w:pPr>
              <w:jc w:val="center"/>
              <w:rPr>
                <w:rFonts w:ascii="Calibri" w:eastAsia="Calibri" w:hAnsi="Calibri" w:cs="Calibri"/>
                <w:sz w:val="20"/>
                <w:szCs w:val="20"/>
              </w:rPr>
            </w:pPr>
            <w:r>
              <w:rPr>
                <w:rFonts w:ascii="Calibri" w:eastAsia="Calibri" w:hAnsi="Calibri" w:cs="Calibri"/>
                <w:sz w:val="20"/>
                <w:szCs w:val="20"/>
              </w:rPr>
              <w:t>56.1%</w:t>
            </w:r>
          </w:p>
        </w:tc>
        <w:tc>
          <w:tcPr>
            <w:tcW w:w="2254" w:type="dxa"/>
          </w:tcPr>
          <w:p w14:paraId="365E03E2" w14:textId="44824B98" w:rsidR="00050ADE" w:rsidRDefault="00050ADE" w:rsidP="00050ADE">
            <w:pPr>
              <w:jc w:val="center"/>
              <w:rPr>
                <w:rFonts w:ascii="Calibri" w:eastAsia="Calibri" w:hAnsi="Calibri" w:cs="Calibri"/>
                <w:sz w:val="20"/>
                <w:szCs w:val="20"/>
              </w:rPr>
            </w:pPr>
            <w:r>
              <w:rPr>
                <w:rFonts w:ascii="Calibri" w:eastAsia="Calibri" w:hAnsi="Calibri" w:cs="Calibri"/>
                <w:sz w:val="20"/>
                <w:szCs w:val="20"/>
              </w:rPr>
              <w:t>64.3%</w:t>
            </w:r>
          </w:p>
        </w:tc>
        <w:tc>
          <w:tcPr>
            <w:tcW w:w="2254" w:type="dxa"/>
          </w:tcPr>
          <w:p w14:paraId="4FC7D2FC" w14:textId="7FD5C92F" w:rsidR="00050ADE" w:rsidRPr="009F3B7B" w:rsidRDefault="009F3B7B" w:rsidP="00050ADE">
            <w:pPr>
              <w:jc w:val="center"/>
              <w:rPr>
                <w:rFonts w:ascii="Calibri" w:eastAsia="Calibri" w:hAnsi="Calibri" w:cs="Calibri"/>
                <w:color w:val="00B050"/>
                <w:sz w:val="20"/>
                <w:szCs w:val="20"/>
              </w:rPr>
            </w:pPr>
            <w:r w:rsidRPr="009F3B7B">
              <w:rPr>
                <w:rFonts w:ascii="Calibri" w:eastAsia="Calibri" w:hAnsi="Calibri" w:cs="Calibri"/>
                <w:color w:val="00B050"/>
                <w:sz w:val="20"/>
                <w:szCs w:val="20"/>
              </w:rPr>
              <w:t>+8.2</w:t>
            </w:r>
          </w:p>
        </w:tc>
      </w:tr>
      <w:tr w:rsidR="00050ADE" w14:paraId="74FF0005" w14:textId="77777777" w:rsidTr="00050ADE">
        <w:tc>
          <w:tcPr>
            <w:tcW w:w="1165" w:type="dxa"/>
          </w:tcPr>
          <w:p w14:paraId="5B274B31" w14:textId="77777777" w:rsidR="00050ADE" w:rsidRDefault="00050ADE" w:rsidP="00050ADE">
            <w:pPr>
              <w:jc w:val="center"/>
              <w:rPr>
                <w:rFonts w:ascii="Calibri" w:eastAsia="Calibri" w:hAnsi="Calibri" w:cs="Calibri"/>
                <w:sz w:val="20"/>
                <w:szCs w:val="20"/>
              </w:rPr>
            </w:pPr>
          </w:p>
        </w:tc>
        <w:tc>
          <w:tcPr>
            <w:tcW w:w="1240" w:type="dxa"/>
          </w:tcPr>
          <w:p w14:paraId="0D7C7943"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Writing GD</w:t>
            </w:r>
          </w:p>
        </w:tc>
        <w:tc>
          <w:tcPr>
            <w:tcW w:w="2103" w:type="dxa"/>
          </w:tcPr>
          <w:p w14:paraId="7B44A660" w14:textId="0AF75DAF" w:rsidR="00050ADE" w:rsidRDefault="00050ADE" w:rsidP="00050ADE">
            <w:pPr>
              <w:jc w:val="center"/>
              <w:rPr>
                <w:rFonts w:ascii="Calibri" w:eastAsia="Calibri" w:hAnsi="Calibri" w:cs="Calibri"/>
                <w:sz w:val="20"/>
                <w:szCs w:val="20"/>
              </w:rPr>
            </w:pPr>
            <w:r>
              <w:rPr>
                <w:rFonts w:ascii="Calibri" w:eastAsia="Calibri" w:hAnsi="Calibri" w:cs="Calibri"/>
                <w:sz w:val="20"/>
                <w:szCs w:val="20"/>
              </w:rPr>
              <w:t>2.4%</w:t>
            </w:r>
          </w:p>
        </w:tc>
        <w:tc>
          <w:tcPr>
            <w:tcW w:w="2254" w:type="dxa"/>
          </w:tcPr>
          <w:p w14:paraId="13AFA312" w14:textId="4A937D23" w:rsidR="00050ADE" w:rsidRDefault="00050ADE" w:rsidP="00050ADE">
            <w:pPr>
              <w:jc w:val="center"/>
              <w:rPr>
                <w:rFonts w:ascii="Calibri" w:eastAsia="Calibri" w:hAnsi="Calibri" w:cs="Calibri"/>
                <w:sz w:val="20"/>
                <w:szCs w:val="20"/>
              </w:rPr>
            </w:pPr>
            <w:r>
              <w:rPr>
                <w:rFonts w:ascii="Calibri" w:eastAsia="Calibri" w:hAnsi="Calibri" w:cs="Calibri"/>
                <w:sz w:val="20"/>
                <w:szCs w:val="20"/>
              </w:rPr>
              <w:t>0%</w:t>
            </w:r>
          </w:p>
        </w:tc>
        <w:tc>
          <w:tcPr>
            <w:tcW w:w="2254" w:type="dxa"/>
          </w:tcPr>
          <w:p w14:paraId="540F961F" w14:textId="022F2B5F" w:rsidR="00050ADE" w:rsidRDefault="009F3B7B" w:rsidP="00050ADE">
            <w:pPr>
              <w:jc w:val="center"/>
              <w:rPr>
                <w:rFonts w:ascii="Calibri" w:eastAsia="Calibri" w:hAnsi="Calibri" w:cs="Calibri"/>
                <w:sz w:val="20"/>
                <w:szCs w:val="20"/>
              </w:rPr>
            </w:pPr>
            <w:r w:rsidRPr="009F3B7B">
              <w:rPr>
                <w:rFonts w:ascii="Calibri" w:eastAsia="Calibri" w:hAnsi="Calibri" w:cs="Calibri"/>
                <w:color w:val="FF0000"/>
                <w:sz w:val="20"/>
                <w:szCs w:val="20"/>
              </w:rPr>
              <w:t>-2.4</w:t>
            </w:r>
          </w:p>
        </w:tc>
      </w:tr>
      <w:tr w:rsidR="00050ADE" w14:paraId="46F74D61" w14:textId="77777777" w:rsidTr="00050ADE">
        <w:tc>
          <w:tcPr>
            <w:tcW w:w="1165" w:type="dxa"/>
          </w:tcPr>
          <w:p w14:paraId="75B0BB12" w14:textId="77777777" w:rsidR="00050ADE" w:rsidRDefault="00050ADE" w:rsidP="00050ADE">
            <w:pPr>
              <w:jc w:val="center"/>
              <w:rPr>
                <w:rFonts w:ascii="Calibri" w:eastAsia="Calibri" w:hAnsi="Calibri" w:cs="Calibri"/>
                <w:sz w:val="20"/>
                <w:szCs w:val="20"/>
              </w:rPr>
            </w:pPr>
          </w:p>
        </w:tc>
        <w:tc>
          <w:tcPr>
            <w:tcW w:w="1240" w:type="dxa"/>
          </w:tcPr>
          <w:p w14:paraId="18059A1A"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Maths</w:t>
            </w:r>
          </w:p>
        </w:tc>
        <w:tc>
          <w:tcPr>
            <w:tcW w:w="2103" w:type="dxa"/>
          </w:tcPr>
          <w:p w14:paraId="29F594F7" w14:textId="4ED1B41A" w:rsidR="00050ADE" w:rsidRDefault="00050ADE" w:rsidP="00050ADE">
            <w:pPr>
              <w:jc w:val="center"/>
              <w:rPr>
                <w:rFonts w:ascii="Calibri" w:eastAsia="Calibri" w:hAnsi="Calibri" w:cs="Calibri"/>
                <w:sz w:val="20"/>
                <w:szCs w:val="20"/>
              </w:rPr>
            </w:pPr>
            <w:r>
              <w:rPr>
                <w:rFonts w:ascii="Calibri" w:eastAsia="Calibri" w:hAnsi="Calibri" w:cs="Calibri"/>
                <w:sz w:val="20"/>
                <w:szCs w:val="20"/>
              </w:rPr>
              <w:t>61%</w:t>
            </w:r>
          </w:p>
        </w:tc>
        <w:tc>
          <w:tcPr>
            <w:tcW w:w="2254" w:type="dxa"/>
          </w:tcPr>
          <w:p w14:paraId="4D608013" w14:textId="568D7714" w:rsidR="00050ADE" w:rsidRDefault="00050ADE" w:rsidP="00050ADE">
            <w:pPr>
              <w:jc w:val="center"/>
              <w:rPr>
                <w:rFonts w:ascii="Calibri" w:eastAsia="Calibri" w:hAnsi="Calibri" w:cs="Calibri"/>
                <w:sz w:val="20"/>
                <w:szCs w:val="20"/>
              </w:rPr>
            </w:pPr>
            <w:r>
              <w:rPr>
                <w:rFonts w:ascii="Calibri" w:eastAsia="Calibri" w:hAnsi="Calibri" w:cs="Calibri"/>
                <w:sz w:val="20"/>
                <w:szCs w:val="20"/>
              </w:rPr>
              <w:t>76.2%</w:t>
            </w:r>
          </w:p>
        </w:tc>
        <w:tc>
          <w:tcPr>
            <w:tcW w:w="2254" w:type="dxa"/>
          </w:tcPr>
          <w:p w14:paraId="0A1E4986" w14:textId="30E8DF54" w:rsidR="00050ADE" w:rsidRPr="009F3B7B" w:rsidRDefault="009F3B7B" w:rsidP="00050ADE">
            <w:pPr>
              <w:jc w:val="center"/>
              <w:rPr>
                <w:rFonts w:ascii="Calibri" w:eastAsia="Calibri" w:hAnsi="Calibri" w:cs="Calibri"/>
                <w:color w:val="00B050"/>
                <w:sz w:val="20"/>
                <w:szCs w:val="20"/>
              </w:rPr>
            </w:pPr>
            <w:r w:rsidRPr="009F3B7B">
              <w:rPr>
                <w:rFonts w:ascii="Calibri" w:eastAsia="Calibri" w:hAnsi="Calibri" w:cs="Calibri"/>
                <w:color w:val="00B050"/>
                <w:sz w:val="20"/>
                <w:szCs w:val="20"/>
              </w:rPr>
              <w:t>+15.2</w:t>
            </w:r>
          </w:p>
        </w:tc>
      </w:tr>
      <w:tr w:rsidR="00050ADE" w14:paraId="6FB6115B" w14:textId="77777777" w:rsidTr="00050ADE">
        <w:tc>
          <w:tcPr>
            <w:tcW w:w="1165" w:type="dxa"/>
          </w:tcPr>
          <w:p w14:paraId="186068D1" w14:textId="77777777" w:rsidR="00050ADE" w:rsidRDefault="00050ADE" w:rsidP="00050ADE">
            <w:pPr>
              <w:jc w:val="center"/>
              <w:rPr>
                <w:rFonts w:ascii="Calibri" w:eastAsia="Calibri" w:hAnsi="Calibri" w:cs="Calibri"/>
                <w:sz w:val="20"/>
                <w:szCs w:val="20"/>
              </w:rPr>
            </w:pPr>
          </w:p>
        </w:tc>
        <w:tc>
          <w:tcPr>
            <w:tcW w:w="1240" w:type="dxa"/>
          </w:tcPr>
          <w:p w14:paraId="45A1E6F4"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Maths GD</w:t>
            </w:r>
          </w:p>
        </w:tc>
        <w:tc>
          <w:tcPr>
            <w:tcW w:w="2103" w:type="dxa"/>
          </w:tcPr>
          <w:p w14:paraId="6F25EDFD" w14:textId="5DF725C1" w:rsidR="00050ADE" w:rsidRDefault="00050ADE" w:rsidP="00050ADE">
            <w:pPr>
              <w:jc w:val="center"/>
              <w:rPr>
                <w:rFonts w:ascii="Calibri" w:eastAsia="Calibri" w:hAnsi="Calibri" w:cs="Calibri"/>
                <w:sz w:val="20"/>
                <w:szCs w:val="20"/>
              </w:rPr>
            </w:pPr>
            <w:r>
              <w:rPr>
                <w:rFonts w:ascii="Calibri" w:eastAsia="Calibri" w:hAnsi="Calibri" w:cs="Calibri"/>
                <w:sz w:val="20"/>
                <w:szCs w:val="20"/>
              </w:rPr>
              <w:t>7.3</w:t>
            </w:r>
          </w:p>
        </w:tc>
        <w:tc>
          <w:tcPr>
            <w:tcW w:w="2254" w:type="dxa"/>
          </w:tcPr>
          <w:p w14:paraId="1D27EA77" w14:textId="3037434F" w:rsidR="00050ADE" w:rsidRDefault="00050ADE" w:rsidP="00050ADE">
            <w:pPr>
              <w:jc w:val="center"/>
              <w:rPr>
                <w:rFonts w:ascii="Calibri" w:eastAsia="Calibri" w:hAnsi="Calibri" w:cs="Calibri"/>
                <w:sz w:val="20"/>
                <w:szCs w:val="20"/>
              </w:rPr>
            </w:pPr>
            <w:r>
              <w:rPr>
                <w:rFonts w:ascii="Calibri" w:eastAsia="Calibri" w:hAnsi="Calibri" w:cs="Calibri"/>
                <w:sz w:val="20"/>
                <w:szCs w:val="20"/>
              </w:rPr>
              <w:t>9.5%</w:t>
            </w:r>
          </w:p>
        </w:tc>
        <w:tc>
          <w:tcPr>
            <w:tcW w:w="2254" w:type="dxa"/>
          </w:tcPr>
          <w:p w14:paraId="1F5A8BE8" w14:textId="55F633F6" w:rsidR="00050ADE" w:rsidRPr="009F3B7B" w:rsidRDefault="009F3B7B" w:rsidP="00050ADE">
            <w:pPr>
              <w:jc w:val="center"/>
              <w:rPr>
                <w:rFonts w:ascii="Calibri" w:eastAsia="Calibri" w:hAnsi="Calibri" w:cs="Calibri"/>
                <w:color w:val="00B050"/>
                <w:sz w:val="20"/>
                <w:szCs w:val="20"/>
              </w:rPr>
            </w:pPr>
            <w:r w:rsidRPr="009F3B7B">
              <w:rPr>
                <w:rFonts w:ascii="Calibri" w:eastAsia="Calibri" w:hAnsi="Calibri" w:cs="Calibri"/>
                <w:color w:val="00B050"/>
                <w:sz w:val="20"/>
                <w:szCs w:val="20"/>
              </w:rPr>
              <w:t>+2.2</w:t>
            </w:r>
          </w:p>
        </w:tc>
      </w:tr>
      <w:tr w:rsidR="00050ADE" w14:paraId="6C470F64" w14:textId="77777777" w:rsidTr="00050ADE">
        <w:tc>
          <w:tcPr>
            <w:tcW w:w="1165" w:type="dxa"/>
          </w:tcPr>
          <w:p w14:paraId="36C4B43D" w14:textId="77777777" w:rsidR="00050ADE" w:rsidRDefault="00050ADE" w:rsidP="00050ADE">
            <w:pPr>
              <w:jc w:val="center"/>
              <w:rPr>
                <w:rFonts w:ascii="Calibri" w:eastAsia="Calibri" w:hAnsi="Calibri" w:cs="Calibri"/>
                <w:sz w:val="20"/>
                <w:szCs w:val="20"/>
              </w:rPr>
            </w:pPr>
          </w:p>
        </w:tc>
        <w:tc>
          <w:tcPr>
            <w:tcW w:w="1240" w:type="dxa"/>
          </w:tcPr>
          <w:p w14:paraId="33435C75"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RWM</w:t>
            </w:r>
          </w:p>
        </w:tc>
        <w:tc>
          <w:tcPr>
            <w:tcW w:w="2103" w:type="dxa"/>
          </w:tcPr>
          <w:p w14:paraId="3A3EB53E" w14:textId="6D7054EC" w:rsidR="00050ADE" w:rsidRDefault="00050ADE" w:rsidP="00050ADE">
            <w:pPr>
              <w:jc w:val="center"/>
              <w:rPr>
                <w:rFonts w:ascii="Calibri" w:eastAsia="Calibri" w:hAnsi="Calibri" w:cs="Calibri"/>
                <w:sz w:val="20"/>
                <w:szCs w:val="20"/>
              </w:rPr>
            </w:pPr>
            <w:r>
              <w:rPr>
                <w:rFonts w:ascii="Calibri" w:eastAsia="Calibri" w:hAnsi="Calibri" w:cs="Calibri"/>
                <w:sz w:val="20"/>
                <w:szCs w:val="20"/>
              </w:rPr>
              <w:t>48.8%</w:t>
            </w:r>
          </w:p>
        </w:tc>
        <w:tc>
          <w:tcPr>
            <w:tcW w:w="2254" w:type="dxa"/>
          </w:tcPr>
          <w:p w14:paraId="12BBE2F8" w14:textId="7BF08A96" w:rsidR="00050ADE" w:rsidRDefault="00050ADE" w:rsidP="00050ADE">
            <w:pPr>
              <w:jc w:val="center"/>
              <w:rPr>
                <w:rFonts w:ascii="Calibri" w:eastAsia="Calibri" w:hAnsi="Calibri" w:cs="Calibri"/>
                <w:sz w:val="20"/>
                <w:szCs w:val="20"/>
              </w:rPr>
            </w:pPr>
            <w:r>
              <w:rPr>
                <w:rFonts w:ascii="Calibri" w:eastAsia="Calibri" w:hAnsi="Calibri" w:cs="Calibri"/>
                <w:sz w:val="20"/>
                <w:szCs w:val="20"/>
              </w:rPr>
              <w:t>52.4%</w:t>
            </w:r>
          </w:p>
        </w:tc>
        <w:tc>
          <w:tcPr>
            <w:tcW w:w="2254" w:type="dxa"/>
          </w:tcPr>
          <w:p w14:paraId="4CFEF698" w14:textId="6CADA008" w:rsidR="00050ADE" w:rsidRPr="009F3B7B" w:rsidRDefault="009F3B7B" w:rsidP="00050ADE">
            <w:pPr>
              <w:jc w:val="center"/>
              <w:rPr>
                <w:rFonts w:ascii="Calibri" w:eastAsia="Calibri" w:hAnsi="Calibri" w:cs="Calibri"/>
                <w:color w:val="00B050"/>
                <w:sz w:val="20"/>
                <w:szCs w:val="20"/>
              </w:rPr>
            </w:pPr>
            <w:r w:rsidRPr="009F3B7B">
              <w:rPr>
                <w:rFonts w:ascii="Calibri" w:eastAsia="Calibri" w:hAnsi="Calibri" w:cs="Calibri"/>
                <w:color w:val="00B050"/>
                <w:sz w:val="20"/>
                <w:szCs w:val="20"/>
              </w:rPr>
              <w:t>+3.6</w:t>
            </w:r>
          </w:p>
        </w:tc>
      </w:tr>
      <w:tr w:rsidR="00050ADE" w14:paraId="37C11296" w14:textId="77777777" w:rsidTr="00050ADE">
        <w:tc>
          <w:tcPr>
            <w:tcW w:w="1165" w:type="dxa"/>
          </w:tcPr>
          <w:p w14:paraId="7D2657ED" w14:textId="77777777" w:rsidR="00050ADE" w:rsidRDefault="00050ADE" w:rsidP="00050ADE">
            <w:pPr>
              <w:jc w:val="center"/>
              <w:rPr>
                <w:rFonts w:ascii="Calibri" w:eastAsia="Calibri" w:hAnsi="Calibri" w:cs="Calibri"/>
                <w:sz w:val="20"/>
                <w:szCs w:val="20"/>
              </w:rPr>
            </w:pPr>
          </w:p>
        </w:tc>
        <w:tc>
          <w:tcPr>
            <w:tcW w:w="1240" w:type="dxa"/>
          </w:tcPr>
          <w:p w14:paraId="43080ED1" w14:textId="77777777" w:rsidR="00050ADE" w:rsidRDefault="00050ADE" w:rsidP="00050ADE">
            <w:pPr>
              <w:jc w:val="center"/>
              <w:rPr>
                <w:rFonts w:ascii="Calibri" w:eastAsia="Calibri" w:hAnsi="Calibri" w:cs="Calibri"/>
                <w:sz w:val="20"/>
                <w:szCs w:val="20"/>
              </w:rPr>
            </w:pPr>
            <w:r>
              <w:rPr>
                <w:rFonts w:ascii="Calibri" w:eastAsia="Calibri" w:hAnsi="Calibri" w:cs="Calibri"/>
                <w:sz w:val="20"/>
                <w:szCs w:val="20"/>
              </w:rPr>
              <w:t>RWM GD</w:t>
            </w:r>
          </w:p>
        </w:tc>
        <w:tc>
          <w:tcPr>
            <w:tcW w:w="2103" w:type="dxa"/>
          </w:tcPr>
          <w:p w14:paraId="272D3B2C" w14:textId="0976CC96" w:rsidR="00050ADE" w:rsidRDefault="00050ADE" w:rsidP="00050ADE">
            <w:pPr>
              <w:jc w:val="center"/>
              <w:rPr>
                <w:rFonts w:ascii="Calibri" w:eastAsia="Calibri" w:hAnsi="Calibri" w:cs="Calibri"/>
                <w:sz w:val="20"/>
                <w:szCs w:val="20"/>
              </w:rPr>
            </w:pPr>
            <w:r>
              <w:rPr>
                <w:rFonts w:ascii="Calibri" w:eastAsia="Calibri" w:hAnsi="Calibri" w:cs="Calibri"/>
                <w:sz w:val="20"/>
                <w:szCs w:val="20"/>
              </w:rPr>
              <w:t>2.4%</w:t>
            </w:r>
          </w:p>
        </w:tc>
        <w:tc>
          <w:tcPr>
            <w:tcW w:w="2254" w:type="dxa"/>
          </w:tcPr>
          <w:p w14:paraId="0D43D942" w14:textId="196CF392" w:rsidR="00050ADE" w:rsidRDefault="009F3B7B" w:rsidP="00050ADE">
            <w:pPr>
              <w:jc w:val="center"/>
              <w:rPr>
                <w:rFonts w:ascii="Calibri" w:eastAsia="Calibri" w:hAnsi="Calibri" w:cs="Calibri"/>
                <w:sz w:val="20"/>
                <w:szCs w:val="20"/>
              </w:rPr>
            </w:pPr>
            <w:r>
              <w:rPr>
                <w:rFonts w:ascii="Calibri" w:eastAsia="Calibri" w:hAnsi="Calibri" w:cs="Calibri"/>
                <w:sz w:val="20"/>
                <w:szCs w:val="20"/>
              </w:rPr>
              <w:t>0%</w:t>
            </w:r>
          </w:p>
        </w:tc>
        <w:tc>
          <w:tcPr>
            <w:tcW w:w="2254" w:type="dxa"/>
          </w:tcPr>
          <w:p w14:paraId="7EF27D62" w14:textId="1F22B5F5" w:rsidR="00050ADE" w:rsidRDefault="009F3B7B" w:rsidP="00050ADE">
            <w:pPr>
              <w:jc w:val="center"/>
              <w:rPr>
                <w:rFonts w:ascii="Calibri" w:eastAsia="Calibri" w:hAnsi="Calibri" w:cs="Calibri"/>
                <w:sz w:val="20"/>
                <w:szCs w:val="20"/>
              </w:rPr>
            </w:pPr>
            <w:r w:rsidRPr="009F3B7B">
              <w:rPr>
                <w:rFonts w:ascii="Calibri" w:eastAsia="Calibri" w:hAnsi="Calibri" w:cs="Calibri"/>
                <w:color w:val="FF0000"/>
                <w:sz w:val="20"/>
                <w:szCs w:val="20"/>
              </w:rPr>
              <w:t>-2.4</w:t>
            </w:r>
          </w:p>
        </w:tc>
      </w:tr>
    </w:tbl>
    <w:p w14:paraId="37D9C819" w14:textId="77777777" w:rsidR="009F3B7B" w:rsidRDefault="009F3B7B" w:rsidP="009F3B7B"/>
    <w:p w14:paraId="0EF73625" w14:textId="1F0C59B2" w:rsidR="009F3B7B" w:rsidRDefault="009F3B7B" w:rsidP="009F3B7B">
      <w:r>
        <w:t>In 2025, disadvantaged pupils at Baguley Hall Primary School performed unevenly across phases compared with local and national averages. In the Early Years, outcomes were significantly below both benchmarks: only 42.9% of disadvantaged pupils achieved a Good Level of Development, well below the local average (51%) and national figure (71.5%), and the internal gap to non-disadvantaged pupils widened to over 30 percentage points.</w:t>
      </w:r>
    </w:p>
    <w:p w14:paraId="33B9AC82" w14:textId="77777777" w:rsidR="009F3B7B" w:rsidRDefault="009F3B7B" w:rsidP="009F3B7B">
      <w:r>
        <w:t>By contrast, Key Stage 2 outcomes showed stronger performance. Disadvantaged pupils achieved above the local disadvantaged average in Reading, Writing, Maths and RWM combined, though gaps of 10–18 percentage points remain when compared with non-disadvantaged pupils nationally. Reading continues to be the weakest subject relative to national standards.</w:t>
      </w:r>
    </w:p>
    <w:p w14:paraId="469AD193" w14:textId="77777777" w:rsidR="009F3B7B" w:rsidRDefault="009F3B7B" w:rsidP="009F3B7B">
      <w:r>
        <w:t>The proportion achieving Greater Depth remains low in all subjects and well below national disadvantaged averages.</w:t>
      </w:r>
    </w:p>
    <w:p w14:paraId="3C66BE0F" w14:textId="77777777" w:rsidR="009F3B7B" w:rsidRDefault="009F3B7B" w:rsidP="009F3B7B"/>
    <w:p w14:paraId="4C960E21" w14:textId="77777777" w:rsidR="009F3B7B" w:rsidRDefault="009F3B7B" w:rsidP="009F3B7B">
      <w:r>
        <w:t>In terms of attendance, disadvantaged and FSM pupils improved substantially but still face barriers: attendance remains 3% lower than non-FSM pupils in school, and persistent absence is 11% higher, though now broadly in line with or better than local/national disadvantaged rates.</w:t>
      </w:r>
    </w:p>
    <w:p w14:paraId="38D376F5" w14:textId="72060703" w:rsidR="009F3B7B" w:rsidRPr="00050ADE" w:rsidRDefault="009F3B7B" w:rsidP="009F3B7B">
      <w:r>
        <w:t>Overall, disadvantaged pupils are making progress, particularly at KS2, but significant gaps persist in early language, reading, Greater Depth attainment, and attendance.</w:t>
      </w:r>
      <w:bookmarkEnd w:id="15"/>
      <w:bookmarkEnd w:id="16"/>
      <w:bookmarkEnd w:id="17"/>
    </w:p>
    <w:sectPr w:rsidR="009F3B7B" w:rsidRPr="00050ADE">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467AD0" w:rsidRDefault="00467AD0">
      <w:pPr>
        <w:spacing w:after="0" w:line="240" w:lineRule="auto"/>
      </w:pPr>
      <w:r>
        <w:separator/>
      </w:r>
    </w:p>
  </w:endnote>
  <w:endnote w:type="continuationSeparator" w:id="0">
    <w:p w14:paraId="376A96E7" w14:textId="77777777" w:rsidR="00467AD0" w:rsidRDefault="00467AD0">
      <w:pPr>
        <w:spacing w:after="0" w:line="240" w:lineRule="auto"/>
      </w:pPr>
      <w:r>
        <w:continuationSeparator/>
      </w:r>
    </w:p>
  </w:endnote>
  <w:endnote w:type="continuationNotice" w:id="1">
    <w:p w14:paraId="207DB352" w14:textId="77777777" w:rsidR="00467AD0" w:rsidRDefault="00467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6419DAB" w:rsidR="00467AD0" w:rsidRDefault="00467AD0">
    <w:pPr>
      <w:pStyle w:val="Footer"/>
      <w:ind w:firstLine="4513"/>
    </w:pPr>
    <w:r>
      <w:fldChar w:fldCharType="begin"/>
    </w:r>
    <w:r>
      <w:instrText xml:space="preserve"> PAGE </w:instrText>
    </w:r>
    <w:r>
      <w:fldChar w:fldCharType="separate"/>
    </w:r>
    <w:r w:rsidR="006858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467AD0" w:rsidRDefault="00467AD0">
      <w:pPr>
        <w:spacing w:after="0" w:line="240" w:lineRule="auto"/>
      </w:pPr>
      <w:r>
        <w:separator/>
      </w:r>
    </w:p>
  </w:footnote>
  <w:footnote w:type="continuationSeparator" w:id="0">
    <w:p w14:paraId="45208E9D" w14:textId="77777777" w:rsidR="00467AD0" w:rsidRDefault="00467AD0">
      <w:pPr>
        <w:spacing w:after="0" w:line="240" w:lineRule="auto"/>
      </w:pPr>
      <w:r>
        <w:continuationSeparator/>
      </w:r>
    </w:p>
  </w:footnote>
  <w:footnote w:type="continuationNotice" w:id="1">
    <w:p w14:paraId="1E6128AE" w14:textId="77777777" w:rsidR="00467AD0" w:rsidRDefault="00467A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467AD0" w:rsidRDefault="00467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50ADE"/>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24E8"/>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06807"/>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3D63"/>
    <w:rsid w:val="00287FA8"/>
    <w:rsid w:val="002920F4"/>
    <w:rsid w:val="002940F3"/>
    <w:rsid w:val="00295842"/>
    <w:rsid w:val="002B3574"/>
    <w:rsid w:val="002B6B74"/>
    <w:rsid w:val="002C6AE7"/>
    <w:rsid w:val="002D2D4B"/>
    <w:rsid w:val="002D3805"/>
    <w:rsid w:val="002E26DE"/>
    <w:rsid w:val="002E66AE"/>
    <w:rsid w:val="002E7763"/>
    <w:rsid w:val="002F4C6F"/>
    <w:rsid w:val="002F5011"/>
    <w:rsid w:val="002F5842"/>
    <w:rsid w:val="002F7847"/>
    <w:rsid w:val="00306CB7"/>
    <w:rsid w:val="00307ABF"/>
    <w:rsid w:val="003111F5"/>
    <w:rsid w:val="00317664"/>
    <w:rsid w:val="00336200"/>
    <w:rsid w:val="00337418"/>
    <w:rsid w:val="003451E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272C"/>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67AD0"/>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E7E2C"/>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858E5"/>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759"/>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7B"/>
    <w:rsid w:val="009F3BBD"/>
    <w:rsid w:val="009F680D"/>
    <w:rsid w:val="00A022AB"/>
    <w:rsid w:val="00A063DD"/>
    <w:rsid w:val="00A112B5"/>
    <w:rsid w:val="00A14EEA"/>
    <w:rsid w:val="00A23AB3"/>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4258"/>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565B5"/>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EF5CED"/>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538"/>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styleId="Strong">
    <w:name w:val="Strong"/>
    <w:basedOn w:val="DefaultParagraphFont"/>
    <w:uiPriority w:val="22"/>
    <w:qFormat/>
    <w:rsid w:val="00EF5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9476165">
      <w:bodyDiv w:val="1"/>
      <w:marLeft w:val="0"/>
      <w:marRight w:val="0"/>
      <w:marTop w:val="0"/>
      <w:marBottom w:val="0"/>
      <w:divBdr>
        <w:top w:val="none" w:sz="0" w:space="0" w:color="auto"/>
        <w:left w:val="none" w:sz="0" w:space="0" w:color="auto"/>
        <w:bottom w:val="none" w:sz="0" w:space="0" w:color="auto"/>
        <w:right w:val="none" w:sz="0" w:space="0" w:color="auto"/>
      </w:divBdr>
    </w:div>
    <w:div w:id="367798524">
      <w:bodyDiv w:val="1"/>
      <w:marLeft w:val="0"/>
      <w:marRight w:val="0"/>
      <w:marTop w:val="0"/>
      <w:marBottom w:val="0"/>
      <w:divBdr>
        <w:top w:val="none" w:sz="0" w:space="0" w:color="auto"/>
        <w:left w:val="none" w:sz="0" w:space="0" w:color="auto"/>
        <w:bottom w:val="none" w:sz="0" w:space="0" w:color="auto"/>
        <w:right w:val="none" w:sz="0" w:space="0" w:color="auto"/>
      </w:divBdr>
    </w:div>
    <w:div w:id="633870084">
      <w:bodyDiv w:val="1"/>
      <w:marLeft w:val="0"/>
      <w:marRight w:val="0"/>
      <w:marTop w:val="0"/>
      <w:marBottom w:val="0"/>
      <w:divBdr>
        <w:top w:val="none" w:sz="0" w:space="0" w:color="auto"/>
        <w:left w:val="none" w:sz="0" w:space="0" w:color="auto"/>
        <w:bottom w:val="none" w:sz="0" w:space="0" w:color="auto"/>
        <w:right w:val="none" w:sz="0" w:space="0" w:color="auto"/>
      </w:divBdr>
    </w:div>
    <w:div w:id="1164707177">
      <w:bodyDiv w:val="1"/>
      <w:marLeft w:val="0"/>
      <w:marRight w:val="0"/>
      <w:marTop w:val="0"/>
      <w:marBottom w:val="0"/>
      <w:divBdr>
        <w:top w:val="none" w:sz="0" w:space="0" w:color="auto"/>
        <w:left w:val="none" w:sz="0" w:space="0" w:color="auto"/>
        <w:bottom w:val="none" w:sz="0" w:space="0" w:color="auto"/>
        <w:right w:val="none" w:sz="0" w:space="0" w:color="auto"/>
      </w:divBdr>
    </w:div>
    <w:div w:id="1363552821">
      <w:bodyDiv w:val="1"/>
      <w:marLeft w:val="0"/>
      <w:marRight w:val="0"/>
      <w:marTop w:val="0"/>
      <w:marBottom w:val="0"/>
      <w:divBdr>
        <w:top w:val="none" w:sz="0" w:space="0" w:color="auto"/>
        <w:left w:val="none" w:sz="0" w:space="0" w:color="auto"/>
        <w:bottom w:val="none" w:sz="0" w:space="0" w:color="auto"/>
        <w:right w:val="none" w:sz="0" w:space="0" w:color="auto"/>
      </w:divBdr>
    </w:div>
    <w:div w:id="1411730726">
      <w:bodyDiv w:val="1"/>
      <w:marLeft w:val="0"/>
      <w:marRight w:val="0"/>
      <w:marTop w:val="0"/>
      <w:marBottom w:val="0"/>
      <w:divBdr>
        <w:top w:val="none" w:sz="0" w:space="0" w:color="auto"/>
        <w:left w:val="none" w:sz="0" w:space="0" w:color="auto"/>
        <w:bottom w:val="none" w:sz="0" w:space="0" w:color="auto"/>
        <w:right w:val="none" w:sz="0" w:space="0" w:color="auto"/>
      </w:divBdr>
    </w:div>
    <w:div w:id="1807120985">
      <w:bodyDiv w:val="1"/>
      <w:marLeft w:val="0"/>
      <w:marRight w:val="0"/>
      <w:marTop w:val="0"/>
      <w:marBottom w:val="0"/>
      <w:divBdr>
        <w:top w:val="none" w:sz="0" w:space="0" w:color="auto"/>
        <w:left w:val="none" w:sz="0" w:space="0" w:color="auto"/>
        <w:bottom w:val="none" w:sz="0" w:space="0" w:color="auto"/>
        <w:right w:val="none" w:sz="0" w:space="0" w:color="auto"/>
      </w:divBdr>
    </w:div>
    <w:div w:id="2117172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Stephen Murphy</cp:lastModifiedBy>
  <cp:revision>2</cp:revision>
  <cp:lastPrinted>2014-09-18T05:26:00Z</cp:lastPrinted>
  <dcterms:created xsi:type="dcterms:W3CDTF">2026-02-19T16:24:00Z</dcterms:created>
  <dcterms:modified xsi:type="dcterms:W3CDTF">2026-02-19T16:24:00Z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