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121" w:rsidRDefault="00AF32DE" w:rsidP="00AF32DE">
      <w:pPr>
        <w:jc w:val="center"/>
        <w:rPr>
          <w:b/>
          <w:sz w:val="24"/>
          <w:u w:val="single"/>
          <w:lang w:val="en-US"/>
        </w:rPr>
      </w:pPr>
      <w:r w:rsidRPr="00777672">
        <w:rPr>
          <w:b/>
          <w:sz w:val="24"/>
          <w:u w:val="single"/>
          <w:lang w:val="en-US"/>
        </w:rPr>
        <w:t xml:space="preserve">RE Progression of Skills </w:t>
      </w:r>
    </w:p>
    <w:tbl>
      <w:tblPr>
        <w:tblStyle w:val="TableGrid"/>
        <w:tblW w:w="0" w:type="auto"/>
        <w:tblLook w:val="04A0" w:firstRow="1" w:lastRow="0" w:firstColumn="1" w:lastColumn="0" w:noHBand="0" w:noVBand="1"/>
      </w:tblPr>
      <w:tblGrid>
        <w:gridCol w:w="3487"/>
        <w:gridCol w:w="3487"/>
        <w:gridCol w:w="3487"/>
        <w:gridCol w:w="3487"/>
      </w:tblGrid>
      <w:tr w:rsidR="00777672" w:rsidTr="00777672">
        <w:tc>
          <w:tcPr>
            <w:tcW w:w="3487" w:type="dxa"/>
          </w:tcPr>
          <w:p w:rsidR="00777672" w:rsidRDefault="00777672" w:rsidP="00777672">
            <w:pPr>
              <w:rPr>
                <w:sz w:val="24"/>
                <w:lang w:val="en-US"/>
              </w:rPr>
            </w:pPr>
          </w:p>
        </w:tc>
        <w:tc>
          <w:tcPr>
            <w:tcW w:w="3487" w:type="dxa"/>
          </w:tcPr>
          <w:p w:rsidR="00777672" w:rsidRPr="00777672" w:rsidRDefault="00F10C9F" w:rsidP="00F10C9F">
            <w:pPr>
              <w:jc w:val="center"/>
              <w:rPr>
                <w:b/>
                <w:sz w:val="32"/>
                <w:lang w:val="en-US"/>
              </w:rPr>
            </w:pPr>
            <w:r>
              <w:rPr>
                <w:b/>
                <w:sz w:val="32"/>
                <w:lang w:val="en-US"/>
              </w:rPr>
              <w:t>EYFS</w:t>
            </w:r>
          </w:p>
        </w:tc>
        <w:tc>
          <w:tcPr>
            <w:tcW w:w="3487" w:type="dxa"/>
          </w:tcPr>
          <w:p w:rsidR="00777672" w:rsidRPr="00777672" w:rsidRDefault="00777672" w:rsidP="00777672">
            <w:pPr>
              <w:jc w:val="center"/>
              <w:rPr>
                <w:b/>
                <w:sz w:val="32"/>
                <w:lang w:val="en-US"/>
              </w:rPr>
            </w:pPr>
            <w:r w:rsidRPr="00777672">
              <w:rPr>
                <w:b/>
                <w:sz w:val="32"/>
                <w:lang w:val="en-US"/>
              </w:rPr>
              <w:t>KS1</w:t>
            </w:r>
          </w:p>
        </w:tc>
        <w:tc>
          <w:tcPr>
            <w:tcW w:w="3487" w:type="dxa"/>
          </w:tcPr>
          <w:p w:rsidR="00777672" w:rsidRPr="00777672" w:rsidRDefault="00777672" w:rsidP="00777672">
            <w:pPr>
              <w:jc w:val="center"/>
              <w:rPr>
                <w:b/>
                <w:sz w:val="32"/>
                <w:lang w:val="en-US"/>
              </w:rPr>
            </w:pPr>
            <w:r w:rsidRPr="00777672">
              <w:rPr>
                <w:b/>
                <w:sz w:val="32"/>
                <w:lang w:val="en-US"/>
              </w:rPr>
              <w:t>KS2</w:t>
            </w:r>
          </w:p>
        </w:tc>
      </w:tr>
      <w:tr w:rsidR="00777672" w:rsidTr="00777672">
        <w:tc>
          <w:tcPr>
            <w:tcW w:w="13948" w:type="dxa"/>
            <w:gridSpan w:val="4"/>
          </w:tcPr>
          <w:p w:rsidR="00777672" w:rsidRDefault="00777672" w:rsidP="00777672">
            <w:pPr>
              <w:jc w:val="center"/>
              <w:rPr>
                <w:sz w:val="32"/>
                <w:lang w:val="en-US"/>
              </w:rPr>
            </w:pPr>
            <w:r>
              <w:rPr>
                <w:sz w:val="32"/>
                <w:lang w:val="en-US"/>
              </w:rPr>
              <w:t xml:space="preserve">End of Key Stage Outcomes </w:t>
            </w:r>
          </w:p>
          <w:p w:rsidR="00777672" w:rsidRPr="00777672" w:rsidRDefault="00777672" w:rsidP="00777672">
            <w:pPr>
              <w:jc w:val="center"/>
              <w:rPr>
                <w:sz w:val="24"/>
                <w:lang w:val="en-US"/>
              </w:rPr>
            </w:pPr>
            <w:r>
              <w:rPr>
                <w:sz w:val="24"/>
                <w:lang w:val="en-US"/>
              </w:rPr>
              <w:t xml:space="preserve">RE teaching and learning should enable pupils to … </w:t>
            </w:r>
          </w:p>
        </w:tc>
      </w:tr>
      <w:tr w:rsidR="00777672" w:rsidTr="00777672">
        <w:tc>
          <w:tcPr>
            <w:tcW w:w="3487" w:type="dxa"/>
          </w:tcPr>
          <w:p w:rsidR="00777672" w:rsidRPr="00777672" w:rsidRDefault="00777672" w:rsidP="00777672">
            <w:pPr>
              <w:pStyle w:val="ListParagraph"/>
              <w:numPr>
                <w:ilvl w:val="0"/>
                <w:numId w:val="3"/>
              </w:numPr>
              <w:rPr>
                <w:color w:val="4472C4" w:themeColor="accent5"/>
                <w:sz w:val="24"/>
                <w:lang w:val="en-US"/>
              </w:rPr>
            </w:pPr>
            <w:r w:rsidRPr="00777672">
              <w:rPr>
                <w:color w:val="4472C4" w:themeColor="accent5"/>
                <w:sz w:val="24"/>
                <w:lang w:val="en-US"/>
              </w:rPr>
              <w:t>K</w:t>
            </w:r>
            <w:r>
              <w:rPr>
                <w:color w:val="4472C4" w:themeColor="accent5"/>
                <w:sz w:val="24"/>
                <w:lang w:val="en-US"/>
              </w:rPr>
              <w:t>now about and understand a range of religious and non-religious worldviews.</w:t>
            </w:r>
          </w:p>
        </w:tc>
        <w:tc>
          <w:tcPr>
            <w:tcW w:w="3487" w:type="dxa"/>
          </w:tcPr>
          <w:p w:rsidR="00777672" w:rsidRDefault="00777672" w:rsidP="00F10C9F">
            <w:pPr>
              <w:jc w:val="center"/>
              <w:rPr>
                <w:sz w:val="24"/>
                <w:lang w:val="en-US"/>
              </w:rPr>
            </w:pPr>
          </w:p>
          <w:p w:rsidR="00F10C9F" w:rsidRDefault="00F10C9F" w:rsidP="00F10C9F">
            <w:pPr>
              <w:jc w:val="center"/>
              <w:rPr>
                <w:sz w:val="24"/>
                <w:lang w:val="en-US"/>
              </w:rPr>
            </w:pPr>
            <w:r>
              <w:rPr>
                <w:sz w:val="24"/>
                <w:lang w:val="en-US"/>
              </w:rPr>
              <w:t xml:space="preserve">Early Learning Goals taken from the </w:t>
            </w:r>
            <w:proofErr w:type="spellStart"/>
            <w:r>
              <w:rPr>
                <w:sz w:val="24"/>
                <w:lang w:val="en-US"/>
              </w:rPr>
              <w:t>DfE</w:t>
            </w:r>
            <w:proofErr w:type="spellEnd"/>
            <w:r>
              <w:rPr>
                <w:sz w:val="24"/>
                <w:lang w:val="en-US"/>
              </w:rPr>
              <w:t xml:space="preserve"> 2020 guidance and applied to RE </w:t>
            </w:r>
          </w:p>
        </w:tc>
        <w:tc>
          <w:tcPr>
            <w:tcW w:w="3487" w:type="dxa"/>
          </w:tcPr>
          <w:p w:rsidR="00777672" w:rsidRDefault="00FE6710" w:rsidP="00777672">
            <w:pPr>
              <w:rPr>
                <w:color w:val="4472C4" w:themeColor="accent5"/>
                <w:sz w:val="24"/>
                <w:lang w:val="en-US"/>
              </w:rPr>
            </w:pPr>
            <w:r>
              <w:rPr>
                <w:color w:val="4472C4" w:themeColor="accent5"/>
                <w:sz w:val="24"/>
                <w:lang w:val="en-US"/>
              </w:rPr>
              <w:t>A1. Recall and name different beliefs and practices, including festivals, worship, rituals and ways of life, in order to find out about the meanings behind them.</w:t>
            </w:r>
          </w:p>
          <w:p w:rsidR="00FE6710" w:rsidRDefault="00FE6710" w:rsidP="00777672">
            <w:pPr>
              <w:rPr>
                <w:color w:val="4472C4" w:themeColor="accent5"/>
                <w:sz w:val="24"/>
                <w:lang w:val="en-US"/>
              </w:rPr>
            </w:pPr>
            <w:r>
              <w:rPr>
                <w:color w:val="4472C4" w:themeColor="accent5"/>
                <w:sz w:val="24"/>
                <w:lang w:val="en-US"/>
              </w:rPr>
              <w:t>A2. Retell and suggest meanings to some religious and moral stories, exploring and discussing sacred writings and sources of wisdom and recognising the traditions from which they come.</w:t>
            </w:r>
          </w:p>
          <w:p w:rsidR="00FE6710" w:rsidRPr="00FE6710" w:rsidRDefault="00FE6710" w:rsidP="00777672">
            <w:pPr>
              <w:rPr>
                <w:color w:val="4472C4" w:themeColor="accent5"/>
                <w:sz w:val="24"/>
                <w:lang w:val="en-US"/>
              </w:rPr>
            </w:pPr>
            <w:r>
              <w:rPr>
                <w:color w:val="4472C4" w:themeColor="accent5"/>
                <w:sz w:val="24"/>
                <w:lang w:val="en-US"/>
              </w:rPr>
              <w:t xml:space="preserve">A3. Recognise some different symbols and </w:t>
            </w:r>
            <w:proofErr w:type="gramStart"/>
            <w:r>
              <w:rPr>
                <w:color w:val="4472C4" w:themeColor="accent5"/>
                <w:sz w:val="24"/>
                <w:lang w:val="en-US"/>
              </w:rPr>
              <w:t>actions which</w:t>
            </w:r>
            <w:proofErr w:type="gramEnd"/>
            <w:r>
              <w:rPr>
                <w:color w:val="4472C4" w:themeColor="accent5"/>
                <w:sz w:val="24"/>
                <w:lang w:val="en-US"/>
              </w:rPr>
              <w:t xml:space="preserve"> express a community’s way of life, appreciating some similarities between communities.   </w:t>
            </w:r>
          </w:p>
        </w:tc>
        <w:tc>
          <w:tcPr>
            <w:tcW w:w="3487" w:type="dxa"/>
          </w:tcPr>
          <w:p w:rsidR="00777672" w:rsidRDefault="00992CD3" w:rsidP="00777672">
            <w:pPr>
              <w:rPr>
                <w:color w:val="4472C4" w:themeColor="accent5"/>
                <w:sz w:val="24"/>
                <w:lang w:val="en-US"/>
              </w:rPr>
            </w:pPr>
            <w:r>
              <w:rPr>
                <w:color w:val="4472C4" w:themeColor="accent5"/>
                <w:sz w:val="24"/>
                <w:lang w:val="en-US"/>
              </w:rPr>
              <w:t xml:space="preserve">A1. Describe and make connections between different features of the religious and non-religious worldviews they study, discovering more about celebrations, worship, </w:t>
            </w:r>
            <w:r w:rsidR="00B80C88">
              <w:rPr>
                <w:color w:val="4472C4" w:themeColor="accent5"/>
                <w:sz w:val="24"/>
                <w:lang w:val="en-US"/>
              </w:rPr>
              <w:t xml:space="preserve">pilgrimages and the </w:t>
            </w:r>
            <w:proofErr w:type="gramStart"/>
            <w:r w:rsidR="00B80C88">
              <w:rPr>
                <w:color w:val="4472C4" w:themeColor="accent5"/>
                <w:sz w:val="24"/>
                <w:lang w:val="en-US"/>
              </w:rPr>
              <w:t>rituals which</w:t>
            </w:r>
            <w:proofErr w:type="gramEnd"/>
            <w:r w:rsidR="00B80C88">
              <w:rPr>
                <w:color w:val="4472C4" w:themeColor="accent5"/>
                <w:sz w:val="24"/>
                <w:lang w:val="en-US"/>
              </w:rPr>
              <w:t xml:space="preserve"> mark important points in life, in order to reflect on their significance.</w:t>
            </w:r>
          </w:p>
          <w:p w:rsidR="00694DFA" w:rsidRDefault="00B80C88" w:rsidP="00777672">
            <w:pPr>
              <w:rPr>
                <w:color w:val="4472C4" w:themeColor="accent5"/>
                <w:sz w:val="24"/>
                <w:lang w:val="en-US"/>
              </w:rPr>
            </w:pPr>
            <w:r>
              <w:rPr>
                <w:color w:val="4472C4" w:themeColor="accent5"/>
                <w:sz w:val="24"/>
                <w:lang w:val="en-US"/>
              </w:rPr>
              <w:t xml:space="preserve">A2. </w:t>
            </w:r>
            <w:r w:rsidR="002E30EA">
              <w:rPr>
                <w:color w:val="4472C4" w:themeColor="accent5"/>
                <w:sz w:val="24"/>
                <w:lang w:val="en-US"/>
              </w:rPr>
              <w:t xml:space="preserve">Describe and understand links between stories and other aspects </w:t>
            </w:r>
            <w:r w:rsidR="005A5E73">
              <w:rPr>
                <w:color w:val="4472C4" w:themeColor="accent5"/>
                <w:sz w:val="24"/>
                <w:lang w:val="en-US"/>
              </w:rPr>
              <w:t>of the communities they are investigating, responding thoughtfully to a range of sources of wisdom and to beliefs and teachings that arise from them in different communities.</w:t>
            </w:r>
          </w:p>
          <w:p w:rsidR="00B80C88" w:rsidRPr="00992CD3" w:rsidRDefault="00694DFA" w:rsidP="00777672">
            <w:pPr>
              <w:rPr>
                <w:color w:val="4472C4" w:themeColor="accent5"/>
                <w:sz w:val="24"/>
                <w:lang w:val="en-US"/>
              </w:rPr>
            </w:pPr>
            <w:r>
              <w:rPr>
                <w:color w:val="4472C4" w:themeColor="accent5"/>
                <w:sz w:val="24"/>
                <w:lang w:val="en-US"/>
              </w:rPr>
              <w:t xml:space="preserve">A3. Explore and describe a range of beliefs, symbols and actions so that they can understand different ways of life and ways of expressing meaning. </w:t>
            </w:r>
            <w:r w:rsidR="005A5E73">
              <w:rPr>
                <w:color w:val="4472C4" w:themeColor="accent5"/>
                <w:sz w:val="24"/>
                <w:lang w:val="en-US"/>
              </w:rPr>
              <w:t xml:space="preserve">  </w:t>
            </w:r>
          </w:p>
        </w:tc>
      </w:tr>
      <w:tr w:rsidR="00777672" w:rsidTr="00777672">
        <w:tc>
          <w:tcPr>
            <w:tcW w:w="3487" w:type="dxa"/>
          </w:tcPr>
          <w:p w:rsidR="00777672" w:rsidRPr="00777672" w:rsidRDefault="00777672" w:rsidP="00777672">
            <w:pPr>
              <w:pStyle w:val="ListParagraph"/>
              <w:numPr>
                <w:ilvl w:val="0"/>
                <w:numId w:val="3"/>
              </w:numPr>
              <w:rPr>
                <w:color w:val="ED7D31" w:themeColor="accent2"/>
                <w:sz w:val="24"/>
                <w:lang w:val="en-US"/>
              </w:rPr>
            </w:pPr>
            <w:r>
              <w:rPr>
                <w:color w:val="ED7D31" w:themeColor="accent2"/>
                <w:sz w:val="24"/>
                <w:lang w:val="en-US"/>
              </w:rPr>
              <w:t xml:space="preserve">Express ideas and insights about the nature, </w:t>
            </w:r>
            <w:r>
              <w:rPr>
                <w:color w:val="ED7D31" w:themeColor="accent2"/>
                <w:sz w:val="24"/>
                <w:lang w:val="en-US"/>
              </w:rPr>
              <w:lastRenderedPageBreak/>
              <w:t xml:space="preserve">significance and impact of religious and non-religious worldviews. </w:t>
            </w:r>
          </w:p>
        </w:tc>
        <w:tc>
          <w:tcPr>
            <w:tcW w:w="3487" w:type="dxa"/>
          </w:tcPr>
          <w:p w:rsidR="00777672" w:rsidRDefault="00777672" w:rsidP="00777672">
            <w:pPr>
              <w:rPr>
                <w:sz w:val="24"/>
                <w:lang w:val="en-US"/>
              </w:rPr>
            </w:pPr>
          </w:p>
        </w:tc>
        <w:tc>
          <w:tcPr>
            <w:tcW w:w="3487" w:type="dxa"/>
          </w:tcPr>
          <w:p w:rsidR="00777672" w:rsidRDefault="00FE6710" w:rsidP="00777672">
            <w:pPr>
              <w:rPr>
                <w:color w:val="ED7D31" w:themeColor="accent2"/>
                <w:sz w:val="24"/>
                <w:lang w:val="en-US"/>
              </w:rPr>
            </w:pPr>
            <w:r>
              <w:rPr>
                <w:color w:val="ED7D31" w:themeColor="accent2"/>
                <w:sz w:val="24"/>
                <w:lang w:val="en-US"/>
              </w:rPr>
              <w:t xml:space="preserve">B1. Ask and respond to questions about which individuals and </w:t>
            </w:r>
            <w:r>
              <w:rPr>
                <w:color w:val="ED7D31" w:themeColor="accent2"/>
                <w:sz w:val="24"/>
                <w:lang w:val="en-US"/>
              </w:rPr>
              <w:lastRenderedPageBreak/>
              <w:t>communities do, and why, so that pupils can identify what difference belonging to a community might make.</w:t>
            </w:r>
          </w:p>
          <w:p w:rsidR="00FE6710" w:rsidRDefault="00FE6710" w:rsidP="00777672">
            <w:pPr>
              <w:rPr>
                <w:color w:val="ED7D31" w:themeColor="accent2"/>
                <w:sz w:val="24"/>
                <w:lang w:val="en-US"/>
              </w:rPr>
            </w:pPr>
            <w:r>
              <w:rPr>
                <w:color w:val="ED7D31" w:themeColor="accent2"/>
                <w:sz w:val="24"/>
                <w:lang w:val="en-US"/>
              </w:rPr>
              <w:t xml:space="preserve">B2. Observe and recount different ways of expressing identity and belonging, responding sensitively </w:t>
            </w:r>
            <w:r w:rsidR="008C7EFA">
              <w:rPr>
                <w:color w:val="ED7D31" w:themeColor="accent2"/>
                <w:sz w:val="24"/>
                <w:lang w:val="en-US"/>
              </w:rPr>
              <w:t xml:space="preserve">for themselves. </w:t>
            </w:r>
          </w:p>
          <w:p w:rsidR="008C7EFA" w:rsidRPr="00FE6710" w:rsidRDefault="008C7EFA" w:rsidP="00777672">
            <w:pPr>
              <w:rPr>
                <w:color w:val="ED7D31" w:themeColor="accent2"/>
                <w:sz w:val="24"/>
                <w:lang w:val="en-US"/>
              </w:rPr>
            </w:pPr>
            <w:r>
              <w:rPr>
                <w:color w:val="ED7D31" w:themeColor="accent2"/>
                <w:sz w:val="24"/>
                <w:lang w:val="en-US"/>
              </w:rPr>
              <w:t xml:space="preserve">B3. Notice and respond sensitively to some similarities between different religious and non-religious worldviews. </w:t>
            </w:r>
          </w:p>
        </w:tc>
        <w:tc>
          <w:tcPr>
            <w:tcW w:w="3487" w:type="dxa"/>
          </w:tcPr>
          <w:p w:rsidR="00777672" w:rsidRDefault="00694DFA" w:rsidP="00777672">
            <w:pPr>
              <w:rPr>
                <w:color w:val="ED7D31" w:themeColor="accent2"/>
                <w:sz w:val="24"/>
                <w:lang w:val="en-US"/>
              </w:rPr>
            </w:pPr>
            <w:r>
              <w:rPr>
                <w:color w:val="ED7D31" w:themeColor="accent2"/>
                <w:sz w:val="24"/>
                <w:lang w:val="en-US"/>
              </w:rPr>
              <w:lastRenderedPageBreak/>
              <w:t xml:space="preserve">B1. Observe and understand varied examples of religious and </w:t>
            </w:r>
            <w:r>
              <w:rPr>
                <w:color w:val="ED7D31" w:themeColor="accent2"/>
                <w:sz w:val="24"/>
                <w:lang w:val="en-US"/>
              </w:rPr>
              <w:lastRenderedPageBreak/>
              <w:t xml:space="preserve">non-religious worldviews so that they can explain, with reasons, their meanings and significance to individuals and communities. </w:t>
            </w:r>
          </w:p>
          <w:p w:rsidR="00694DFA" w:rsidRDefault="00694DFA" w:rsidP="00777672">
            <w:pPr>
              <w:rPr>
                <w:color w:val="ED7D31" w:themeColor="accent2"/>
                <w:sz w:val="24"/>
                <w:lang w:val="en-US"/>
              </w:rPr>
            </w:pPr>
            <w:r>
              <w:rPr>
                <w:color w:val="ED7D31" w:themeColor="accent2"/>
                <w:sz w:val="24"/>
                <w:lang w:val="en-US"/>
              </w:rPr>
              <w:t xml:space="preserve">B2. Understand the challenges of commitment to a community of faith or belief, suggesting why belonging to a community may be valuable, both in the diverse communities </w:t>
            </w:r>
            <w:proofErr w:type="gramStart"/>
            <w:r>
              <w:rPr>
                <w:color w:val="ED7D31" w:themeColor="accent2"/>
                <w:sz w:val="24"/>
                <w:lang w:val="en-US"/>
              </w:rPr>
              <w:t>being studied</w:t>
            </w:r>
            <w:proofErr w:type="gramEnd"/>
            <w:r>
              <w:rPr>
                <w:color w:val="ED7D31" w:themeColor="accent2"/>
                <w:sz w:val="24"/>
                <w:lang w:val="en-US"/>
              </w:rPr>
              <w:t xml:space="preserve"> and in their own lives. </w:t>
            </w:r>
          </w:p>
          <w:p w:rsidR="00694DFA" w:rsidRPr="00694DFA" w:rsidRDefault="00694DFA" w:rsidP="00777672">
            <w:pPr>
              <w:rPr>
                <w:color w:val="ED7D31" w:themeColor="accent2"/>
                <w:sz w:val="24"/>
                <w:lang w:val="en-US"/>
              </w:rPr>
            </w:pPr>
            <w:r>
              <w:rPr>
                <w:color w:val="ED7D31" w:themeColor="accent2"/>
                <w:sz w:val="24"/>
                <w:lang w:val="en-US"/>
              </w:rPr>
              <w:t xml:space="preserve">B3. Observe and consider different dimensions of religion, so that they can explore and show understanding of similarities and differences within and between different religious and non-religious worldviews. </w:t>
            </w:r>
          </w:p>
        </w:tc>
      </w:tr>
      <w:tr w:rsidR="00777672" w:rsidTr="00777672">
        <w:tc>
          <w:tcPr>
            <w:tcW w:w="3487" w:type="dxa"/>
          </w:tcPr>
          <w:p w:rsidR="00777672" w:rsidRPr="00777672" w:rsidRDefault="00777672" w:rsidP="00777672">
            <w:pPr>
              <w:pStyle w:val="ListParagraph"/>
              <w:numPr>
                <w:ilvl w:val="0"/>
                <w:numId w:val="3"/>
              </w:numPr>
              <w:rPr>
                <w:color w:val="70AD47" w:themeColor="accent6"/>
                <w:sz w:val="24"/>
                <w:lang w:val="en-US"/>
              </w:rPr>
            </w:pPr>
            <w:r>
              <w:rPr>
                <w:color w:val="70AD47" w:themeColor="accent6"/>
                <w:sz w:val="24"/>
                <w:lang w:val="en-US"/>
              </w:rPr>
              <w:lastRenderedPageBreak/>
              <w:t>Gain and deploy the skills needed to engage seriously with religious and non-religious worldviews.</w:t>
            </w:r>
          </w:p>
        </w:tc>
        <w:tc>
          <w:tcPr>
            <w:tcW w:w="3487" w:type="dxa"/>
          </w:tcPr>
          <w:p w:rsidR="00777672" w:rsidRDefault="00777672" w:rsidP="00777672">
            <w:pPr>
              <w:rPr>
                <w:sz w:val="24"/>
                <w:lang w:val="en-US"/>
              </w:rPr>
            </w:pPr>
          </w:p>
        </w:tc>
        <w:tc>
          <w:tcPr>
            <w:tcW w:w="3487" w:type="dxa"/>
          </w:tcPr>
          <w:p w:rsidR="00777672" w:rsidRDefault="004967C8" w:rsidP="00777672">
            <w:pPr>
              <w:rPr>
                <w:color w:val="70AD47" w:themeColor="accent6"/>
                <w:sz w:val="24"/>
                <w:lang w:val="en-US"/>
              </w:rPr>
            </w:pPr>
            <w:r>
              <w:rPr>
                <w:color w:val="70AD47" w:themeColor="accent6"/>
                <w:sz w:val="24"/>
                <w:lang w:val="en-US"/>
              </w:rPr>
              <w:t xml:space="preserve">C1. Explore questions about belonging, meaning and truth so that they can express their own ideas and opinions in response using words, music, act or poetry. </w:t>
            </w:r>
          </w:p>
          <w:p w:rsidR="004967C8" w:rsidRDefault="004967C8" w:rsidP="00777672">
            <w:pPr>
              <w:rPr>
                <w:color w:val="70AD47" w:themeColor="accent6"/>
                <w:sz w:val="24"/>
                <w:lang w:val="en-US"/>
              </w:rPr>
            </w:pPr>
            <w:r>
              <w:rPr>
                <w:color w:val="70AD47" w:themeColor="accent6"/>
                <w:sz w:val="24"/>
                <w:lang w:val="en-US"/>
              </w:rPr>
              <w:t xml:space="preserve">C2. Find out about and respond with ideas to examples of cooperation between people who are different. </w:t>
            </w:r>
          </w:p>
          <w:p w:rsidR="004967C8" w:rsidRPr="004967C8" w:rsidRDefault="004967C8" w:rsidP="00777672">
            <w:pPr>
              <w:rPr>
                <w:color w:val="70AD47" w:themeColor="accent6"/>
                <w:sz w:val="24"/>
                <w:lang w:val="en-US"/>
              </w:rPr>
            </w:pPr>
            <w:r>
              <w:rPr>
                <w:color w:val="70AD47" w:themeColor="accent6"/>
                <w:sz w:val="24"/>
                <w:lang w:val="en-US"/>
              </w:rPr>
              <w:lastRenderedPageBreak/>
              <w:t>C3. Find out about questions</w:t>
            </w:r>
            <w:r w:rsidR="00F7198C">
              <w:rPr>
                <w:color w:val="70AD47" w:themeColor="accent6"/>
                <w:sz w:val="24"/>
                <w:lang w:val="en-US"/>
              </w:rPr>
              <w:t xml:space="preserve"> of right and wrong and begin to express their ideas and opinions in response. </w:t>
            </w:r>
            <w:r>
              <w:rPr>
                <w:color w:val="70AD47" w:themeColor="accent6"/>
                <w:sz w:val="24"/>
                <w:lang w:val="en-US"/>
              </w:rPr>
              <w:t xml:space="preserve">  </w:t>
            </w:r>
          </w:p>
        </w:tc>
        <w:tc>
          <w:tcPr>
            <w:tcW w:w="3487" w:type="dxa"/>
          </w:tcPr>
          <w:p w:rsidR="00777672" w:rsidRDefault="00694DFA" w:rsidP="00777672">
            <w:pPr>
              <w:rPr>
                <w:color w:val="70AD47" w:themeColor="accent6"/>
                <w:sz w:val="24"/>
                <w:lang w:val="en-US"/>
              </w:rPr>
            </w:pPr>
            <w:r>
              <w:rPr>
                <w:color w:val="70AD47" w:themeColor="accent6"/>
                <w:sz w:val="24"/>
                <w:lang w:val="en-US"/>
              </w:rPr>
              <w:lastRenderedPageBreak/>
              <w:t xml:space="preserve">C1. Discuss and present thoughtfully their own and others’ views on challenging questions about belonging, meaning, purpose and truth, applying ideas of their own in different forms including (e.g.) reasoning, music, art and poetry. </w:t>
            </w:r>
          </w:p>
          <w:p w:rsidR="00694DFA" w:rsidRDefault="00694DFA" w:rsidP="00777672">
            <w:pPr>
              <w:rPr>
                <w:color w:val="70AD47" w:themeColor="accent6"/>
                <w:sz w:val="24"/>
                <w:lang w:val="en-US"/>
              </w:rPr>
            </w:pPr>
            <w:r>
              <w:rPr>
                <w:color w:val="70AD47" w:themeColor="accent6"/>
                <w:sz w:val="24"/>
                <w:lang w:val="en-US"/>
              </w:rPr>
              <w:t xml:space="preserve">C2. Consider and apply ideas about ways in which diverse communities can live together </w:t>
            </w:r>
            <w:r>
              <w:rPr>
                <w:color w:val="70AD47" w:themeColor="accent6"/>
                <w:sz w:val="24"/>
                <w:lang w:val="en-US"/>
              </w:rPr>
              <w:lastRenderedPageBreak/>
              <w:t xml:space="preserve">for the wellbeing of all, responding thoughtfully to ideas about community, values and respect. </w:t>
            </w:r>
          </w:p>
          <w:p w:rsidR="00694DFA" w:rsidRPr="00694DFA" w:rsidRDefault="00694DFA" w:rsidP="00777672">
            <w:pPr>
              <w:rPr>
                <w:color w:val="70AD47" w:themeColor="accent6"/>
                <w:sz w:val="24"/>
                <w:lang w:val="en-US"/>
              </w:rPr>
            </w:pPr>
            <w:r>
              <w:rPr>
                <w:color w:val="70AD47" w:themeColor="accent6"/>
                <w:sz w:val="24"/>
                <w:lang w:val="en-US"/>
              </w:rPr>
              <w:t xml:space="preserve">C3. Discuss and apply </w:t>
            </w:r>
            <w:r w:rsidR="00380E3C">
              <w:rPr>
                <w:color w:val="70AD47" w:themeColor="accent6"/>
                <w:sz w:val="24"/>
                <w:lang w:val="en-US"/>
              </w:rPr>
              <w:t>their own and others’ ideas about ethical questions, including ideas about what is right and wrong and what is just and fair, and express their own</w:t>
            </w:r>
            <w:r w:rsidR="00EC0E47">
              <w:rPr>
                <w:color w:val="70AD47" w:themeColor="accent6"/>
                <w:sz w:val="24"/>
                <w:lang w:val="en-US"/>
              </w:rPr>
              <w:t xml:space="preserve"> ideas clearly in response. </w:t>
            </w:r>
            <w:bookmarkStart w:id="0" w:name="_GoBack"/>
            <w:bookmarkEnd w:id="0"/>
            <w:r w:rsidR="00380E3C">
              <w:rPr>
                <w:color w:val="70AD47" w:themeColor="accent6"/>
                <w:sz w:val="24"/>
                <w:lang w:val="en-US"/>
              </w:rPr>
              <w:t xml:space="preserve"> </w:t>
            </w:r>
          </w:p>
        </w:tc>
      </w:tr>
    </w:tbl>
    <w:p w:rsidR="00777672" w:rsidRPr="00777672" w:rsidRDefault="00777672" w:rsidP="00777672">
      <w:pPr>
        <w:rPr>
          <w:sz w:val="24"/>
          <w:lang w:val="en-US"/>
        </w:rPr>
      </w:pPr>
    </w:p>
    <w:sectPr w:rsidR="00777672" w:rsidRPr="00777672" w:rsidSect="00AF32D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228B2"/>
    <w:multiLevelType w:val="hybridMultilevel"/>
    <w:tmpl w:val="1BB43A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6B0F8C"/>
    <w:multiLevelType w:val="hybridMultilevel"/>
    <w:tmpl w:val="9530B6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F7652E"/>
    <w:multiLevelType w:val="hybridMultilevel"/>
    <w:tmpl w:val="D93445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DE"/>
    <w:rsid w:val="00092B5A"/>
    <w:rsid w:val="002E30EA"/>
    <w:rsid w:val="00380E3C"/>
    <w:rsid w:val="00494193"/>
    <w:rsid w:val="004967C8"/>
    <w:rsid w:val="005A5E73"/>
    <w:rsid w:val="00694DFA"/>
    <w:rsid w:val="00777672"/>
    <w:rsid w:val="008C7EFA"/>
    <w:rsid w:val="00992CD3"/>
    <w:rsid w:val="00AF32DE"/>
    <w:rsid w:val="00B26121"/>
    <w:rsid w:val="00B80C88"/>
    <w:rsid w:val="00EC0E47"/>
    <w:rsid w:val="00F10C9F"/>
    <w:rsid w:val="00F7198C"/>
    <w:rsid w:val="00FE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A8B07"/>
  <w15:chartTrackingRefBased/>
  <w15:docId w15:val="{C1B17558-27C2-4461-AE1D-9B0D9A75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7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672"/>
    <w:pPr>
      <w:ind w:left="720"/>
      <w:contextualSpacing/>
    </w:pPr>
  </w:style>
  <w:style w:type="paragraph" w:styleId="BalloonText">
    <w:name w:val="Balloon Text"/>
    <w:basedOn w:val="Normal"/>
    <w:link w:val="BalloonTextChar"/>
    <w:uiPriority w:val="99"/>
    <w:semiHidden/>
    <w:unhideWhenUsed/>
    <w:rsid w:val="00494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Johnston</dc:creator>
  <cp:keywords/>
  <dc:description/>
  <cp:lastModifiedBy>Courtney Johnston</cp:lastModifiedBy>
  <cp:revision>2</cp:revision>
  <cp:lastPrinted>2024-11-15T13:25:00Z</cp:lastPrinted>
  <dcterms:created xsi:type="dcterms:W3CDTF">2024-11-15T13:26:00Z</dcterms:created>
  <dcterms:modified xsi:type="dcterms:W3CDTF">2024-11-15T13:26:00Z</dcterms:modified>
</cp:coreProperties>
</file>