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291108F"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567069">
        <w:t xml:space="preserve"> – Bawtry Mayflower Primary School. </w:t>
      </w:r>
    </w:p>
    <w:p w14:paraId="57AD2424" w14:textId="77777777" w:rsidR="004B1F58" w:rsidRDefault="004B1F58" w:rsidP="004B1F58">
      <w:pPr>
        <w:spacing w:after="0"/>
      </w:pPr>
    </w:p>
    <w:p w14:paraId="16B48015" w14:textId="5FDCC676" w:rsidR="00E66558" w:rsidRDefault="009D71E8" w:rsidP="00C62989">
      <w:pPr>
        <w:rPr>
          <w:b/>
        </w:rPr>
      </w:pPr>
      <w:r>
        <w:t xml:space="preserve">This statement details our school’s use of pupil </w:t>
      </w:r>
      <w:r w:rsidRPr="005F2600">
        <w:t xml:space="preserve">premium </w:t>
      </w:r>
      <w:r>
        <w:t xml:space="preserve">funding to help improve the </w:t>
      </w:r>
      <w:r w:rsidR="00F40EA6">
        <w:t>a</w:t>
      </w:r>
      <w:r>
        <w:t xml:space="preserve">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6C2301" w14:paraId="2A7D54BA"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6C2301" w:rsidRDefault="006C2301" w:rsidP="006C2301">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28B9ECE" w:rsidR="006C2301" w:rsidRDefault="006C2301" w:rsidP="006C2301">
            <w:pPr>
              <w:pStyle w:val="TableRow"/>
              <w:ind w:left="0" w:right="0"/>
            </w:pPr>
            <w:r>
              <w:t>216 (Including Nursery)</w:t>
            </w:r>
          </w:p>
        </w:tc>
      </w:tr>
      <w:tr w:rsidR="006C2301" w14:paraId="2A7D54BD"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6C2301" w:rsidRPr="005224A0" w:rsidRDefault="006C2301" w:rsidP="006C2301">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32314CF" w:rsidR="006C2301" w:rsidRPr="005224A0" w:rsidRDefault="00AA6B4B" w:rsidP="006C2301">
            <w:pPr>
              <w:pStyle w:val="TableRow"/>
              <w:ind w:left="0" w:right="0"/>
            </w:pPr>
            <w:r>
              <w:t>18.5% (40</w:t>
            </w:r>
            <w:r w:rsidR="006C2301">
              <w:t xml:space="preserve"> Children)</w:t>
            </w:r>
          </w:p>
        </w:tc>
      </w:tr>
      <w:tr w:rsidR="006C2301" w14:paraId="2A7D54C0" w14:textId="77777777" w:rsidTr="0D802264">
        <w:trPr>
          <w:trHeight w:val="1965"/>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14EB73B" w:rsidR="006C2301" w:rsidRDefault="006C2301" w:rsidP="006C2301">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8333B" w14:textId="77777777" w:rsidR="006C2301" w:rsidRDefault="006C2301" w:rsidP="006C2301">
            <w:pPr>
              <w:pStyle w:val="TableRow"/>
              <w:ind w:left="0" w:right="0"/>
            </w:pPr>
            <w:r>
              <w:t>1</w:t>
            </w:r>
            <w:r w:rsidRPr="004F5E95">
              <w:rPr>
                <w:vertAlign w:val="superscript"/>
              </w:rPr>
              <w:t>st</w:t>
            </w:r>
            <w:r>
              <w:t xml:space="preserve"> Year 2024-2025 </w:t>
            </w:r>
          </w:p>
          <w:p w14:paraId="17F21D14" w14:textId="77777777" w:rsidR="006C2301" w:rsidRDefault="006C2301" w:rsidP="006C2301">
            <w:pPr>
              <w:pStyle w:val="TableRow"/>
              <w:ind w:left="0" w:right="0"/>
            </w:pPr>
            <w:r>
              <w:t>2</w:t>
            </w:r>
            <w:r w:rsidRPr="004F5E95">
              <w:rPr>
                <w:vertAlign w:val="superscript"/>
              </w:rPr>
              <w:t>nd</w:t>
            </w:r>
            <w:r>
              <w:t xml:space="preserve"> Year 2025-2026</w:t>
            </w:r>
          </w:p>
          <w:p w14:paraId="3E52360C" w14:textId="77777777" w:rsidR="006C2301" w:rsidRDefault="006C2301" w:rsidP="006C2301">
            <w:pPr>
              <w:pStyle w:val="TableRow"/>
              <w:ind w:left="0" w:right="0"/>
            </w:pPr>
            <w:r>
              <w:t>3</w:t>
            </w:r>
            <w:r w:rsidRPr="004F5E95">
              <w:rPr>
                <w:vertAlign w:val="superscript"/>
              </w:rPr>
              <w:t>rd</w:t>
            </w:r>
            <w:r>
              <w:t xml:space="preserve"> Year - 2026-2027</w:t>
            </w:r>
          </w:p>
          <w:p w14:paraId="72F04385" w14:textId="77777777" w:rsidR="006C2301" w:rsidRDefault="006C2301" w:rsidP="006C2301">
            <w:pPr>
              <w:pStyle w:val="TableRow"/>
              <w:ind w:left="0" w:right="0"/>
            </w:pPr>
            <w:r>
              <w:t xml:space="preserve"> </w:t>
            </w:r>
          </w:p>
          <w:p w14:paraId="2A7D54BF" w14:textId="065B4B5E" w:rsidR="006C2301" w:rsidRDefault="006C2301" w:rsidP="006C2301">
            <w:pPr>
              <w:pStyle w:val="TableRow"/>
              <w:ind w:left="0" w:right="0"/>
            </w:pPr>
            <w:r w:rsidRPr="004F5E95">
              <w:rPr>
                <w:b/>
              </w:rPr>
              <w:t>Reviewing 2024-2025</w:t>
            </w:r>
          </w:p>
        </w:tc>
      </w:tr>
      <w:tr w:rsidR="006C2301" w14:paraId="2A7D54C3"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6C2301" w:rsidRDefault="006C2301" w:rsidP="006C2301">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68376A4" w:rsidR="006C2301" w:rsidRDefault="006C2301" w:rsidP="006C2301">
            <w:pPr>
              <w:pStyle w:val="TableRow"/>
              <w:ind w:left="0" w:right="0"/>
            </w:pPr>
            <w:r>
              <w:t>December 2025</w:t>
            </w:r>
          </w:p>
        </w:tc>
      </w:tr>
      <w:tr w:rsidR="006C2301" w14:paraId="2A7D54C6"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6C2301" w:rsidRDefault="006C2301" w:rsidP="006C2301">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D3E8243" w:rsidR="006C2301" w:rsidRDefault="006C2301" w:rsidP="006C2301">
            <w:pPr>
              <w:pStyle w:val="TableRow"/>
              <w:ind w:left="0" w:right="0"/>
            </w:pPr>
            <w:r>
              <w:t>December 2026 (2</w:t>
            </w:r>
            <w:r w:rsidRPr="004F5E95">
              <w:rPr>
                <w:vertAlign w:val="superscript"/>
              </w:rPr>
              <w:t>nd</w:t>
            </w:r>
            <w:r>
              <w:t xml:space="preserve">  year cycle). </w:t>
            </w:r>
          </w:p>
        </w:tc>
      </w:tr>
      <w:tr w:rsidR="002940F3" w14:paraId="2A7D54C9"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479689A" w:rsidR="002940F3" w:rsidRDefault="00520FE7" w:rsidP="00C31636">
            <w:pPr>
              <w:pStyle w:val="TableRow"/>
              <w:ind w:left="0" w:right="0"/>
            </w:pPr>
            <w:r>
              <w:t xml:space="preserve">Lisa Powell </w:t>
            </w:r>
          </w:p>
        </w:tc>
      </w:tr>
      <w:tr w:rsidR="002940F3" w14:paraId="2A7D54CC"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800326C" w:rsidR="002940F3" w:rsidRDefault="00567069" w:rsidP="00C31636">
            <w:pPr>
              <w:pStyle w:val="TableRow"/>
              <w:ind w:left="0" w:right="0"/>
            </w:pPr>
            <w:r>
              <w:t>Hollie Ward</w:t>
            </w:r>
          </w:p>
        </w:tc>
      </w:tr>
      <w:tr w:rsidR="002940F3" w14:paraId="2A7D54CF" w14:textId="77777777" w:rsidTr="0D80226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3E7AA6F" w:rsidR="002940F3" w:rsidRDefault="00567069" w:rsidP="00C31636">
            <w:pPr>
              <w:pStyle w:val="TableRow"/>
              <w:ind w:left="0" w:right="0"/>
            </w:pPr>
            <w:r>
              <w:t>Melissa Jarvis &amp; Nicola McCue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1BA19C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6C2301" w14:paraId="2A7D54D9" w14:textId="77777777" w:rsidTr="1BA19C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6C2301" w:rsidRDefault="006C2301" w:rsidP="006C2301">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4ECBF31" w:rsidR="006C2301" w:rsidRDefault="006C2301" w:rsidP="006C2301">
            <w:pPr>
              <w:pStyle w:val="TableRow"/>
              <w:ind w:left="0" w:right="0"/>
            </w:pPr>
            <w:r>
              <w:t>£70,050</w:t>
            </w:r>
          </w:p>
        </w:tc>
      </w:tr>
      <w:tr w:rsidR="006C2301" w14:paraId="2A7D54DF" w14:textId="77777777" w:rsidTr="1BA19C6F">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6C2301" w:rsidRPr="005F16B6" w:rsidRDefault="006C2301" w:rsidP="006C2301">
            <w:pPr>
              <w:pStyle w:val="TableRow"/>
              <w:spacing w:after="120"/>
              <w:ind w:left="0" w:right="0"/>
              <w:rPr>
                <w:i/>
                <w:iCs/>
              </w:rPr>
            </w:pPr>
            <w:r>
              <w:t xml:space="preserve">Pupil premium funding carried forward from previous years </w:t>
            </w:r>
            <w:r w:rsidRPr="1BA19C6F">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BAB6675" w:rsidR="006C2301" w:rsidRDefault="006C2301" w:rsidP="006C2301">
            <w:pPr>
              <w:pStyle w:val="TableRow"/>
              <w:ind w:left="0" w:right="0"/>
            </w:pPr>
            <w:r>
              <w:t>£1486.25</w:t>
            </w:r>
          </w:p>
        </w:tc>
      </w:tr>
      <w:tr w:rsidR="006C2301" w14:paraId="2A7D54E3" w14:textId="77777777" w:rsidTr="1BA19C6F">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6C2301" w:rsidRPr="005224A0" w:rsidRDefault="006C2301" w:rsidP="006C2301">
            <w:pPr>
              <w:pStyle w:val="TableRow"/>
              <w:spacing w:after="120"/>
              <w:ind w:left="0" w:right="0"/>
              <w:rPr>
                <w:b/>
                <w:bCs/>
              </w:rPr>
            </w:pPr>
            <w:r w:rsidRPr="1BA19C6F">
              <w:rPr>
                <w:b/>
                <w:bCs/>
              </w:rPr>
              <w:t>Total budget for this academic year</w:t>
            </w:r>
          </w:p>
          <w:p w14:paraId="2A7D54E1" w14:textId="77777777" w:rsidR="006C2301" w:rsidRPr="005224A0" w:rsidRDefault="006C2301" w:rsidP="006C2301">
            <w:pPr>
              <w:pStyle w:val="TableRow"/>
              <w:ind w:left="0" w:right="0"/>
              <w:rPr>
                <w:i/>
                <w:iCs/>
              </w:rPr>
            </w:pPr>
            <w:r w:rsidRPr="1BA19C6F">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BD78980" w:rsidR="006C2301" w:rsidRPr="005224A0" w:rsidRDefault="006C2301" w:rsidP="006C2301">
            <w:pPr>
              <w:pStyle w:val="TableRow"/>
              <w:ind w:left="0" w:right="0"/>
              <w:rPr>
                <w:highlight w:val="yellow"/>
              </w:rPr>
            </w:pPr>
            <w:r>
              <w:t>£71,536.25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4439FD4">
        <w:trPr>
          <w:trHeight w:val="1062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1581AA" w14:textId="3F5F9A39" w:rsidR="00F40EA6" w:rsidRPr="00F40EA6" w:rsidRDefault="00F40EA6" w:rsidP="00F40EA6">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rFonts w:ascii="Arial" w:hAnsi="Arial" w:cs="Arial"/>
                <w:color w:val="2F3335"/>
                <w:szCs w:val="27"/>
              </w:rPr>
            </w:pPr>
            <w:r w:rsidRPr="00F40EA6">
              <w:rPr>
                <w:rFonts w:ascii="Arial" w:hAnsi="Arial" w:cs="Arial"/>
                <w:color w:val="2F3335"/>
                <w:szCs w:val="27"/>
              </w:rPr>
              <w:t>The Government believes that the Pupil Premium funding, which is additional to the main school funding, is the best way to address inequalities between pupils in specific groups. Pupil Premium Funding is therefore used to tackle disadvantage in order to reach the pupils who need it most. The government awards the funding to help raise attainment for these pupils.</w:t>
            </w:r>
            <w:r w:rsidR="00E23D2B">
              <w:rPr>
                <w:rFonts w:ascii="Arial" w:hAnsi="Arial" w:cs="Arial"/>
                <w:color w:val="2F3335"/>
                <w:szCs w:val="27"/>
              </w:rPr>
              <w:t xml:space="preserve"> </w:t>
            </w:r>
            <w:r w:rsidRPr="00F40EA6">
              <w:rPr>
                <w:rFonts w:ascii="Arial" w:hAnsi="Arial" w:cs="Arial"/>
                <w:color w:val="2F3335"/>
                <w:szCs w:val="27"/>
              </w:rPr>
              <w:t>National data shows that as a group nationally, pupils who have been eligible for FSMs at any point in time have consistently lower educational attainment than those who have never been eligible for FSMs. All schools are required to publish, on their websites, what the funding they have received and how the money is being spent. Each school may decide how best to use the funding and they are held accountable for how it has been used to support pupils from low income families.</w:t>
            </w:r>
          </w:p>
          <w:p w14:paraId="271C40A2" w14:textId="77777777" w:rsidR="00F40EA6" w:rsidRPr="00F40EA6" w:rsidRDefault="00F40EA6" w:rsidP="00F40EA6">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2F3335"/>
                <w:szCs w:val="27"/>
              </w:rPr>
            </w:pPr>
            <w:r w:rsidRPr="00F40EA6">
              <w:rPr>
                <w:rFonts w:ascii="Arial" w:hAnsi="Arial" w:cs="Arial"/>
                <w:color w:val="2F3335"/>
                <w:szCs w:val="27"/>
              </w:rPr>
              <w:t>At Bawtry Mayflower we are making provision for disadvantaged pupils; however, we also recognise that not all pupils who receive free school meals will be disadvantaged. We also recognise that not all pupils who are disadvantaged will be registered or qualify for free school meals. We reserve the right to allocate the Pupil Premium funding to support pupils or groups of pupils the school has identified as being disadvantaged.</w:t>
            </w:r>
          </w:p>
          <w:p w14:paraId="01E853A8" w14:textId="77777777" w:rsidR="00F40EA6" w:rsidRPr="00F40EA6" w:rsidRDefault="00F40EA6" w:rsidP="00F40EA6">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2F3335"/>
                <w:szCs w:val="27"/>
              </w:rPr>
            </w:pPr>
            <w:r w:rsidRPr="00F40EA6">
              <w:rPr>
                <w:rFonts w:ascii="Arial" w:hAnsi="Arial" w:cs="Arial"/>
                <w:color w:val="2F3335"/>
                <w:szCs w:val="27"/>
              </w:rPr>
              <w:t>At Bawtry Mayflower we strongly believe that it is equally true that outstanding teaching and leadership and a relentless focus on improvement will make a real difference - whatever the context, or degree of challenge facing a school. We know this because there is compelling evidence which demonstrates that high quality teaching and leadership are vital in raising attainment. We also know that schools that are most effective in improving outcomes for disadvantaged pupils always use evidence about what makes a real difference to change their practice.</w:t>
            </w:r>
          </w:p>
          <w:p w14:paraId="48DE0E7A" w14:textId="77777777" w:rsidR="00F40EA6" w:rsidRPr="00F40EA6" w:rsidRDefault="00F40EA6" w:rsidP="00F40EA6">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2F3335"/>
                <w:szCs w:val="27"/>
              </w:rPr>
            </w:pPr>
            <w:r w:rsidRPr="00F40EA6">
              <w:rPr>
                <w:rFonts w:ascii="Arial" w:hAnsi="Arial" w:cs="Arial"/>
                <w:color w:val="2F3335"/>
                <w:szCs w:val="27"/>
              </w:rPr>
              <w:t>We recognise that disadvantaged pupils are not a homogenous group and employ targeted approaches for groups or individuals facing particular barriers to ensure the best possible learning outcomes for all. Whilst the pupil premium has focused many schools’ attention on raising the attainment of low performing pupils, more able disadvantaged pupils are at risk of underachievement too.</w:t>
            </w:r>
          </w:p>
          <w:p w14:paraId="2A7D54E9" w14:textId="41B0DA18" w:rsidR="00E66558" w:rsidRPr="00F40EA6" w:rsidRDefault="00F40EA6" w:rsidP="00F40EA6">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2F3335"/>
                <w:sz w:val="27"/>
                <w:szCs w:val="27"/>
              </w:rPr>
            </w:pPr>
            <w:r w:rsidRPr="00F40EA6">
              <w:rPr>
                <w:rFonts w:ascii="Arial" w:hAnsi="Arial" w:cs="Arial"/>
                <w:color w:val="2F3335"/>
                <w:szCs w:val="27"/>
              </w:rPr>
              <w:t>At Bawtry Mayflower we wholeheartedly believe that ultimately the impact of pupil premium should lead to improved attainment for all disadvantaged pupils. However, important outcomes, which will lead to this might include – increased rates of progress, improved attendance, improving family engagement, developing skills and personal qualities whilst extending opportunities.</w:t>
            </w:r>
          </w:p>
        </w:tc>
      </w:tr>
    </w:tbl>
    <w:p w14:paraId="7043AF07" w14:textId="77777777" w:rsidR="00F40EA6" w:rsidRDefault="00F40EA6">
      <w:pPr>
        <w:pStyle w:val="Heading2"/>
        <w:spacing w:before="600"/>
      </w:pPr>
    </w:p>
    <w:p w14:paraId="2A7D54EB" w14:textId="3BD4DD89"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DCA1BA" w:rsidR="00E66558" w:rsidRPr="00744F36" w:rsidRDefault="000E69CD" w:rsidP="00C31636">
            <w:pPr>
              <w:pStyle w:val="TableRowCentered"/>
              <w:ind w:left="0" w:right="0"/>
              <w:jc w:val="left"/>
            </w:pPr>
            <w:r w:rsidRPr="00744F36">
              <w:rPr>
                <w:iCs/>
                <w:sz w:val="22"/>
                <w:szCs w:val="22"/>
              </w:rPr>
              <w:t xml:space="preserve">Gaps in Writing and SPaG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B87B99F" w:rsidR="001E3517" w:rsidRDefault="000E69CD" w:rsidP="00C31636">
            <w:pPr>
              <w:pStyle w:val="TableRowCentered"/>
              <w:ind w:left="0" w:right="0"/>
              <w:jc w:val="left"/>
              <w:rPr>
                <w:sz w:val="22"/>
                <w:szCs w:val="22"/>
              </w:rPr>
            </w:pPr>
            <w:r>
              <w:rPr>
                <w:sz w:val="22"/>
                <w:szCs w:val="22"/>
              </w:rPr>
              <w:t xml:space="preserve">Attendance and Punctuality Issues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4A1D091" w:rsidR="00E66558" w:rsidRDefault="000E69CD" w:rsidP="00C31636">
            <w:pPr>
              <w:pStyle w:val="TableRowCentered"/>
              <w:ind w:left="0" w:right="0"/>
              <w:jc w:val="left"/>
              <w:rPr>
                <w:sz w:val="22"/>
                <w:szCs w:val="22"/>
              </w:rPr>
            </w:pPr>
            <w:r>
              <w:rPr>
                <w:sz w:val="22"/>
                <w:szCs w:val="22"/>
              </w:rPr>
              <w:t>Increased numbers of pupils with Complex</w:t>
            </w:r>
            <w:r w:rsidR="002541BB">
              <w:rPr>
                <w:sz w:val="22"/>
                <w:szCs w:val="22"/>
              </w:rPr>
              <w:t>/Behavioural</w:t>
            </w:r>
            <w:r>
              <w:rPr>
                <w:sz w:val="22"/>
                <w:szCs w:val="22"/>
              </w:rPr>
              <w:t xml:space="preserve"> needs.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0596974" w:rsidR="00E66558" w:rsidRDefault="000E69CD" w:rsidP="00C31636">
            <w:pPr>
              <w:pStyle w:val="TableRowCentered"/>
              <w:ind w:left="0" w:right="0"/>
              <w:jc w:val="left"/>
              <w:rPr>
                <w:iCs/>
                <w:sz w:val="22"/>
              </w:rPr>
            </w:pPr>
            <w:r>
              <w:rPr>
                <w:iCs/>
                <w:sz w:val="22"/>
              </w:rPr>
              <w:t xml:space="preserve">Social, emotional and Mental Health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767D0A1" w:rsidR="009A5C68" w:rsidRPr="000E69CD" w:rsidRDefault="009A5C68" w:rsidP="00C31636">
            <w:pPr>
              <w:pStyle w:val="TableRowCentered"/>
              <w:ind w:left="0" w:right="0"/>
              <w:jc w:val="left"/>
              <w:rPr>
                <w:iCs/>
                <w:sz w:val="22"/>
                <w:highlight w:val="yellow"/>
              </w:rPr>
            </w:pPr>
            <w:r w:rsidRPr="009A5C68">
              <w:rPr>
                <w:iCs/>
                <w:sz w:val="22"/>
              </w:rPr>
              <w:t xml:space="preserve">Developing communication and language </w:t>
            </w:r>
            <w:r w:rsidR="00744F36">
              <w:rPr>
                <w:iCs/>
                <w:sz w:val="22"/>
              </w:rPr>
              <w:t>needs</w:t>
            </w:r>
          </w:p>
        </w:tc>
      </w:tr>
      <w:tr w:rsidR="006B7F24" w14:paraId="16A9B06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13AE7" w14:textId="7BF65E80" w:rsidR="006B7F24" w:rsidRDefault="006B7F24"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D8590" w14:textId="1524E9FB" w:rsidR="006B7F24" w:rsidRPr="009A5C68" w:rsidRDefault="006B7F24" w:rsidP="00C31636">
            <w:pPr>
              <w:pStyle w:val="TableRowCentered"/>
              <w:ind w:left="0" w:right="0"/>
              <w:jc w:val="left"/>
              <w:rPr>
                <w:iCs/>
                <w:sz w:val="22"/>
              </w:rPr>
            </w:pPr>
            <w:r>
              <w:rPr>
                <w:iCs/>
                <w:sz w:val="22"/>
              </w:rPr>
              <w:t xml:space="preserve">Wider opportunities for PP children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380" w:type="pct"/>
        <w:tblInd w:w="-289" w:type="dxa"/>
        <w:tblCellMar>
          <w:left w:w="10" w:type="dxa"/>
          <w:right w:w="10" w:type="dxa"/>
        </w:tblCellMar>
        <w:tblLook w:val="04A0" w:firstRow="1" w:lastRow="0" w:firstColumn="1" w:lastColumn="0" w:noHBand="0" w:noVBand="1"/>
      </w:tblPr>
      <w:tblGrid>
        <w:gridCol w:w="3545"/>
        <w:gridCol w:w="6662"/>
      </w:tblGrid>
      <w:tr w:rsidR="00E66558" w14:paraId="2A7D5503"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1E3517" w14:paraId="5173DCF6"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BFD4E1" w14:textId="4DB0C801" w:rsidR="001E3517" w:rsidRPr="000E69CD" w:rsidRDefault="4F4F3309" w:rsidP="54FBBCF6">
            <w:pPr>
              <w:pStyle w:val="TableRow"/>
              <w:ind w:left="0" w:right="0"/>
              <w:rPr>
                <w:sz w:val="22"/>
                <w:szCs w:val="22"/>
              </w:rPr>
            </w:pPr>
            <w:r w:rsidRPr="54FBBCF6">
              <w:rPr>
                <w:sz w:val="22"/>
                <w:szCs w:val="22"/>
              </w:rPr>
              <w:t>The quality of teaching and learning is highly impactful in all classes, and pupils will have access to quality teaching on a daily basis.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67283" w14:textId="384F187D" w:rsidR="001E3517" w:rsidRPr="000E69CD" w:rsidRDefault="4F4F3309" w:rsidP="00C31636">
            <w:pPr>
              <w:pStyle w:val="TableRowCentered"/>
              <w:ind w:left="0" w:right="0"/>
              <w:jc w:val="left"/>
              <w:rPr>
                <w:sz w:val="22"/>
                <w:szCs w:val="22"/>
              </w:rPr>
            </w:pPr>
            <w:r w:rsidRPr="54FBBCF6">
              <w:rPr>
                <w:sz w:val="22"/>
                <w:szCs w:val="22"/>
              </w:rPr>
              <w:t>100% of teaching is good or outstanding, which can be demonstrated by lesson observations/drop-ins, books that show that children are making progress in their learning across all subjects, and formative and summative data that show that all children make at least expected progress.</w:t>
            </w:r>
          </w:p>
        </w:tc>
      </w:tr>
      <w:tr w:rsidR="004035DD" w14:paraId="44D5D4B1"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04B37" w14:textId="011C2A10" w:rsidR="004035DD" w:rsidRPr="000E69CD" w:rsidRDefault="3972D22B" w:rsidP="54FBBCF6">
            <w:pPr>
              <w:pStyle w:val="TableRow"/>
              <w:ind w:left="0" w:right="0"/>
              <w:rPr>
                <w:sz w:val="22"/>
                <w:szCs w:val="22"/>
              </w:rPr>
            </w:pPr>
            <w:r w:rsidRPr="54FBBCF6">
              <w:rPr>
                <w:sz w:val="22"/>
                <w:szCs w:val="22"/>
              </w:rPr>
              <w:t>There is a culture of continuous improvement amongst all teaching and support staff based upon the most up-to-date research. High</w:t>
            </w:r>
            <w:r w:rsidR="3F573BFF" w:rsidRPr="54FBBCF6">
              <w:rPr>
                <w:sz w:val="22"/>
                <w:szCs w:val="22"/>
              </w:rPr>
              <w:t>-</w:t>
            </w:r>
            <w:r w:rsidRPr="54FBBCF6">
              <w:rPr>
                <w:sz w:val="22"/>
                <w:szCs w:val="22"/>
              </w:rPr>
              <w:t>quality professional development will be a part of ensuring equity for all pupils.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261FB" w14:textId="4B8433BA" w:rsidR="004035DD" w:rsidRPr="000E69CD" w:rsidRDefault="18AB7FB5" w:rsidP="00C31636">
            <w:pPr>
              <w:pStyle w:val="TableRowCentered"/>
              <w:ind w:left="0" w:right="0"/>
              <w:jc w:val="left"/>
              <w:rPr>
                <w:sz w:val="22"/>
                <w:szCs w:val="22"/>
              </w:rPr>
            </w:pPr>
            <w:r w:rsidRPr="54FBBCF6">
              <w:rPr>
                <w:sz w:val="22"/>
                <w:szCs w:val="22"/>
              </w:rPr>
              <w:t>Teachers will use learning from CPD to plan and deliver high-quality teaching and learning across the curriculum, which can be demonstrated by engagement in discipline inquiry, attendance at CPD, and lesson drop-ins to show application of the learning from CPD into practice.</w:t>
            </w:r>
          </w:p>
        </w:tc>
      </w:tr>
      <w:tr w:rsidR="00E66558" w14:paraId="2A7D5506"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8D01087" w:rsidR="00E66558" w:rsidRDefault="5151375A" w:rsidP="00C31636">
            <w:pPr>
              <w:pStyle w:val="TableRow"/>
              <w:ind w:left="0" w:right="0"/>
            </w:pPr>
            <w:r w:rsidRPr="54FBBCF6">
              <w:rPr>
                <w:sz w:val="22"/>
                <w:szCs w:val="22"/>
              </w:rPr>
              <w:t>To improve writing and SPaG attainment throughout school (focusing on closing the gap for P</w:t>
            </w:r>
            <w:r w:rsidR="31404651" w:rsidRPr="54FBBCF6">
              <w:rPr>
                <w:sz w:val="22"/>
                <w:szCs w:val="22"/>
              </w:rPr>
              <w:t xml:space="preserve">upil </w:t>
            </w:r>
            <w:r w:rsidRPr="54FBBCF6">
              <w:rPr>
                <w:sz w:val="22"/>
                <w:szCs w:val="22"/>
              </w:rPr>
              <w:t>P</w:t>
            </w:r>
            <w:r w:rsidR="31404651" w:rsidRPr="54FBBCF6">
              <w:rPr>
                <w:sz w:val="22"/>
                <w:szCs w:val="22"/>
              </w:rPr>
              <w:t>remium</w:t>
            </w:r>
            <w:r w:rsidRPr="54FBBCF6">
              <w:rPr>
                <w:sz w:val="22"/>
                <w:szCs w:val="22"/>
              </w:rPr>
              <w:t xml:space="preserve"> children compared to non-pupil premium children).</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4A6788" w14:textId="2CDD0F3D" w:rsidR="004035DD" w:rsidRDefault="634699C0" w:rsidP="54FBBCF6">
            <w:pPr>
              <w:pStyle w:val="TableRowCentered"/>
              <w:ind w:left="0" w:right="0"/>
              <w:jc w:val="left"/>
              <w:rPr>
                <w:sz w:val="22"/>
                <w:szCs w:val="22"/>
              </w:rPr>
            </w:pPr>
            <w:r w:rsidRPr="54FBBCF6">
              <w:rPr>
                <w:sz w:val="22"/>
                <w:szCs w:val="22"/>
              </w:rPr>
              <w:t xml:space="preserve">For writing attainment to improve for all children. Data to meet or be above national average statistics. For Pupil Premium children’s attainment and progress to be above or in line with non-Pupil Premium children. </w:t>
            </w:r>
          </w:p>
          <w:p w14:paraId="2A7D5505" w14:textId="0B41E2AA" w:rsidR="004035DD" w:rsidRDefault="634699C0" w:rsidP="00C31636">
            <w:pPr>
              <w:pStyle w:val="TableRowCentered"/>
              <w:ind w:left="0" w:right="0"/>
              <w:jc w:val="left"/>
            </w:pPr>
            <w:r w:rsidRPr="54FBBCF6">
              <w:rPr>
                <w:sz w:val="22"/>
                <w:szCs w:val="22"/>
              </w:rPr>
              <w:t>All children should be able to write fluently at an age-appropriate standard, including spelling, grammar, and punctuation, which can be demonstrated through comparative judgement reports, e.g., no more making, summative assessment data, writing moderation (school and Doncaster Council), analysis of children’s work or portfolio of writing, and end of EYFS/KS1/KS2 outcomes.</w:t>
            </w:r>
          </w:p>
        </w:tc>
      </w:tr>
      <w:tr w:rsidR="00E66558" w14:paraId="2A7D5509"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31B15E50" w:rsidR="00E66558" w:rsidRDefault="5151375A" w:rsidP="00C31636">
            <w:pPr>
              <w:pStyle w:val="TableRow"/>
              <w:ind w:left="0" w:right="0"/>
              <w:rPr>
                <w:sz w:val="22"/>
                <w:szCs w:val="22"/>
              </w:rPr>
            </w:pPr>
            <w:r w:rsidRPr="54FBBCF6">
              <w:rPr>
                <w:sz w:val="22"/>
                <w:szCs w:val="22"/>
              </w:rPr>
              <w:lastRenderedPageBreak/>
              <w:t>To improve attendance</w:t>
            </w:r>
            <w:r w:rsidR="3F01889E" w:rsidRPr="54FBBCF6">
              <w:rPr>
                <w:sz w:val="22"/>
                <w:szCs w:val="22"/>
              </w:rPr>
              <w:t xml:space="preserve"> and punctuality</w:t>
            </w:r>
            <w:r w:rsidRPr="54FBBCF6">
              <w:rPr>
                <w:sz w:val="22"/>
                <w:szCs w:val="22"/>
              </w:rPr>
              <w:t xml:space="preserve"> for Pupil Premium </w:t>
            </w:r>
            <w:r w:rsidR="668C51D1" w:rsidRPr="54FBBCF6">
              <w:rPr>
                <w:sz w:val="22"/>
                <w:szCs w:val="22"/>
              </w:rPr>
              <w:t>c</w:t>
            </w:r>
            <w:r w:rsidRPr="54FBBCF6">
              <w:rPr>
                <w:sz w:val="22"/>
                <w:szCs w:val="22"/>
              </w:rPr>
              <w:t xml:space="preserve">hildren.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0615B" w14:textId="1F339736" w:rsidR="00F12733" w:rsidRDefault="333CDE9E" w:rsidP="54FBBCF6">
            <w:pPr>
              <w:pStyle w:val="TableRowCentered"/>
              <w:ind w:left="0" w:right="0"/>
              <w:jc w:val="left"/>
              <w:rPr>
                <w:sz w:val="22"/>
                <w:szCs w:val="22"/>
              </w:rPr>
            </w:pPr>
            <w:r w:rsidRPr="54FBBCF6">
              <w:rPr>
                <w:sz w:val="22"/>
                <w:szCs w:val="22"/>
              </w:rPr>
              <w:t xml:space="preserve">For all children to have 97% attendance and arrive at school on time. The attendance gap is being reduced between non-pupil premium and pupil premium children (currently a 2% gap between disadvantaged and non-disadvantaged pupils). </w:t>
            </w:r>
          </w:p>
          <w:p w14:paraId="2A7D5508" w14:textId="5D6F676F" w:rsidR="00F12733" w:rsidRDefault="333CDE9E" w:rsidP="00C31636">
            <w:pPr>
              <w:pStyle w:val="TableRowCentered"/>
              <w:ind w:left="0" w:right="0"/>
              <w:jc w:val="left"/>
            </w:pPr>
            <w:r w:rsidRPr="54FBBCF6">
              <w:rPr>
                <w:sz w:val="22"/>
                <w:szCs w:val="22"/>
              </w:rPr>
              <w:t>Disadvantaged pupils’ attendance should be in line with National Averages for 2024/25.</w:t>
            </w:r>
          </w:p>
        </w:tc>
      </w:tr>
      <w:tr w:rsidR="004035DD" w14:paraId="387A1B9A"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AB4EC" w14:textId="4A828DC3" w:rsidR="004035DD" w:rsidRDefault="7A3914E2" w:rsidP="00F40EA6">
            <w:pPr>
              <w:pStyle w:val="TableRow"/>
              <w:rPr>
                <w:sz w:val="22"/>
                <w:szCs w:val="22"/>
              </w:rPr>
            </w:pPr>
            <w:r w:rsidRPr="54FBBCF6">
              <w:rPr>
                <w:sz w:val="22"/>
                <w:szCs w:val="22"/>
              </w:rPr>
              <w:t>The attainment gaps between disadvantaged pupils and non-disadvantaged peers will be narrowed as a result of structured interventions based on evidence.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1B9043" w14:textId="069B223D" w:rsidR="004035DD" w:rsidRPr="00F40EA6" w:rsidRDefault="7A3914E2" w:rsidP="54FBBCF6">
            <w:pPr>
              <w:pStyle w:val="NoSpacing"/>
              <w:rPr>
                <w:sz w:val="22"/>
                <w:szCs w:val="22"/>
              </w:rPr>
            </w:pPr>
            <w:r w:rsidRPr="54FBBCF6">
              <w:rPr>
                <w:sz w:val="22"/>
                <w:szCs w:val="22"/>
              </w:rPr>
              <w:t>Children participating in interventions will make accelerated progress, which will be demonstrated through before-intervention baseline and end-of-intervention assessments, teacher/teaching assistant judgements, and the narrowing of the gap of attainment between Disadvantaged Pupils and Non-Disadvantaged Pupils.</w:t>
            </w:r>
          </w:p>
        </w:tc>
      </w:tr>
      <w:tr w:rsidR="00E66558" w14:paraId="2A7D550C"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E7355C0" w:rsidR="00E66558" w:rsidRDefault="3F01889E" w:rsidP="00F40EA6">
            <w:pPr>
              <w:pStyle w:val="TableRow"/>
              <w:rPr>
                <w:sz w:val="22"/>
                <w:szCs w:val="22"/>
              </w:rPr>
            </w:pPr>
            <w:r w:rsidRPr="54FBBCF6">
              <w:rPr>
                <w:sz w:val="22"/>
                <w:szCs w:val="22"/>
              </w:rPr>
              <w:t>Support children’s social, emotional</w:t>
            </w:r>
            <w:r w:rsidR="27573C4C" w:rsidRPr="54FBBCF6">
              <w:rPr>
                <w:sz w:val="22"/>
                <w:szCs w:val="22"/>
              </w:rPr>
              <w:t>,</w:t>
            </w:r>
            <w:r w:rsidRPr="54FBBCF6">
              <w:rPr>
                <w:sz w:val="22"/>
                <w:szCs w:val="22"/>
              </w:rPr>
              <w:t xml:space="preserve"> and mental health needs (+ support for Complex and Behavioural needs).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7BBE94" w14:textId="0421ED16" w:rsidR="00F12733" w:rsidRDefault="2EE00905" w:rsidP="54FBBCF6">
            <w:pPr>
              <w:pStyle w:val="TableRowCentered"/>
              <w:ind w:left="0" w:right="0"/>
              <w:jc w:val="left"/>
              <w:rPr>
                <w:sz w:val="22"/>
                <w:szCs w:val="22"/>
              </w:rPr>
            </w:pPr>
            <w:r w:rsidRPr="54FBBCF6">
              <w:rPr>
                <w:sz w:val="22"/>
                <w:szCs w:val="22"/>
              </w:rPr>
              <w:t xml:space="preserve">Continue to develop the school’s Mental Health offer, including pastoral support, With Me in Mind, Early Help, Solihull Parenting, links to the school nursing team, family engagement opportunities and pastoral and behavioural support. </w:t>
            </w:r>
          </w:p>
          <w:p w14:paraId="7753792C" w14:textId="38AF3CCA" w:rsidR="00F12733" w:rsidRDefault="2EE00905" w:rsidP="008751F1">
            <w:pPr>
              <w:pStyle w:val="TableRowCentered"/>
              <w:ind w:left="0" w:right="0"/>
              <w:jc w:val="left"/>
            </w:pPr>
            <w:r w:rsidRPr="54FBBCF6">
              <w:rPr>
                <w:sz w:val="22"/>
                <w:szCs w:val="22"/>
              </w:rPr>
              <w:t xml:space="preserve">Children identified as vulnerable, due to social and emotional needs, receive high-quality support both in and out of the classroom context. </w:t>
            </w:r>
          </w:p>
          <w:p w14:paraId="7F82AED3" w14:textId="463D6ED5" w:rsidR="00F12733" w:rsidRDefault="2EE00905" w:rsidP="008751F1">
            <w:pPr>
              <w:pStyle w:val="TableRowCentered"/>
              <w:ind w:left="0" w:right="0"/>
              <w:jc w:val="left"/>
            </w:pPr>
            <w:r w:rsidRPr="54FBBCF6">
              <w:rPr>
                <w:sz w:val="22"/>
                <w:szCs w:val="22"/>
              </w:rPr>
              <w:t xml:space="preserve">Provide support for one-to-one and small group personalised provision (as well as family support where needed). </w:t>
            </w:r>
          </w:p>
          <w:p w14:paraId="5306F9B6" w14:textId="018036BC" w:rsidR="00F12733" w:rsidRDefault="2EE00905" w:rsidP="008751F1">
            <w:pPr>
              <w:pStyle w:val="TableRowCentered"/>
              <w:ind w:left="0" w:right="0"/>
              <w:jc w:val="left"/>
            </w:pPr>
            <w:r w:rsidRPr="54FBBCF6">
              <w:rPr>
                <w:sz w:val="22"/>
                <w:szCs w:val="22"/>
              </w:rPr>
              <w:t xml:space="preserve">This should be demonstrated by student voice, student and parent surveys, and teacher observations, as well as improvements in children’s social, emotional, and mental needs (use of the Motional program to support interventions and provide tailored support for those who need it). </w:t>
            </w:r>
          </w:p>
          <w:p w14:paraId="2A7D550B" w14:textId="19447895" w:rsidR="00F12733" w:rsidRDefault="2EE00905" w:rsidP="008751F1">
            <w:pPr>
              <w:pStyle w:val="TableRowCentered"/>
              <w:ind w:left="0" w:right="0"/>
              <w:jc w:val="left"/>
              <w:rPr>
                <w:sz w:val="22"/>
                <w:szCs w:val="22"/>
              </w:rPr>
            </w:pPr>
            <w:r w:rsidRPr="54FBBCF6">
              <w:rPr>
                <w:sz w:val="22"/>
                <w:szCs w:val="22"/>
              </w:rPr>
              <w:t>This should also include a significant increase in participation in enrichment activities, particularly among disadvantaged pupils.</w:t>
            </w:r>
            <w:r w:rsidR="0ED3DDCF" w:rsidRPr="54FBBCF6">
              <w:rPr>
                <w:sz w:val="22"/>
                <w:szCs w:val="22"/>
              </w:rPr>
              <w:t xml:space="preserve"> </w:t>
            </w:r>
          </w:p>
        </w:tc>
      </w:tr>
      <w:tr w:rsidR="00E66558" w14:paraId="2A7D550F"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1B63645C" w:rsidR="00E66558" w:rsidRDefault="008751F1" w:rsidP="00C31636">
            <w:pPr>
              <w:pStyle w:val="TableRow"/>
              <w:ind w:left="0" w:right="0"/>
              <w:rPr>
                <w:sz w:val="22"/>
                <w:szCs w:val="22"/>
              </w:rPr>
            </w:pPr>
            <w:r>
              <w:rPr>
                <w:sz w:val="22"/>
                <w:szCs w:val="22"/>
              </w:rPr>
              <w:t xml:space="preserve">To improve communication and language skills in Early Years (&amp; across school).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E" w14:textId="4F21D35B" w:rsidR="008607B7" w:rsidRPr="00F40EA6" w:rsidRDefault="2C3B62C0" w:rsidP="54FBBCF6">
            <w:pPr>
              <w:pStyle w:val="NoSpacing"/>
              <w:rPr>
                <w:sz w:val="22"/>
                <w:szCs w:val="22"/>
              </w:rPr>
            </w:pPr>
            <w:r w:rsidRPr="54FBBCF6">
              <w:rPr>
                <w:sz w:val="22"/>
                <w:szCs w:val="22"/>
              </w:rPr>
              <w:t>To see a continued improvement in children’s language skills in EYFS. High-quality teaching, modelling, and interventions will provide children with opportunities to develop their Oracy skills, spoken language, and communication. Children should be able to use the correct phonetic sounds, use high-quality vocabulary, and have broad and balanced conversations.</w:t>
            </w:r>
          </w:p>
        </w:tc>
      </w:tr>
      <w:tr w:rsidR="000B4827" w14:paraId="7E9FC4AE"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979A44" w14:textId="030CC3BB" w:rsidR="000B4827" w:rsidRDefault="2C3B62C0" w:rsidP="54FBBCF6">
            <w:pPr>
              <w:pStyle w:val="TableRow"/>
              <w:ind w:left="0" w:right="0"/>
              <w:rPr>
                <w:sz w:val="22"/>
                <w:szCs w:val="22"/>
              </w:rPr>
            </w:pPr>
            <w:r w:rsidRPr="54FBBCF6">
              <w:rPr>
                <w:sz w:val="22"/>
                <w:szCs w:val="22"/>
              </w:rPr>
              <w:t xml:space="preserve">To improve parental engagement within school life and education for children who are disadvantaged. </w:t>
            </w:r>
          </w:p>
          <w:p w14:paraId="52A269C9" w14:textId="595CF58C" w:rsidR="000B4827" w:rsidRDefault="2C3B62C0" w:rsidP="00C31636">
            <w:pPr>
              <w:pStyle w:val="TableRow"/>
              <w:ind w:left="0" w:right="0"/>
            </w:pPr>
            <w:r w:rsidRPr="54FBBCF6">
              <w:rPr>
                <w:sz w:val="22"/>
                <w:szCs w:val="22"/>
              </w:rPr>
              <w:t xml:space="preserve">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C13875" w14:textId="61492FA4" w:rsidR="000B4827" w:rsidRDefault="2C3B62C0" w:rsidP="54FBBCF6">
            <w:pPr>
              <w:pStyle w:val="TableRow"/>
              <w:ind w:left="0" w:right="0"/>
            </w:pPr>
            <w:r w:rsidRPr="54FBBCF6">
              <w:rPr>
                <w:sz w:val="22"/>
                <w:szCs w:val="22"/>
              </w:rPr>
              <w:t>All parents will be engaged in the life of our school and its community. Parents will regularly be offered access to support within education, pastoral support, and parenting support. This can be demonstrated by attendance at workshop/inclusion mornings, engagement with home learning, engagement with parental support (Solihull/Early Help), and attendance at meetings such as SATs, residential, etc.</w:t>
            </w:r>
          </w:p>
        </w:tc>
      </w:tr>
      <w:tr w:rsidR="00F12733" w14:paraId="2989DD87" w14:textId="77777777" w:rsidTr="006C2301">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E4B08" w14:textId="61D75A16" w:rsidR="00F12733" w:rsidRDefault="1D6C7404" w:rsidP="00C31636">
            <w:pPr>
              <w:pStyle w:val="TableRow"/>
              <w:ind w:left="0" w:right="0"/>
              <w:rPr>
                <w:sz w:val="22"/>
                <w:szCs w:val="22"/>
              </w:rPr>
            </w:pPr>
            <w:r w:rsidRPr="54FBBCF6">
              <w:rPr>
                <w:sz w:val="22"/>
                <w:szCs w:val="22"/>
              </w:rPr>
              <w:t>Barriers to learning created by poverty, family circumstances, and background will be removed, and these factors will not hinder development and learning equity for our children, in comparison with those from less deprived areas, due to first-class enrichment and wider learning opportunities both in and out of school.</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11EDD" w14:textId="54815CF8" w:rsidR="00F12733" w:rsidRDefault="4DC82B7D" w:rsidP="54FBBCF6">
            <w:pPr>
              <w:pStyle w:val="NoSpacing"/>
              <w:rPr>
                <w:sz w:val="22"/>
                <w:szCs w:val="22"/>
              </w:rPr>
            </w:pPr>
            <w:r w:rsidRPr="54FBBCF6">
              <w:rPr>
                <w:sz w:val="22"/>
                <w:szCs w:val="22"/>
              </w:rPr>
              <w:t>Children will engage in wider opportunities, which can be demonstrated through KS2 participation in musical instrument sessions, participation in extra-curricular activities, trips, residentials, or experiences, and attendance of after-school clubs/wraparound care.</w:t>
            </w:r>
          </w:p>
        </w:tc>
      </w:tr>
    </w:tbl>
    <w:p w14:paraId="2A06959E" w14:textId="0E4C7461" w:rsidR="00120AB1" w:rsidRDefault="00120AB1" w:rsidP="00BD4B12"/>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D789EE1" w:rsidR="00E66558" w:rsidRDefault="009D71E8" w:rsidP="1BA19C6F">
      <w:pPr>
        <w:rPr>
          <w:i/>
          <w:iCs/>
        </w:rPr>
      </w:pPr>
      <w:r>
        <w:t xml:space="preserve">Budgeted cost: </w:t>
      </w:r>
      <w:r w:rsidRPr="00757CA7">
        <w:t>£</w:t>
      </w:r>
      <w:r w:rsidR="00757CA7" w:rsidRPr="00757CA7">
        <w:t>55,744.25</w:t>
      </w:r>
    </w:p>
    <w:tbl>
      <w:tblPr>
        <w:tblW w:w="9486" w:type="dxa"/>
        <w:tblCellMar>
          <w:left w:w="10" w:type="dxa"/>
          <w:right w:w="10" w:type="dxa"/>
        </w:tblCellMar>
        <w:tblLook w:val="04A0" w:firstRow="1" w:lastRow="0" w:firstColumn="1" w:lastColumn="0" w:noHBand="0" w:noVBand="1"/>
      </w:tblPr>
      <w:tblGrid>
        <w:gridCol w:w="1860"/>
        <w:gridCol w:w="6209"/>
        <w:gridCol w:w="1417"/>
      </w:tblGrid>
      <w:tr w:rsidR="00E66558" w14:paraId="2A7D5519" w14:textId="77777777" w:rsidTr="54FBBCF6">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54FBBCF6">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BA1D4" w14:textId="5EB0FBCA" w:rsidR="00E66558" w:rsidRDefault="4FCFCBD9" w:rsidP="00AD0A34">
            <w:pPr>
              <w:pStyle w:val="TableRow"/>
            </w:pPr>
            <w:r w:rsidRPr="54FBBCF6">
              <w:rPr>
                <w:sz w:val="22"/>
                <w:szCs w:val="22"/>
              </w:rPr>
              <w:t xml:space="preserve">The quality of teaching and learning is highly impactful in all classes, and all pupils will have access to high-quality first teaching on a daily basis. </w:t>
            </w:r>
          </w:p>
          <w:p w14:paraId="04DB2EB4" w14:textId="19373F8C" w:rsidR="00E66558" w:rsidRDefault="4FCFCBD9" w:rsidP="00AD0A34">
            <w:pPr>
              <w:pStyle w:val="TableRow"/>
            </w:pPr>
            <w:r w:rsidRPr="54FBBCF6">
              <w:rPr>
                <w:sz w:val="22"/>
                <w:szCs w:val="22"/>
              </w:rPr>
              <w:t xml:space="preserve"> </w:t>
            </w:r>
          </w:p>
          <w:p w14:paraId="2A7D551A" w14:textId="464312B7" w:rsidR="00E66558" w:rsidRDefault="4FCFCBD9" w:rsidP="00AD0A34">
            <w:pPr>
              <w:pStyle w:val="TableRow"/>
            </w:pPr>
            <w:r w:rsidRPr="54FBBCF6">
              <w:rPr>
                <w:sz w:val="22"/>
                <w:szCs w:val="22"/>
              </w:rPr>
              <w:t>Monitored through observations, drop-ins, book looks, child voice, peer assessment, TAFs in each subject area, and other MER strategies.</w:t>
            </w: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0F5B7" w14:textId="42EA6EE4" w:rsidR="006B7F24" w:rsidRPr="006B7F24" w:rsidRDefault="006B7F24" w:rsidP="00C31636">
            <w:pPr>
              <w:pStyle w:val="TableRowCentered"/>
              <w:ind w:left="0" w:right="0"/>
              <w:jc w:val="left"/>
              <w:rPr>
                <w:i/>
                <w:sz w:val="20"/>
              </w:rPr>
            </w:pPr>
            <w:r w:rsidRPr="006B7F24">
              <w:rPr>
                <w:i/>
                <w:sz w:val="22"/>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2700D7B1" w14:textId="77777777" w:rsidR="006B7F24" w:rsidRDefault="006B7F24" w:rsidP="00C31636">
            <w:pPr>
              <w:pStyle w:val="TableRowCentered"/>
              <w:ind w:left="0" w:right="0"/>
              <w:jc w:val="left"/>
              <w:rPr>
                <w:sz w:val="22"/>
              </w:rPr>
            </w:pPr>
          </w:p>
          <w:p w14:paraId="6704E58C" w14:textId="77777777" w:rsidR="00E66558" w:rsidRDefault="00061105" w:rsidP="00C31636">
            <w:pPr>
              <w:pStyle w:val="TableRowCentered"/>
              <w:ind w:left="0" w:right="0"/>
              <w:jc w:val="left"/>
              <w:rPr>
                <w:sz w:val="22"/>
              </w:rPr>
            </w:pPr>
            <w:hyperlink r:id="rId7" w:history="1">
              <w:r w:rsidR="006B7F24" w:rsidRPr="00457567">
                <w:rPr>
                  <w:rStyle w:val="Hyperlink"/>
                  <w:sz w:val="22"/>
                </w:rPr>
                <w:t>https://educationendowmentfoundation.org.uk/support-for-schools/school-planning-support/1-high-quality-teaching</w:t>
              </w:r>
            </w:hyperlink>
            <w:r w:rsidR="006B7F24">
              <w:rPr>
                <w:sz w:val="22"/>
              </w:rPr>
              <w:t xml:space="preserve"> </w:t>
            </w:r>
          </w:p>
          <w:p w14:paraId="5D620A11" w14:textId="77777777" w:rsidR="006B7F24" w:rsidRDefault="006B7F24" w:rsidP="00C31636">
            <w:pPr>
              <w:pStyle w:val="TableRowCentered"/>
              <w:ind w:left="0" w:right="0"/>
              <w:jc w:val="left"/>
              <w:rPr>
                <w:sz w:val="22"/>
              </w:rPr>
            </w:pPr>
          </w:p>
          <w:p w14:paraId="4370B1C7" w14:textId="77777777" w:rsidR="006B7F24" w:rsidRDefault="00061105" w:rsidP="00C31636">
            <w:pPr>
              <w:pStyle w:val="TableRowCentered"/>
              <w:ind w:left="0" w:right="0"/>
              <w:jc w:val="left"/>
              <w:rPr>
                <w:sz w:val="22"/>
              </w:rPr>
            </w:pPr>
            <w:hyperlink r:id="rId8" w:history="1">
              <w:r w:rsidR="006B7F24" w:rsidRPr="00457567">
                <w:rPr>
                  <w:rStyle w:val="Hyperlink"/>
                  <w:sz w:val="22"/>
                </w:rPr>
                <w:t>https://schoolleaders.thekeysupport.com/curriculum-and-learning/curriculum-guidance-all-phases/structuring-curriculum/high-quality-teaching-guidance-support-send/</w:t>
              </w:r>
            </w:hyperlink>
            <w:r w:rsidR="006B7F24">
              <w:rPr>
                <w:sz w:val="22"/>
              </w:rPr>
              <w:t xml:space="preserve"> </w:t>
            </w:r>
          </w:p>
          <w:p w14:paraId="219CE058" w14:textId="77777777" w:rsidR="006B7F24" w:rsidRDefault="006B7F24" w:rsidP="00C31636">
            <w:pPr>
              <w:pStyle w:val="TableRowCentered"/>
              <w:ind w:left="0" w:right="0"/>
              <w:jc w:val="left"/>
              <w:rPr>
                <w:sz w:val="22"/>
              </w:rPr>
            </w:pPr>
          </w:p>
          <w:p w14:paraId="2A7D551B" w14:textId="2502A527" w:rsidR="006B7F24" w:rsidRDefault="00061105" w:rsidP="00C31636">
            <w:pPr>
              <w:pStyle w:val="TableRowCentered"/>
              <w:ind w:left="0" w:right="0"/>
              <w:jc w:val="left"/>
              <w:rPr>
                <w:sz w:val="22"/>
              </w:rPr>
            </w:pPr>
            <w:hyperlink r:id="rId9" w:history="1">
              <w:r w:rsidR="006B7F24" w:rsidRPr="00457567">
                <w:rPr>
                  <w:rStyle w:val="Hyperlink"/>
                  <w:sz w:val="22"/>
                </w:rPr>
                <w:t>https://educationendowmentfoundation.org.uk/news/eef-blog-the-five-a-day-approach-how-the-eef-can-support</w:t>
              </w:r>
            </w:hyperlink>
            <w:r w:rsidR="006B7F24">
              <w:rPr>
                <w:sz w:val="22"/>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4D2C9097" w:rsidR="00E66558" w:rsidRDefault="004B4BFE" w:rsidP="00C31636">
            <w:pPr>
              <w:pStyle w:val="TableRowCentered"/>
              <w:ind w:left="0" w:right="0"/>
              <w:jc w:val="left"/>
              <w:rPr>
                <w:sz w:val="22"/>
              </w:rPr>
            </w:pPr>
            <w:r>
              <w:rPr>
                <w:sz w:val="22"/>
              </w:rPr>
              <w:t>1, 4</w:t>
            </w:r>
          </w:p>
        </w:tc>
      </w:tr>
      <w:tr w:rsidR="007039F8" w14:paraId="2F1354A5" w14:textId="77777777" w:rsidTr="54FBBCF6">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BCEA5" w14:textId="0C91F2FF" w:rsidR="007039F8" w:rsidRDefault="17A9C522" w:rsidP="54FBBCF6">
            <w:pPr>
              <w:pStyle w:val="NoSpacing"/>
              <w:rPr>
                <w:sz w:val="22"/>
                <w:szCs w:val="22"/>
              </w:rPr>
            </w:pPr>
            <w:r w:rsidRPr="54FBBCF6">
              <w:rPr>
                <w:sz w:val="22"/>
                <w:szCs w:val="22"/>
              </w:rPr>
              <w:t xml:space="preserve">Funded leader time to plan and deliver CPD to teachers and teaching </w:t>
            </w:r>
          </w:p>
          <w:p w14:paraId="37ACDDFF" w14:textId="44001434" w:rsidR="007039F8" w:rsidRDefault="17A9C522" w:rsidP="00744F36">
            <w:pPr>
              <w:pStyle w:val="NoSpacing"/>
            </w:pPr>
            <w:r w:rsidRPr="54FBBCF6">
              <w:rPr>
                <w:sz w:val="22"/>
                <w:szCs w:val="22"/>
              </w:rPr>
              <w:t xml:space="preserve"> </w:t>
            </w:r>
          </w:p>
          <w:p w14:paraId="4AD29F96" w14:textId="41646F38" w:rsidR="007039F8" w:rsidRDefault="17A9C522" w:rsidP="00744F36">
            <w:pPr>
              <w:pStyle w:val="NoSpacing"/>
            </w:pPr>
            <w:r w:rsidRPr="54FBBCF6">
              <w:rPr>
                <w:sz w:val="22"/>
                <w:szCs w:val="22"/>
              </w:rPr>
              <w:t xml:space="preserve">Assistants and to rigorously monitor the impact of this on children’s outcomes. </w:t>
            </w:r>
          </w:p>
          <w:p w14:paraId="13CF7875" w14:textId="798DA5CD" w:rsidR="007039F8" w:rsidRDefault="17A9C522" w:rsidP="00744F36">
            <w:pPr>
              <w:pStyle w:val="NoSpacing"/>
            </w:pPr>
            <w:r w:rsidRPr="54FBBCF6">
              <w:rPr>
                <w:sz w:val="22"/>
                <w:szCs w:val="22"/>
              </w:rPr>
              <w:t xml:space="preserve"> </w:t>
            </w:r>
          </w:p>
          <w:p w14:paraId="21342767" w14:textId="237E8EE1" w:rsidR="007039F8" w:rsidRDefault="17A9C522" w:rsidP="00744F36">
            <w:pPr>
              <w:pStyle w:val="NoSpacing"/>
            </w:pPr>
            <w:r w:rsidRPr="54FBBCF6">
              <w:rPr>
                <w:sz w:val="22"/>
                <w:szCs w:val="22"/>
              </w:rPr>
              <w:t xml:space="preserve">CPD is timetabled for Teachers and Teaching assistants to </w:t>
            </w:r>
            <w:r w:rsidRPr="54FBBCF6">
              <w:rPr>
                <w:sz w:val="22"/>
                <w:szCs w:val="22"/>
              </w:rPr>
              <w:lastRenderedPageBreak/>
              <w:t>meet specific needs of the school.</w:t>
            </w: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8EE803" w14:textId="77777777" w:rsidR="007039F8" w:rsidRDefault="00061105" w:rsidP="00C31636">
            <w:pPr>
              <w:pStyle w:val="TableRowCentered"/>
              <w:ind w:left="0" w:right="0"/>
              <w:jc w:val="left"/>
              <w:rPr>
                <w:sz w:val="22"/>
              </w:rPr>
            </w:pPr>
            <w:hyperlink r:id="rId10" w:history="1">
              <w:r w:rsidR="001A35EB" w:rsidRPr="00457567">
                <w:rPr>
                  <w:rStyle w:val="Hyperlink"/>
                  <w:sz w:val="22"/>
                </w:rPr>
                <w:t>https://educationendowmentfoundation.org.uk/education-evidence/guidance-reports/effective-professional-development</w:t>
              </w:r>
            </w:hyperlink>
            <w:r w:rsidR="001A35EB">
              <w:rPr>
                <w:sz w:val="22"/>
              </w:rPr>
              <w:t xml:space="preserve"> </w:t>
            </w:r>
          </w:p>
          <w:p w14:paraId="25685DE4" w14:textId="77777777" w:rsidR="001A35EB" w:rsidRDefault="001A35EB" w:rsidP="00C31636">
            <w:pPr>
              <w:pStyle w:val="TableRowCentered"/>
              <w:ind w:left="0" w:right="0"/>
              <w:jc w:val="left"/>
              <w:rPr>
                <w:sz w:val="22"/>
              </w:rPr>
            </w:pPr>
          </w:p>
          <w:p w14:paraId="18520F63" w14:textId="77777777" w:rsidR="001A35EB" w:rsidRDefault="00061105" w:rsidP="00C31636">
            <w:pPr>
              <w:pStyle w:val="TableRowCentered"/>
              <w:ind w:left="0" w:right="0"/>
              <w:jc w:val="left"/>
              <w:rPr>
                <w:sz w:val="22"/>
              </w:rPr>
            </w:pPr>
            <w:hyperlink r:id="rId11" w:history="1">
              <w:r w:rsidR="001A35EB" w:rsidRPr="00457567">
                <w:rPr>
                  <w:rStyle w:val="Hyperlink"/>
                  <w:sz w:val="22"/>
                </w:rPr>
                <w:t>https://educationendowmentfoundation.org.uk/news/eef-blog-a-balanced-approach-to-professional-development</w:t>
              </w:r>
            </w:hyperlink>
            <w:r w:rsidR="001A35EB">
              <w:rPr>
                <w:sz w:val="22"/>
              </w:rPr>
              <w:t xml:space="preserve"> </w:t>
            </w:r>
          </w:p>
          <w:p w14:paraId="78BBEDFD" w14:textId="77777777" w:rsidR="001A35EB" w:rsidRDefault="001A35EB" w:rsidP="00C31636">
            <w:pPr>
              <w:pStyle w:val="TableRowCentered"/>
              <w:ind w:left="0" w:right="0"/>
              <w:jc w:val="left"/>
              <w:rPr>
                <w:sz w:val="22"/>
              </w:rPr>
            </w:pPr>
          </w:p>
          <w:p w14:paraId="03D41A67" w14:textId="77777777" w:rsidR="001A35EB" w:rsidRDefault="00061105" w:rsidP="00C31636">
            <w:pPr>
              <w:pStyle w:val="TableRowCentered"/>
              <w:ind w:left="0" w:right="0"/>
              <w:jc w:val="left"/>
              <w:rPr>
                <w:sz w:val="22"/>
              </w:rPr>
            </w:pPr>
            <w:hyperlink r:id="rId12" w:history="1">
              <w:r w:rsidR="001A35EB" w:rsidRPr="00457567">
                <w:rPr>
                  <w:rStyle w:val="Hyperlink"/>
                  <w:sz w:val="22"/>
                </w:rPr>
                <w:t>https://educationendowmentfoundation.org.uk/news/new-eef-guide-to-effective-professional-development-in-the-early-years</w:t>
              </w:r>
            </w:hyperlink>
            <w:r w:rsidR="001A35EB">
              <w:rPr>
                <w:sz w:val="22"/>
              </w:rPr>
              <w:t xml:space="preserve"> </w:t>
            </w:r>
          </w:p>
          <w:p w14:paraId="2A43951F" w14:textId="77777777" w:rsidR="001A35EB" w:rsidRDefault="001A35EB" w:rsidP="00C31636">
            <w:pPr>
              <w:pStyle w:val="TableRowCentered"/>
              <w:ind w:left="0" w:right="0"/>
              <w:jc w:val="left"/>
              <w:rPr>
                <w:sz w:val="22"/>
              </w:rPr>
            </w:pPr>
          </w:p>
          <w:p w14:paraId="0FC7A025" w14:textId="77777777" w:rsidR="001A35EB" w:rsidRDefault="00061105" w:rsidP="00C31636">
            <w:pPr>
              <w:pStyle w:val="TableRowCentered"/>
              <w:ind w:left="0" w:right="0"/>
              <w:jc w:val="left"/>
              <w:rPr>
                <w:sz w:val="22"/>
              </w:rPr>
            </w:pPr>
            <w:hyperlink r:id="rId13" w:history="1">
              <w:r w:rsidR="001A35EB" w:rsidRPr="00457567">
                <w:rPr>
                  <w:rStyle w:val="Hyperlink"/>
                  <w:sz w:val="22"/>
                </w:rPr>
                <w:t>https://educationendowmentfoundation.org.uk/news/eef-blog-invest-in-success-the-power-of-effective-professional-development</w:t>
              </w:r>
            </w:hyperlink>
            <w:r w:rsidR="001A35EB">
              <w:rPr>
                <w:sz w:val="22"/>
              </w:rPr>
              <w:t xml:space="preserve"> </w:t>
            </w:r>
          </w:p>
          <w:p w14:paraId="4550A420" w14:textId="77777777" w:rsidR="00FB6CE0" w:rsidRDefault="00FB6CE0" w:rsidP="00C31636">
            <w:pPr>
              <w:pStyle w:val="TableRowCentered"/>
              <w:ind w:left="0" w:right="0"/>
              <w:jc w:val="left"/>
              <w:rPr>
                <w:sz w:val="22"/>
              </w:rPr>
            </w:pPr>
          </w:p>
          <w:p w14:paraId="68D84C8B" w14:textId="74C09B93" w:rsidR="00FB6CE0" w:rsidRDefault="00FB6CE0" w:rsidP="00C31636">
            <w:pPr>
              <w:pStyle w:val="TableRowCentered"/>
              <w:ind w:left="0" w:right="0"/>
              <w:jc w:val="left"/>
              <w:rPr>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D5E31" w14:textId="082C2AAE" w:rsidR="007039F8" w:rsidRDefault="004B4BFE" w:rsidP="00C31636">
            <w:pPr>
              <w:pStyle w:val="TableRowCentered"/>
              <w:ind w:left="0" w:right="0"/>
              <w:jc w:val="left"/>
              <w:rPr>
                <w:sz w:val="22"/>
              </w:rPr>
            </w:pPr>
            <w:r>
              <w:rPr>
                <w:sz w:val="22"/>
              </w:rPr>
              <w:lastRenderedPageBreak/>
              <w:t>1, 4, 5</w:t>
            </w:r>
          </w:p>
        </w:tc>
      </w:tr>
      <w:tr w:rsidR="00714AB8" w14:paraId="0D0F9F0F" w14:textId="77777777" w:rsidTr="54FBBCF6">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7EAEF" w14:textId="63A9A665" w:rsidR="00744F36" w:rsidRPr="00714AB8" w:rsidRDefault="1DBE34BF" w:rsidP="54FBBCF6">
            <w:pPr>
              <w:pStyle w:val="NoSpacing"/>
              <w:rPr>
                <w:sz w:val="22"/>
                <w:szCs w:val="22"/>
              </w:rPr>
            </w:pPr>
            <w:r w:rsidRPr="54FBBCF6">
              <w:rPr>
                <w:sz w:val="22"/>
                <w:szCs w:val="22"/>
              </w:rPr>
              <w:t xml:space="preserve">Develop speech, language, and communication skills in EYFS (&amp; throughout school). </w:t>
            </w:r>
          </w:p>
          <w:p w14:paraId="4FE83A8B" w14:textId="310E4B15" w:rsidR="00744F36" w:rsidRPr="00714AB8" w:rsidRDefault="1DBE34BF" w:rsidP="007039F8">
            <w:pPr>
              <w:pStyle w:val="NoSpacing"/>
            </w:pPr>
            <w:r w:rsidRPr="54FBBCF6">
              <w:rPr>
                <w:sz w:val="22"/>
                <w:szCs w:val="22"/>
              </w:rPr>
              <w:t xml:space="preserve"> </w:t>
            </w:r>
          </w:p>
          <w:p w14:paraId="3765C065" w14:textId="07F6DE55" w:rsidR="00744F36" w:rsidRPr="00714AB8" w:rsidRDefault="1DBE34BF" w:rsidP="007039F8">
            <w:pPr>
              <w:pStyle w:val="NoSpacing"/>
            </w:pPr>
            <w:r w:rsidRPr="54FBBCF6">
              <w:rPr>
                <w:sz w:val="22"/>
                <w:szCs w:val="22"/>
              </w:rPr>
              <w:t>Links to SEND/SALT where required.</w:t>
            </w: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EC614" w14:textId="77777777" w:rsidR="00714AB8" w:rsidRDefault="00061105" w:rsidP="00C31636">
            <w:pPr>
              <w:pStyle w:val="TableRowCentered"/>
              <w:ind w:left="0" w:right="0"/>
              <w:jc w:val="left"/>
              <w:rPr>
                <w:sz w:val="22"/>
              </w:rPr>
            </w:pPr>
            <w:hyperlink r:id="rId14" w:history="1">
              <w:r w:rsidR="00B12368" w:rsidRPr="00457567">
                <w:rPr>
                  <w:rStyle w:val="Hyperlink"/>
                  <w:sz w:val="22"/>
                </w:rPr>
                <w:t>https://educationendowmentfoundation.org.uk/education-evidence/teaching-learning-toolkit/oral-language-interventions</w:t>
              </w:r>
            </w:hyperlink>
            <w:r w:rsidR="00B12368">
              <w:rPr>
                <w:sz w:val="22"/>
              </w:rPr>
              <w:t xml:space="preserve"> </w:t>
            </w:r>
          </w:p>
          <w:p w14:paraId="61AC8416" w14:textId="77777777" w:rsidR="00E67D10" w:rsidRDefault="00E67D10" w:rsidP="00C31636">
            <w:pPr>
              <w:pStyle w:val="TableRowCentered"/>
              <w:ind w:left="0" w:right="0"/>
              <w:jc w:val="left"/>
              <w:rPr>
                <w:sz w:val="22"/>
              </w:rPr>
            </w:pPr>
          </w:p>
          <w:p w14:paraId="5F216A1C" w14:textId="77777777" w:rsidR="00E67D10" w:rsidRDefault="00061105" w:rsidP="00C31636">
            <w:pPr>
              <w:pStyle w:val="TableRowCentered"/>
              <w:ind w:left="0" w:right="0"/>
              <w:jc w:val="left"/>
              <w:rPr>
                <w:sz w:val="22"/>
              </w:rPr>
            </w:pPr>
            <w:hyperlink r:id="rId15" w:history="1">
              <w:r w:rsidR="00E67D10" w:rsidRPr="00457567">
                <w:rPr>
                  <w:rStyle w:val="Hyperlink"/>
                  <w:sz w:val="22"/>
                </w:rPr>
                <w:t>https://educationendowmentfoundation.org.uk/early-years/literacy/developing-vocabulary-in-early-years-education</w:t>
              </w:r>
            </w:hyperlink>
            <w:r w:rsidR="00E67D10">
              <w:rPr>
                <w:sz w:val="22"/>
              </w:rPr>
              <w:t xml:space="preserve"> </w:t>
            </w:r>
          </w:p>
          <w:p w14:paraId="300B2D61" w14:textId="77777777" w:rsidR="00E67D10" w:rsidRDefault="00E67D10" w:rsidP="00C31636">
            <w:pPr>
              <w:pStyle w:val="TableRowCentered"/>
              <w:ind w:left="0" w:right="0"/>
              <w:jc w:val="left"/>
              <w:rPr>
                <w:sz w:val="22"/>
              </w:rPr>
            </w:pPr>
          </w:p>
          <w:p w14:paraId="3619D0EF" w14:textId="77777777" w:rsidR="00E67D10" w:rsidRDefault="00061105" w:rsidP="00C31636">
            <w:pPr>
              <w:pStyle w:val="TableRowCentered"/>
              <w:ind w:left="0" w:right="0"/>
              <w:jc w:val="left"/>
              <w:rPr>
                <w:sz w:val="22"/>
              </w:rPr>
            </w:pPr>
            <w:hyperlink r:id="rId16" w:history="1">
              <w:r w:rsidR="00E67D10" w:rsidRPr="00457567">
                <w:rPr>
                  <w:rStyle w:val="Hyperlink"/>
                  <w:sz w:val="22"/>
                </w:rPr>
                <w:t>https://educationendowmentfoundation.org.uk/early-years/toolkit/communication-and-language-approaches</w:t>
              </w:r>
            </w:hyperlink>
            <w:r w:rsidR="00E67D10">
              <w:rPr>
                <w:sz w:val="22"/>
              </w:rPr>
              <w:t xml:space="preserve"> </w:t>
            </w:r>
          </w:p>
          <w:p w14:paraId="24B2DEC5" w14:textId="77777777" w:rsidR="00E67D10" w:rsidRDefault="00E67D10" w:rsidP="00C31636">
            <w:pPr>
              <w:pStyle w:val="TableRowCentered"/>
              <w:ind w:left="0" w:right="0"/>
              <w:jc w:val="left"/>
              <w:rPr>
                <w:sz w:val="22"/>
              </w:rPr>
            </w:pPr>
          </w:p>
          <w:p w14:paraId="74EEA01C" w14:textId="77777777" w:rsidR="00E67D10" w:rsidRDefault="00061105" w:rsidP="00C31636">
            <w:pPr>
              <w:pStyle w:val="TableRowCentered"/>
              <w:ind w:left="0" w:right="0"/>
              <w:jc w:val="left"/>
              <w:rPr>
                <w:sz w:val="22"/>
              </w:rPr>
            </w:pPr>
            <w:hyperlink r:id="rId17" w:history="1">
              <w:r w:rsidR="00E67D10" w:rsidRPr="00457567">
                <w:rPr>
                  <w:rStyle w:val="Hyperlink"/>
                  <w:sz w:val="22"/>
                </w:rPr>
                <w:t>https://educationendowmentfoundation.org.uk/early-years/evidence-store/communication-and-language</w:t>
              </w:r>
            </w:hyperlink>
            <w:r w:rsidR="00E67D10">
              <w:rPr>
                <w:sz w:val="22"/>
              </w:rPr>
              <w:t xml:space="preserve"> </w:t>
            </w:r>
          </w:p>
          <w:p w14:paraId="6535D125" w14:textId="77777777" w:rsidR="00994698" w:rsidRDefault="00994698" w:rsidP="00C31636">
            <w:pPr>
              <w:pStyle w:val="TableRowCentered"/>
              <w:ind w:left="0" w:right="0"/>
              <w:jc w:val="left"/>
              <w:rPr>
                <w:sz w:val="22"/>
              </w:rPr>
            </w:pPr>
          </w:p>
          <w:p w14:paraId="5592AE12" w14:textId="37638720" w:rsidR="00994698" w:rsidRDefault="00061105" w:rsidP="00C31636">
            <w:pPr>
              <w:pStyle w:val="TableRowCentered"/>
              <w:ind w:left="0" w:right="0"/>
              <w:jc w:val="left"/>
              <w:rPr>
                <w:sz w:val="22"/>
              </w:rPr>
            </w:pPr>
            <w:hyperlink r:id="rId18" w:history="1">
              <w:r w:rsidR="00994698" w:rsidRPr="00457567">
                <w:rPr>
                  <w:rStyle w:val="Hyperlink"/>
                  <w:sz w:val="22"/>
                </w:rPr>
                <w:t>https://educationendowmentfoundation.org.uk/news/eef-blog-the-shrec-approach-4-evidence-informed-strategies-to-promote-high-quality-interactions-with-young-children</w:t>
              </w:r>
            </w:hyperlink>
            <w:r w:rsidR="00994698">
              <w:rPr>
                <w:sz w:val="22"/>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CCF0A" w14:textId="4C3DFA4E" w:rsidR="00714AB8" w:rsidRDefault="004B4BFE" w:rsidP="00C31636">
            <w:pPr>
              <w:pStyle w:val="TableRowCentered"/>
              <w:ind w:left="0" w:right="0"/>
              <w:jc w:val="left"/>
              <w:rPr>
                <w:sz w:val="22"/>
              </w:rPr>
            </w:pPr>
            <w:r>
              <w:rPr>
                <w:sz w:val="22"/>
              </w:rPr>
              <w:t>5</w:t>
            </w:r>
          </w:p>
        </w:tc>
      </w:tr>
      <w:tr w:rsidR="00E66558" w14:paraId="2A7D5521" w14:textId="77777777" w:rsidTr="54FBBCF6">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D04D2F" w14:textId="27759263" w:rsidR="00E66558" w:rsidRPr="007039F8" w:rsidRDefault="527CDE83" w:rsidP="54FBBCF6">
            <w:pPr>
              <w:pStyle w:val="NoSpacing"/>
              <w:rPr>
                <w:sz w:val="22"/>
                <w:szCs w:val="22"/>
              </w:rPr>
            </w:pPr>
            <w:r w:rsidRPr="54FBBCF6">
              <w:rPr>
                <w:sz w:val="22"/>
                <w:szCs w:val="22"/>
              </w:rPr>
              <w:t xml:space="preserve">Focus on the quality of writing and grammar teaching and learning throughout school. </w:t>
            </w:r>
          </w:p>
          <w:p w14:paraId="171435A0" w14:textId="1AB9192C" w:rsidR="00E66558" w:rsidRPr="007039F8" w:rsidRDefault="527CDE83" w:rsidP="00744F36">
            <w:pPr>
              <w:pStyle w:val="NoSpacing"/>
            </w:pPr>
            <w:r w:rsidRPr="54FBBCF6">
              <w:rPr>
                <w:sz w:val="22"/>
                <w:szCs w:val="22"/>
              </w:rPr>
              <w:t xml:space="preserve"> </w:t>
            </w:r>
          </w:p>
          <w:p w14:paraId="30E7D0C8" w14:textId="6F81D24D" w:rsidR="00E66558" w:rsidRPr="007039F8" w:rsidRDefault="527CDE83" w:rsidP="00744F36">
            <w:pPr>
              <w:pStyle w:val="NoSpacing"/>
            </w:pPr>
            <w:r w:rsidRPr="54FBBCF6">
              <w:rPr>
                <w:sz w:val="22"/>
                <w:szCs w:val="22"/>
              </w:rPr>
              <w:t xml:space="preserve">TAF for writing </w:t>
            </w:r>
          </w:p>
          <w:p w14:paraId="27353F76" w14:textId="0010DD8A" w:rsidR="00E66558" w:rsidRPr="007039F8" w:rsidRDefault="527CDE83" w:rsidP="00744F36">
            <w:pPr>
              <w:pStyle w:val="NoSpacing"/>
            </w:pPr>
            <w:r w:rsidRPr="54FBBCF6">
              <w:rPr>
                <w:sz w:val="22"/>
                <w:szCs w:val="22"/>
              </w:rPr>
              <w:t xml:space="preserve"> </w:t>
            </w:r>
          </w:p>
          <w:p w14:paraId="6E9DFEA0" w14:textId="36B2DA75" w:rsidR="00E66558" w:rsidRPr="007039F8" w:rsidRDefault="527CDE83" w:rsidP="00744F36">
            <w:pPr>
              <w:pStyle w:val="NoSpacing"/>
            </w:pPr>
            <w:r w:rsidRPr="54FBBCF6">
              <w:rPr>
                <w:sz w:val="22"/>
                <w:szCs w:val="22"/>
              </w:rPr>
              <w:t xml:space="preserve">CPD on SPag &amp; Writing </w:t>
            </w:r>
          </w:p>
          <w:p w14:paraId="643DC9BB" w14:textId="24593B7E" w:rsidR="00E66558" w:rsidRPr="007039F8" w:rsidRDefault="527CDE83" w:rsidP="00744F36">
            <w:pPr>
              <w:pStyle w:val="NoSpacing"/>
            </w:pPr>
            <w:r w:rsidRPr="54FBBCF6">
              <w:rPr>
                <w:sz w:val="22"/>
                <w:szCs w:val="22"/>
              </w:rPr>
              <w:t xml:space="preserve"> </w:t>
            </w:r>
          </w:p>
          <w:p w14:paraId="478E8774" w14:textId="71C17AF4" w:rsidR="00E66558" w:rsidRPr="007039F8" w:rsidRDefault="527CDE83" w:rsidP="00744F36">
            <w:pPr>
              <w:pStyle w:val="NoSpacing"/>
            </w:pPr>
            <w:r w:rsidRPr="54FBBCF6">
              <w:rPr>
                <w:sz w:val="22"/>
                <w:szCs w:val="22"/>
              </w:rPr>
              <w:t xml:space="preserve">Resources funded to improve vocabulary development throughout school. </w:t>
            </w:r>
          </w:p>
          <w:p w14:paraId="68E5C6DE" w14:textId="43267021" w:rsidR="00E66558" w:rsidRPr="007039F8" w:rsidRDefault="527CDE83" w:rsidP="00744F36">
            <w:pPr>
              <w:pStyle w:val="NoSpacing"/>
            </w:pPr>
            <w:r w:rsidRPr="54FBBCF6">
              <w:rPr>
                <w:sz w:val="22"/>
                <w:szCs w:val="22"/>
              </w:rPr>
              <w:t xml:space="preserve"> </w:t>
            </w:r>
          </w:p>
          <w:p w14:paraId="2A7D551E" w14:textId="34803491" w:rsidR="00E66558" w:rsidRPr="007039F8" w:rsidRDefault="527CDE83" w:rsidP="00744F36">
            <w:pPr>
              <w:pStyle w:val="NoSpacing"/>
            </w:pPr>
            <w:r w:rsidRPr="54FBBCF6">
              <w:rPr>
                <w:sz w:val="22"/>
                <w:szCs w:val="22"/>
              </w:rPr>
              <w:t xml:space="preserve">Improve spelling and grammar knowledge throughout school—year group spellings implemented, monitoring of SPaG across school (including NFER/NTS assessments). Focused MER leads to </w:t>
            </w:r>
            <w:r w:rsidRPr="54FBBCF6">
              <w:rPr>
                <w:sz w:val="22"/>
                <w:szCs w:val="22"/>
              </w:rPr>
              <w:lastRenderedPageBreak/>
              <w:t>improved outcomes for all children—to focus on closing the gap for PP children.</w:t>
            </w: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48AB5" w14:textId="07821DED" w:rsidR="00E66558" w:rsidRDefault="00061105" w:rsidP="00C31636">
            <w:pPr>
              <w:pStyle w:val="TableRowCentered"/>
              <w:ind w:left="0" w:right="0"/>
              <w:jc w:val="left"/>
              <w:rPr>
                <w:sz w:val="22"/>
              </w:rPr>
            </w:pPr>
            <w:hyperlink r:id="rId19" w:history="1">
              <w:r w:rsidR="00B12368" w:rsidRPr="00457567">
                <w:rPr>
                  <w:rStyle w:val="Hyperlink"/>
                  <w:sz w:val="22"/>
                </w:rPr>
                <w:t>https://educationendowmentfoundation.org.uk/education-evidence/teaching-learning-toolkit/within-class-attainment-grouping</w:t>
              </w:r>
            </w:hyperlink>
            <w:r w:rsidR="00B12368">
              <w:rPr>
                <w:sz w:val="22"/>
              </w:rPr>
              <w:t xml:space="preserve"> </w:t>
            </w:r>
          </w:p>
          <w:p w14:paraId="25C2CD17" w14:textId="3FCBADE4" w:rsidR="00E67D10" w:rsidRDefault="00E67D10" w:rsidP="00C31636">
            <w:pPr>
              <w:pStyle w:val="TableRowCentered"/>
              <w:ind w:left="0" w:right="0"/>
              <w:jc w:val="left"/>
              <w:rPr>
                <w:sz w:val="22"/>
              </w:rPr>
            </w:pPr>
          </w:p>
          <w:p w14:paraId="03DAD2A8" w14:textId="25A2DC7C" w:rsidR="00E67D10" w:rsidRDefault="00061105" w:rsidP="00C31636">
            <w:pPr>
              <w:pStyle w:val="TableRowCentered"/>
              <w:ind w:left="0" w:right="0"/>
              <w:jc w:val="left"/>
              <w:rPr>
                <w:sz w:val="22"/>
              </w:rPr>
            </w:pPr>
            <w:hyperlink r:id="rId20" w:history="1">
              <w:r w:rsidR="00E67D10" w:rsidRPr="00457567">
                <w:rPr>
                  <w:rStyle w:val="Hyperlink"/>
                  <w:sz w:val="22"/>
                </w:rPr>
                <w:t>https://educationendowmentfoundation.org.uk/early-years/evidence-store/early-literacy</w:t>
              </w:r>
            </w:hyperlink>
            <w:r w:rsidR="00E67D10">
              <w:rPr>
                <w:sz w:val="22"/>
              </w:rPr>
              <w:t xml:space="preserve"> </w:t>
            </w:r>
          </w:p>
          <w:p w14:paraId="73F15650" w14:textId="37688B96" w:rsidR="00E67D10" w:rsidRDefault="00E67D10" w:rsidP="00C31636">
            <w:pPr>
              <w:pStyle w:val="TableRowCentered"/>
              <w:ind w:left="0" w:right="0"/>
              <w:jc w:val="left"/>
              <w:rPr>
                <w:sz w:val="22"/>
              </w:rPr>
            </w:pPr>
          </w:p>
          <w:p w14:paraId="40BFD042" w14:textId="71CBDDA8" w:rsidR="00E67D10" w:rsidRDefault="00061105" w:rsidP="00C31636">
            <w:pPr>
              <w:pStyle w:val="TableRowCentered"/>
              <w:ind w:left="0" w:right="0"/>
              <w:jc w:val="left"/>
              <w:rPr>
                <w:sz w:val="22"/>
              </w:rPr>
            </w:pPr>
            <w:hyperlink r:id="rId21" w:history="1">
              <w:r w:rsidR="00E67D10" w:rsidRPr="00457567">
                <w:rPr>
                  <w:rStyle w:val="Hyperlink"/>
                  <w:sz w:val="22"/>
                </w:rPr>
                <w:t>https://educationendowmentfoundation.org.uk/education-evidence/guidance-reports/literacy-ks-1</w:t>
              </w:r>
            </w:hyperlink>
            <w:r w:rsidR="00E67D10">
              <w:rPr>
                <w:sz w:val="22"/>
              </w:rPr>
              <w:t xml:space="preserve"> </w:t>
            </w:r>
          </w:p>
          <w:p w14:paraId="350359C3" w14:textId="44CD05FE" w:rsidR="00E67D10" w:rsidRDefault="00E67D10" w:rsidP="00C31636">
            <w:pPr>
              <w:pStyle w:val="TableRowCentered"/>
              <w:ind w:left="0" w:right="0"/>
              <w:jc w:val="left"/>
              <w:rPr>
                <w:sz w:val="22"/>
              </w:rPr>
            </w:pPr>
          </w:p>
          <w:p w14:paraId="086BCB87" w14:textId="008A921E" w:rsidR="00E67D10" w:rsidRDefault="00061105" w:rsidP="00C31636">
            <w:pPr>
              <w:pStyle w:val="TableRowCentered"/>
              <w:ind w:left="0" w:right="0"/>
              <w:jc w:val="left"/>
              <w:rPr>
                <w:sz w:val="22"/>
              </w:rPr>
            </w:pPr>
            <w:hyperlink r:id="rId22" w:history="1">
              <w:r w:rsidR="00E67D10" w:rsidRPr="00457567">
                <w:rPr>
                  <w:rStyle w:val="Hyperlink"/>
                  <w:sz w:val="22"/>
                </w:rPr>
                <w:t>https://educationendowmentfoundation.org.uk/news/eef-blog-key-stage-1-literacy</w:t>
              </w:r>
            </w:hyperlink>
            <w:r w:rsidR="00E67D10">
              <w:rPr>
                <w:sz w:val="22"/>
              </w:rPr>
              <w:t xml:space="preserve"> </w:t>
            </w:r>
          </w:p>
          <w:p w14:paraId="6F959A89" w14:textId="77777777" w:rsidR="00E67D10" w:rsidRDefault="00E67D10" w:rsidP="00C31636">
            <w:pPr>
              <w:pStyle w:val="TableRowCentered"/>
              <w:ind w:left="0" w:right="0"/>
              <w:jc w:val="left"/>
              <w:rPr>
                <w:sz w:val="22"/>
              </w:rPr>
            </w:pPr>
          </w:p>
          <w:p w14:paraId="6F2DB30C" w14:textId="77777777" w:rsidR="00E67D10" w:rsidRDefault="00061105" w:rsidP="00C31636">
            <w:pPr>
              <w:pStyle w:val="TableRowCentered"/>
              <w:ind w:left="0" w:right="0"/>
              <w:jc w:val="left"/>
              <w:rPr>
                <w:sz w:val="22"/>
              </w:rPr>
            </w:pPr>
            <w:hyperlink r:id="rId23" w:history="1">
              <w:r w:rsidR="00E67D10" w:rsidRPr="00457567">
                <w:rPr>
                  <w:rStyle w:val="Hyperlink"/>
                  <w:sz w:val="22"/>
                </w:rPr>
                <w:t>https://educationendowmentfoundation.org.uk/education-evidence/guidance-reports/literacy-ks2</w:t>
              </w:r>
            </w:hyperlink>
            <w:r w:rsidR="00E67D10">
              <w:rPr>
                <w:sz w:val="22"/>
              </w:rPr>
              <w:t xml:space="preserve"> </w:t>
            </w:r>
          </w:p>
          <w:p w14:paraId="69A1F781" w14:textId="77777777" w:rsidR="00E67D10" w:rsidRDefault="00E67D10" w:rsidP="00C31636">
            <w:pPr>
              <w:pStyle w:val="TableRowCentered"/>
              <w:ind w:left="0" w:right="0"/>
              <w:jc w:val="left"/>
              <w:rPr>
                <w:sz w:val="22"/>
              </w:rPr>
            </w:pPr>
          </w:p>
          <w:p w14:paraId="0DE17483" w14:textId="77777777" w:rsidR="00E67D10" w:rsidRDefault="00061105" w:rsidP="00C31636">
            <w:pPr>
              <w:pStyle w:val="TableRowCentered"/>
              <w:ind w:left="0" w:right="0"/>
              <w:jc w:val="left"/>
              <w:rPr>
                <w:sz w:val="22"/>
              </w:rPr>
            </w:pPr>
            <w:hyperlink r:id="rId24" w:history="1">
              <w:r w:rsidR="00E67D10" w:rsidRPr="00457567">
                <w:rPr>
                  <w:rStyle w:val="Hyperlink"/>
                  <w:sz w:val="22"/>
                </w:rPr>
                <w:t>https://educationendowmentfoundation.org.uk/projects-and-evaluation/projects/grammar-for-writing-effectiveness-trial</w:t>
              </w:r>
            </w:hyperlink>
            <w:r w:rsidR="00E67D10">
              <w:rPr>
                <w:sz w:val="22"/>
              </w:rPr>
              <w:t xml:space="preserve"> </w:t>
            </w:r>
          </w:p>
          <w:p w14:paraId="7489539D" w14:textId="77777777" w:rsidR="00E67D10" w:rsidRDefault="00E67D10" w:rsidP="00C31636">
            <w:pPr>
              <w:pStyle w:val="TableRowCentered"/>
              <w:ind w:left="0" w:right="0"/>
              <w:jc w:val="left"/>
              <w:rPr>
                <w:sz w:val="22"/>
              </w:rPr>
            </w:pPr>
          </w:p>
          <w:p w14:paraId="2A7D551F" w14:textId="676AF98B" w:rsidR="00E67D10" w:rsidRDefault="00061105" w:rsidP="00C31636">
            <w:pPr>
              <w:pStyle w:val="TableRowCentered"/>
              <w:ind w:left="0" w:right="0"/>
              <w:jc w:val="left"/>
              <w:rPr>
                <w:sz w:val="22"/>
              </w:rPr>
            </w:pPr>
            <w:hyperlink r:id="rId25" w:history="1">
              <w:r w:rsidR="00E67D10" w:rsidRPr="00457567">
                <w:rPr>
                  <w:rStyle w:val="Hyperlink"/>
                  <w:sz w:val="22"/>
                </w:rPr>
                <w:t>https://educationendowmentfoundation.org.uk/news/speed-and-fluency-as-important-as-accuracy-for-good-writing</w:t>
              </w:r>
            </w:hyperlink>
            <w:r w:rsidR="00E67D10">
              <w:rPr>
                <w:sz w:val="22"/>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336996A4" w:rsidR="00E66558" w:rsidRDefault="004B4BFE" w:rsidP="00C31636">
            <w:pPr>
              <w:pStyle w:val="TableRowCentered"/>
              <w:ind w:left="0" w:right="0"/>
              <w:jc w:val="left"/>
              <w:rPr>
                <w:sz w:val="22"/>
              </w:rPr>
            </w:pPr>
            <w:r>
              <w:rPr>
                <w:sz w:val="22"/>
              </w:rPr>
              <w:t>1</w:t>
            </w:r>
          </w:p>
        </w:tc>
      </w:tr>
      <w:tr w:rsidR="004E03D5" w14:paraId="46851816" w14:textId="77777777" w:rsidTr="54FBBCF6">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25174" w14:textId="30763715" w:rsidR="004E03D5" w:rsidRDefault="34C38EC6" w:rsidP="54FBBCF6">
            <w:pPr>
              <w:pStyle w:val="NoSpacing"/>
              <w:rPr>
                <w:sz w:val="22"/>
                <w:szCs w:val="22"/>
              </w:rPr>
            </w:pPr>
            <w:r w:rsidRPr="54FBBCF6">
              <w:rPr>
                <w:sz w:val="22"/>
                <w:szCs w:val="22"/>
              </w:rPr>
              <w:t xml:space="preserve">Funding for Motional package to support wellbeing and </w:t>
            </w:r>
            <w:r w:rsidR="5E4BA0AE" w:rsidRPr="54FBBCF6">
              <w:rPr>
                <w:sz w:val="22"/>
                <w:szCs w:val="22"/>
              </w:rPr>
              <w:t>M</w:t>
            </w:r>
            <w:r w:rsidRPr="54FBBCF6">
              <w:rPr>
                <w:sz w:val="22"/>
                <w:szCs w:val="22"/>
              </w:rPr>
              <w:t xml:space="preserve">ental </w:t>
            </w:r>
            <w:r w:rsidR="09A95C73" w:rsidRPr="54FBBCF6">
              <w:rPr>
                <w:sz w:val="22"/>
                <w:szCs w:val="22"/>
              </w:rPr>
              <w:t>H</w:t>
            </w:r>
            <w:r w:rsidRPr="54FBBCF6">
              <w:rPr>
                <w:sz w:val="22"/>
                <w:szCs w:val="22"/>
              </w:rPr>
              <w:t xml:space="preserve">ealth within school. </w:t>
            </w:r>
          </w:p>
        </w:tc>
        <w:tc>
          <w:tcPr>
            <w:tcW w:w="5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C2FEBE" w14:textId="77777777" w:rsidR="004E03D5" w:rsidRDefault="00061105" w:rsidP="00C31636">
            <w:pPr>
              <w:pStyle w:val="TableRowCentered"/>
              <w:ind w:left="0" w:right="0"/>
              <w:jc w:val="left"/>
              <w:rPr>
                <w:sz w:val="22"/>
              </w:rPr>
            </w:pPr>
            <w:hyperlink r:id="rId26" w:history="1">
              <w:r w:rsidR="00B12368" w:rsidRPr="00457567">
                <w:rPr>
                  <w:rStyle w:val="Hyperlink"/>
                  <w:sz w:val="22"/>
                </w:rPr>
                <w:t>https://educationendowmentfoundation.org.uk/education-evidence/teaching-learning-toolkit/social-and-emotional-learning</w:t>
              </w:r>
            </w:hyperlink>
            <w:r w:rsidR="00B12368">
              <w:rPr>
                <w:sz w:val="22"/>
              </w:rPr>
              <w:t xml:space="preserve"> </w:t>
            </w:r>
          </w:p>
          <w:p w14:paraId="339F33B5" w14:textId="77777777" w:rsidR="00B12368" w:rsidRDefault="00B12368" w:rsidP="00C31636">
            <w:pPr>
              <w:pStyle w:val="TableRowCentered"/>
              <w:ind w:left="0" w:right="0"/>
              <w:jc w:val="left"/>
              <w:rPr>
                <w:sz w:val="22"/>
              </w:rPr>
            </w:pPr>
          </w:p>
          <w:p w14:paraId="1DAE9908" w14:textId="77777777" w:rsidR="00B12368" w:rsidRDefault="00061105" w:rsidP="00C31636">
            <w:pPr>
              <w:pStyle w:val="TableRowCentered"/>
              <w:ind w:left="0" w:right="0"/>
              <w:jc w:val="left"/>
              <w:rPr>
                <w:sz w:val="22"/>
              </w:rPr>
            </w:pPr>
            <w:hyperlink r:id="rId27" w:history="1">
              <w:r w:rsidR="00B12368" w:rsidRPr="00457567">
                <w:rPr>
                  <w:rStyle w:val="Hyperlink"/>
                  <w:sz w:val="22"/>
                </w:rPr>
                <w:t>https://educationendowmentfoundation.org.uk/early-years/mental-health-wellbeing</w:t>
              </w:r>
            </w:hyperlink>
            <w:r w:rsidR="00B12368">
              <w:rPr>
                <w:sz w:val="22"/>
              </w:rPr>
              <w:t xml:space="preserve"> </w:t>
            </w:r>
          </w:p>
          <w:p w14:paraId="09956406" w14:textId="77777777" w:rsidR="00E67D10" w:rsidRDefault="00E67D10" w:rsidP="00C31636">
            <w:pPr>
              <w:pStyle w:val="TableRowCentered"/>
              <w:ind w:left="0" w:right="0"/>
              <w:jc w:val="left"/>
              <w:rPr>
                <w:sz w:val="22"/>
              </w:rPr>
            </w:pPr>
          </w:p>
          <w:p w14:paraId="0BDB989A" w14:textId="77777777" w:rsidR="00E67D10" w:rsidRDefault="00061105" w:rsidP="00C31636">
            <w:pPr>
              <w:pStyle w:val="TableRowCentered"/>
              <w:ind w:left="0" w:right="0"/>
              <w:jc w:val="left"/>
              <w:rPr>
                <w:sz w:val="22"/>
              </w:rPr>
            </w:pPr>
            <w:hyperlink r:id="rId28" w:history="1">
              <w:r w:rsidR="00E67D10" w:rsidRPr="00457567">
                <w:rPr>
                  <w:rStyle w:val="Hyperlink"/>
                  <w:sz w:val="22"/>
                </w:rPr>
                <w:t>https://educationendowmentfoundation.org.uk/support-for-schools/school-planning-support/3-wider-strategies</w:t>
              </w:r>
            </w:hyperlink>
            <w:r w:rsidR="00E67D10">
              <w:rPr>
                <w:sz w:val="22"/>
              </w:rPr>
              <w:t xml:space="preserve"> </w:t>
            </w:r>
          </w:p>
          <w:p w14:paraId="7CB39014" w14:textId="77777777" w:rsidR="00B36BC4" w:rsidRDefault="00B36BC4" w:rsidP="00C31636">
            <w:pPr>
              <w:pStyle w:val="TableRowCentered"/>
              <w:ind w:left="0" w:right="0"/>
              <w:jc w:val="left"/>
              <w:rPr>
                <w:sz w:val="22"/>
              </w:rPr>
            </w:pPr>
          </w:p>
          <w:p w14:paraId="7C90ECF8" w14:textId="77777777" w:rsidR="00B36BC4" w:rsidRDefault="00061105" w:rsidP="00C31636">
            <w:pPr>
              <w:pStyle w:val="TableRowCentered"/>
              <w:ind w:left="0" w:right="0"/>
              <w:jc w:val="left"/>
              <w:rPr>
                <w:sz w:val="22"/>
              </w:rPr>
            </w:pPr>
            <w:hyperlink r:id="rId29" w:history="1">
              <w:r w:rsidR="00B36BC4" w:rsidRPr="00457567">
                <w:rPr>
                  <w:rStyle w:val="Hyperlink"/>
                  <w:sz w:val="22"/>
                </w:rPr>
                <w:t>https://educationendowmentfoundation.org.uk/news/teaching-children-self-awarness-of-their-feelings-and-actions-supports-early-development</w:t>
              </w:r>
            </w:hyperlink>
            <w:r w:rsidR="00B36BC4">
              <w:rPr>
                <w:sz w:val="22"/>
              </w:rPr>
              <w:t xml:space="preserve"> </w:t>
            </w:r>
          </w:p>
          <w:p w14:paraId="0DAACDF2" w14:textId="77777777" w:rsidR="006B44F2" w:rsidRDefault="006B44F2" w:rsidP="00C31636">
            <w:pPr>
              <w:pStyle w:val="TableRowCentered"/>
              <w:ind w:left="0" w:right="0"/>
              <w:jc w:val="left"/>
              <w:rPr>
                <w:sz w:val="22"/>
              </w:rPr>
            </w:pPr>
          </w:p>
          <w:p w14:paraId="4EEB32DD" w14:textId="77777777" w:rsidR="006B44F2" w:rsidRDefault="00061105" w:rsidP="00C31636">
            <w:pPr>
              <w:pStyle w:val="TableRowCentered"/>
              <w:ind w:left="0" w:right="0"/>
              <w:jc w:val="left"/>
              <w:rPr>
                <w:sz w:val="22"/>
              </w:rPr>
            </w:pPr>
            <w:hyperlink r:id="rId30" w:history="1">
              <w:r w:rsidR="006B44F2" w:rsidRPr="00AC47DD">
                <w:rPr>
                  <w:rStyle w:val="Hyperlink"/>
                  <w:sz w:val="22"/>
                </w:rPr>
                <w:t>https://educationendowmentfoundation.org.uk/education-evidence/teaching-learning-toolkit/behaviour-interventions</w:t>
              </w:r>
            </w:hyperlink>
            <w:r w:rsidR="006B44F2">
              <w:rPr>
                <w:sz w:val="22"/>
              </w:rPr>
              <w:t xml:space="preserve"> </w:t>
            </w:r>
          </w:p>
          <w:p w14:paraId="71229A30" w14:textId="77777777" w:rsidR="006B44F2" w:rsidRDefault="006B44F2" w:rsidP="00C31636">
            <w:pPr>
              <w:pStyle w:val="TableRowCentered"/>
              <w:ind w:left="0" w:right="0"/>
              <w:jc w:val="left"/>
              <w:rPr>
                <w:sz w:val="22"/>
              </w:rPr>
            </w:pPr>
          </w:p>
          <w:p w14:paraId="04FBA576" w14:textId="518D246B" w:rsidR="006B44F2" w:rsidRDefault="00061105" w:rsidP="00C31636">
            <w:pPr>
              <w:pStyle w:val="TableRowCentered"/>
              <w:ind w:left="0" w:right="0"/>
              <w:jc w:val="left"/>
              <w:rPr>
                <w:sz w:val="22"/>
              </w:rPr>
            </w:pPr>
            <w:hyperlink r:id="rId31" w:history="1">
              <w:r w:rsidR="006B44F2" w:rsidRPr="00AC47DD">
                <w:rPr>
                  <w:rStyle w:val="Hyperlink"/>
                  <w:sz w:val="22"/>
                </w:rPr>
                <w:t>https://educationendowmentfoundation.org.uk/education-evidence/guidance-reports/primary-sel</w:t>
              </w:r>
            </w:hyperlink>
            <w:r w:rsidR="006B44F2">
              <w:rPr>
                <w:sz w:val="22"/>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75CEF" w14:textId="2442D451" w:rsidR="004E03D5" w:rsidRDefault="004B4BFE" w:rsidP="00C31636">
            <w:pPr>
              <w:pStyle w:val="TableRowCentered"/>
              <w:ind w:left="0" w:right="0"/>
              <w:jc w:val="left"/>
              <w:rPr>
                <w:sz w:val="22"/>
              </w:rPr>
            </w:pPr>
            <w:r>
              <w:rPr>
                <w:sz w:val="22"/>
              </w:rPr>
              <w:t>3, 4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70630E9" w:rsidR="00E66558" w:rsidRDefault="009D71E8" w:rsidP="1BA19C6F">
      <w:r>
        <w:t xml:space="preserve">Budgeted cost: </w:t>
      </w:r>
      <w:r w:rsidRPr="00757CA7">
        <w:t>£</w:t>
      </w:r>
      <w:r w:rsidR="00757CA7" w:rsidRPr="00757CA7">
        <w:t>9,892.40</w:t>
      </w:r>
    </w:p>
    <w:tbl>
      <w:tblPr>
        <w:tblW w:w="5152" w:type="pct"/>
        <w:tblInd w:w="-289" w:type="dxa"/>
        <w:tblCellMar>
          <w:left w:w="10" w:type="dxa"/>
          <w:right w:w="10" w:type="dxa"/>
        </w:tblCellMar>
        <w:tblLook w:val="04A0" w:firstRow="1" w:lastRow="0" w:firstColumn="1" w:lastColumn="0" w:noHBand="0" w:noVBand="1"/>
      </w:tblPr>
      <w:tblGrid>
        <w:gridCol w:w="2546"/>
        <w:gridCol w:w="5781"/>
        <w:gridCol w:w="1447"/>
      </w:tblGrid>
      <w:tr w:rsidR="00E66558" w14:paraId="2A7D5528" w14:textId="77777777" w:rsidTr="54FBBCF6">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54FBBCF6">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50B311BC" w:rsidR="00E66558" w:rsidRPr="00520FE7" w:rsidRDefault="00520FE7" w:rsidP="00C31636">
            <w:pPr>
              <w:pStyle w:val="TableRow"/>
              <w:ind w:left="0" w:right="0"/>
              <w:rPr>
                <w:sz w:val="22"/>
              </w:rPr>
            </w:pPr>
            <w:r w:rsidRPr="00520FE7">
              <w:rPr>
                <w:sz w:val="22"/>
              </w:rPr>
              <w:t>NELI interventions funded time for TAs to deliver</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ED6E2D" w14:textId="63FF4666" w:rsidR="00494F59" w:rsidRDefault="00494F59" w:rsidP="00494F59">
            <w:pPr>
              <w:pStyle w:val="TableRowCentered"/>
              <w:jc w:val="left"/>
              <w:rPr>
                <w:sz w:val="22"/>
              </w:rPr>
            </w:pPr>
            <w:r w:rsidRPr="00494F59">
              <w:rPr>
                <w:sz w:val="22"/>
              </w:rPr>
              <w:t>Early years interventi</w:t>
            </w:r>
            <w:r>
              <w:rPr>
                <w:sz w:val="22"/>
              </w:rPr>
              <w:t xml:space="preserve">ons – EEF state moderate impact </w:t>
            </w:r>
            <w:r w:rsidRPr="00494F59">
              <w:rPr>
                <w:sz w:val="22"/>
              </w:rPr>
              <w:t>with gains of 5 months based on extensive evidence.</w:t>
            </w:r>
          </w:p>
          <w:p w14:paraId="1806184E" w14:textId="3C409F8D" w:rsidR="00494F59" w:rsidRDefault="00061105" w:rsidP="00494F59">
            <w:pPr>
              <w:pStyle w:val="TableRowCentered"/>
              <w:ind w:left="0" w:right="0"/>
              <w:jc w:val="left"/>
              <w:rPr>
                <w:sz w:val="22"/>
              </w:rPr>
            </w:pPr>
            <w:hyperlink r:id="rId32" w:history="1">
              <w:r w:rsidR="00494F59" w:rsidRPr="00457567">
                <w:rPr>
                  <w:rStyle w:val="Hyperlink"/>
                  <w:sz w:val="22"/>
                </w:rPr>
                <w:t>https://educationendowmentfoundation.org.uk/projects-and-evaluation/projects/nuffield-early-language-intervention-neli</w:t>
              </w:r>
            </w:hyperlink>
            <w:r w:rsidR="00494F59">
              <w:rPr>
                <w:sz w:val="22"/>
              </w:rPr>
              <w:t xml:space="preserve"> </w:t>
            </w:r>
          </w:p>
          <w:p w14:paraId="51C09EEF" w14:textId="77777777" w:rsidR="00494F59" w:rsidRDefault="00494F59" w:rsidP="00494F59">
            <w:pPr>
              <w:pStyle w:val="TableRowCentered"/>
              <w:ind w:left="0" w:right="0"/>
              <w:jc w:val="left"/>
              <w:rPr>
                <w:sz w:val="22"/>
              </w:rPr>
            </w:pPr>
          </w:p>
          <w:p w14:paraId="3778A038" w14:textId="32E5DAC2" w:rsidR="00494F59" w:rsidRPr="00494F59" w:rsidRDefault="00494F59" w:rsidP="00494F59">
            <w:pPr>
              <w:pStyle w:val="TableRowCentered"/>
              <w:jc w:val="left"/>
              <w:rPr>
                <w:sz w:val="22"/>
              </w:rPr>
            </w:pPr>
            <w:r w:rsidRPr="00494F59">
              <w:rPr>
                <w:sz w:val="22"/>
              </w:rPr>
              <w:t>Overall, studies of commun</w:t>
            </w:r>
            <w:r>
              <w:rPr>
                <w:sz w:val="22"/>
              </w:rPr>
              <w:t xml:space="preserve">ication and language approaches </w:t>
            </w:r>
            <w:r w:rsidRPr="00494F59">
              <w:rPr>
                <w:sz w:val="22"/>
              </w:rPr>
              <w:t>consistently show positive benefits for young children’s</w:t>
            </w:r>
            <w:r>
              <w:rPr>
                <w:sz w:val="22"/>
              </w:rPr>
              <w:t xml:space="preserve"> </w:t>
            </w:r>
            <w:r w:rsidRPr="00494F59">
              <w:rPr>
                <w:sz w:val="22"/>
              </w:rPr>
              <w:t>learning, including their spoken language skills, their</w:t>
            </w:r>
            <w:r>
              <w:rPr>
                <w:sz w:val="22"/>
              </w:rPr>
              <w:t xml:space="preserve"> </w:t>
            </w:r>
            <w:r w:rsidRPr="00494F59">
              <w:rPr>
                <w:sz w:val="22"/>
              </w:rPr>
              <w:t>expressive vocabulary and their early reading skills. On</w:t>
            </w:r>
            <w:r>
              <w:rPr>
                <w:sz w:val="22"/>
              </w:rPr>
              <w:t xml:space="preserve"> </w:t>
            </w:r>
            <w:r w:rsidRPr="00494F59">
              <w:rPr>
                <w:sz w:val="22"/>
              </w:rPr>
              <w:t>average, children who are involved in communication and</w:t>
            </w:r>
            <w:r>
              <w:rPr>
                <w:sz w:val="22"/>
              </w:rPr>
              <w:t xml:space="preserve"> </w:t>
            </w:r>
            <w:r w:rsidRPr="00494F59">
              <w:rPr>
                <w:sz w:val="22"/>
              </w:rPr>
              <w:t>language approaches make approximately six months’</w:t>
            </w:r>
            <w:r>
              <w:rPr>
                <w:sz w:val="22"/>
              </w:rPr>
              <w:t xml:space="preserve"> </w:t>
            </w:r>
            <w:r w:rsidRPr="00494F59">
              <w:rPr>
                <w:sz w:val="22"/>
              </w:rPr>
              <w:t>additional progress over the course of a year. All children</w:t>
            </w:r>
            <w:r>
              <w:rPr>
                <w:sz w:val="22"/>
              </w:rPr>
              <w:t xml:space="preserve"> </w:t>
            </w:r>
            <w:r w:rsidRPr="00494F59">
              <w:rPr>
                <w:sz w:val="22"/>
              </w:rPr>
              <w:t>appear to benefit from such approaches, but some studies show</w:t>
            </w:r>
            <w:r>
              <w:rPr>
                <w:sz w:val="22"/>
              </w:rPr>
              <w:t xml:space="preserve"> </w:t>
            </w:r>
            <w:r w:rsidRPr="00494F59">
              <w:rPr>
                <w:sz w:val="22"/>
              </w:rPr>
              <w:t xml:space="preserve">slightly </w:t>
            </w:r>
            <w:r w:rsidRPr="00494F59">
              <w:rPr>
                <w:sz w:val="22"/>
              </w:rPr>
              <w:lastRenderedPageBreak/>
              <w:t>larger effects for children from disadvantaged</w:t>
            </w:r>
            <w:r>
              <w:rPr>
                <w:sz w:val="22"/>
              </w:rPr>
              <w:t xml:space="preserve"> </w:t>
            </w:r>
            <w:r w:rsidRPr="00494F59">
              <w:rPr>
                <w:sz w:val="22"/>
              </w:rPr>
              <w:t>backgrounds.</w:t>
            </w:r>
          </w:p>
          <w:p w14:paraId="5FBA1DB1" w14:textId="430B730C" w:rsidR="00494F59" w:rsidRPr="00494F59" w:rsidRDefault="00061105" w:rsidP="00494F59">
            <w:pPr>
              <w:pStyle w:val="TableRowCentered"/>
              <w:jc w:val="left"/>
              <w:rPr>
                <w:sz w:val="22"/>
              </w:rPr>
            </w:pPr>
            <w:hyperlink r:id="rId33" w:history="1">
              <w:r w:rsidR="00494F59" w:rsidRPr="00457567">
                <w:rPr>
                  <w:rStyle w:val="Hyperlink"/>
                  <w:sz w:val="22"/>
                </w:rPr>
                <w:t>https://educationendowmentfoundation.org.uk/early-years/evidence-store/communication-and-language</w:t>
              </w:r>
            </w:hyperlink>
            <w:r w:rsidR="00494F59">
              <w:rPr>
                <w:sz w:val="22"/>
              </w:rPr>
              <w:t xml:space="preserve"> </w:t>
            </w:r>
          </w:p>
          <w:p w14:paraId="2A7D552A" w14:textId="3EB19098" w:rsidR="00494F59" w:rsidRDefault="00061105" w:rsidP="00494F59">
            <w:pPr>
              <w:pStyle w:val="TableRowCentered"/>
              <w:ind w:left="0" w:right="0"/>
              <w:jc w:val="left"/>
              <w:rPr>
                <w:sz w:val="22"/>
              </w:rPr>
            </w:pPr>
            <w:hyperlink r:id="rId34" w:history="1">
              <w:r w:rsidR="00494F59" w:rsidRPr="00457567">
                <w:rPr>
                  <w:rStyle w:val="Hyperlink"/>
                  <w:sz w:val="22"/>
                </w:rPr>
                <w:t>https://educationendowmentfoundation.org.uk/education-evidence/teaching-learning-toolkit/oral-language-interventions</w:t>
              </w:r>
            </w:hyperlink>
            <w:r w:rsidR="00494F59">
              <w:rPr>
                <w:sz w:val="22"/>
              </w:rPr>
              <w:t xml:space="preserve">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30D7ED2D" w:rsidR="00E66558" w:rsidRDefault="004B4BFE" w:rsidP="00C31636">
            <w:pPr>
              <w:pStyle w:val="TableRowCentered"/>
              <w:ind w:left="0" w:right="0"/>
              <w:jc w:val="left"/>
              <w:rPr>
                <w:sz w:val="22"/>
              </w:rPr>
            </w:pPr>
            <w:r>
              <w:rPr>
                <w:sz w:val="22"/>
              </w:rPr>
              <w:lastRenderedPageBreak/>
              <w:t>5</w:t>
            </w:r>
          </w:p>
        </w:tc>
      </w:tr>
      <w:tr w:rsidR="00E66558" w14:paraId="2A7D5530" w14:textId="77777777" w:rsidTr="54FBBCF6">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7C98E8" w14:textId="4C5F2B7A" w:rsidR="00E66558" w:rsidRPr="0034717D" w:rsidRDefault="2FD2578D" w:rsidP="54FBBCF6">
            <w:pPr>
              <w:pStyle w:val="TableRow"/>
              <w:rPr>
                <w:sz w:val="22"/>
                <w:szCs w:val="22"/>
              </w:rPr>
            </w:pPr>
            <w:r w:rsidRPr="54FBBCF6">
              <w:rPr>
                <w:sz w:val="22"/>
                <w:szCs w:val="22"/>
              </w:rPr>
              <w:t xml:space="preserve">Structured interventions based on evidence. Fluency Project Phonics interventions in R, Y1, and Y2 (Hotspotting), Lego Therapy, Play for Purpose, and Sensory Circuits. </w:t>
            </w:r>
          </w:p>
          <w:p w14:paraId="3A91E1EE" w14:textId="6E45C20C" w:rsidR="00E66558" w:rsidRPr="0034717D" w:rsidRDefault="2FD2578D" w:rsidP="0034717D">
            <w:pPr>
              <w:pStyle w:val="TableRow"/>
            </w:pPr>
            <w:r w:rsidRPr="54FBBCF6">
              <w:rPr>
                <w:sz w:val="22"/>
                <w:szCs w:val="22"/>
              </w:rPr>
              <w:t xml:space="preserve"> </w:t>
            </w:r>
          </w:p>
          <w:p w14:paraId="2A7D552D" w14:textId="0B346A32" w:rsidR="00E66558" w:rsidRPr="0034717D" w:rsidRDefault="2FD2578D" w:rsidP="0034717D">
            <w:pPr>
              <w:pStyle w:val="TableRow"/>
            </w:pPr>
            <w:r w:rsidRPr="54FBBCF6">
              <w:rPr>
                <w:sz w:val="22"/>
                <w:szCs w:val="22"/>
              </w:rPr>
              <w:t>20% of TA time to support the implementation of these.</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4B9072" w14:textId="77777777" w:rsidR="00E66558" w:rsidRDefault="00061105" w:rsidP="00C31636">
            <w:pPr>
              <w:pStyle w:val="TableRowCentered"/>
              <w:ind w:left="0" w:right="0"/>
              <w:jc w:val="left"/>
              <w:rPr>
                <w:sz w:val="22"/>
              </w:rPr>
            </w:pPr>
            <w:hyperlink r:id="rId35" w:history="1">
              <w:r w:rsidR="00494F59" w:rsidRPr="00457567">
                <w:rPr>
                  <w:rStyle w:val="Hyperlink"/>
                  <w:sz w:val="22"/>
                </w:rPr>
                <w:t>https://educationendowmentfoundation.org.uk/education-evidence/teaching-learning-toolkit/small-group-tuition</w:t>
              </w:r>
            </w:hyperlink>
            <w:r w:rsidR="00494F59">
              <w:rPr>
                <w:sz w:val="22"/>
              </w:rPr>
              <w:t xml:space="preserve"> </w:t>
            </w:r>
          </w:p>
          <w:p w14:paraId="78C51C20" w14:textId="77777777" w:rsidR="00AE194C" w:rsidRDefault="00AE194C" w:rsidP="00C31636">
            <w:pPr>
              <w:pStyle w:val="TableRowCentered"/>
              <w:ind w:left="0" w:right="0"/>
              <w:jc w:val="left"/>
              <w:rPr>
                <w:sz w:val="22"/>
              </w:rPr>
            </w:pPr>
          </w:p>
          <w:p w14:paraId="019BC437" w14:textId="77777777" w:rsidR="00AE194C" w:rsidRDefault="00061105" w:rsidP="00C31636">
            <w:pPr>
              <w:pStyle w:val="TableRowCentered"/>
              <w:ind w:left="0" w:right="0"/>
              <w:jc w:val="left"/>
              <w:rPr>
                <w:sz w:val="22"/>
              </w:rPr>
            </w:pPr>
            <w:hyperlink r:id="rId36" w:history="1">
              <w:r w:rsidR="00AE194C" w:rsidRPr="00457567">
                <w:rPr>
                  <w:rStyle w:val="Hyperlink"/>
                  <w:sz w:val="22"/>
                </w:rPr>
                <w:t>https://educationendowmentfoundation.org.uk/support-for-schools/school-planning-support/2-targeted-academic-support</w:t>
              </w:r>
            </w:hyperlink>
            <w:r w:rsidR="00AE194C">
              <w:rPr>
                <w:sz w:val="22"/>
              </w:rPr>
              <w:t xml:space="preserve"> </w:t>
            </w:r>
          </w:p>
          <w:p w14:paraId="30EE0F30" w14:textId="77777777" w:rsidR="00AE194C" w:rsidRDefault="00AE194C" w:rsidP="00C31636">
            <w:pPr>
              <w:pStyle w:val="TableRowCentered"/>
              <w:ind w:left="0" w:right="0"/>
              <w:jc w:val="left"/>
              <w:rPr>
                <w:sz w:val="22"/>
              </w:rPr>
            </w:pPr>
          </w:p>
          <w:p w14:paraId="6E43CDD0" w14:textId="07830B53" w:rsidR="00AE194C" w:rsidRDefault="00061105" w:rsidP="00C31636">
            <w:pPr>
              <w:pStyle w:val="TableRowCentered"/>
              <w:ind w:left="0" w:right="0"/>
              <w:jc w:val="left"/>
              <w:rPr>
                <w:sz w:val="22"/>
              </w:rPr>
            </w:pPr>
            <w:hyperlink r:id="rId37" w:history="1">
              <w:r w:rsidR="00AE194C" w:rsidRPr="00457567">
                <w:rPr>
                  <w:rStyle w:val="Hyperlink"/>
                  <w:sz w:val="22"/>
                </w:rPr>
                <w:t>https://educationendowmentfoundation.org.uk/education-evidence/teaching-learning-toolkit/teaching-assistant-interventions</w:t>
              </w:r>
            </w:hyperlink>
            <w:r w:rsidR="00AE194C">
              <w:rPr>
                <w:sz w:val="22"/>
              </w:rPr>
              <w:t xml:space="preserve"> </w:t>
            </w:r>
          </w:p>
          <w:p w14:paraId="49561D62" w14:textId="77777777" w:rsidR="00FB6CE0" w:rsidRDefault="00FB6CE0" w:rsidP="00C31636">
            <w:pPr>
              <w:pStyle w:val="TableRowCentered"/>
              <w:ind w:left="0" w:right="0"/>
              <w:jc w:val="left"/>
              <w:rPr>
                <w:sz w:val="22"/>
              </w:rPr>
            </w:pPr>
          </w:p>
          <w:p w14:paraId="2A7D552E" w14:textId="146116E1" w:rsidR="003732A4" w:rsidRDefault="00061105" w:rsidP="00C31636">
            <w:pPr>
              <w:pStyle w:val="TableRowCentered"/>
              <w:ind w:left="0" w:right="0"/>
              <w:jc w:val="left"/>
              <w:rPr>
                <w:sz w:val="22"/>
              </w:rPr>
            </w:pPr>
            <w:hyperlink r:id="rId38" w:history="1">
              <w:r w:rsidR="003732A4" w:rsidRPr="00AC47DD">
                <w:rPr>
                  <w:rStyle w:val="Hyperlink"/>
                  <w:sz w:val="22"/>
                </w:rPr>
                <w:t>https://educationendowmentfoundation.org.uk/education-evidence/teaching-learning-toolkit/one-to-one-tuition</w:t>
              </w:r>
            </w:hyperlink>
            <w:r w:rsidR="003732A4">
              <w:rPr>
                <w:sz w:val="22"/>
              </w:rPr>
              <w:t xml:space="preserve">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1F8FE1AD" w:rsidR="00E66558" w:rsidRDefault="004B4BFE" w:rsidP="00C31636">
            <w:pPr>
              <w:pStyle w:val="TableRowCentered"/>
              <w:ind w:left="0" w:right="0"/>
              <w:jc w:val="left"/>
              <w:rPr>
                <w:sz w:val="22"/>
              </w:rPr>
            </w:pPr>
            <w:r>
              <w:rPr>
                <w:sz w:val="22"/>
              </w:rPr>
              <w:t>1, 3, 4, 5</w:t>
            </w:r>
          </w:p>
        </w:tc>
      </w:tr>
      <w:tr w:rsidR="0034717D" w14:paraId="2070AF18" w14:textId="77777777" w:rsidTr="54FBBCF6">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07DB85" w14:textId="4F76D857" w:rsidR="0034717D" w:rsidRPr="00520FE7" w:rsidRDefault="26C1F61C" w:rsidP="54FBBCF6">
            <w:pPr>
              <w:pStyle w:val="TableRow"/>
              <w:rPr>
                <w:sz w:val="22"/>
                <w:szCs w:val="22"/>
              </w:rPr>
            </w:pPr>
            <w:r w:rsidRPr="54FBBCF6">
              <w:rPr>
                <w:sz w:val="22"/>
                <w:szCs w:val="22"/>
              </w:rPr>
              <w:t xml:space="preserve">High-quality teacher-led tuition outside of standard school hours (focus on Y6 and Y2). </w:t>
            </w:r>
          </w:p>
          <w:p w14:paraId="1E7DD669" w14:textId="02670362" w:rsidR="0034717D" w:rsidRPr="00520FE7" w:rsidRDefault="26C1F61C" w:rsidP="00520FE7">
            <w:pPr>
              <w:pStyle w:val="TableRow"/>
            </w:pPr>
            <w:r w:rsidRPr="54FBBCF6">
              <w:rPr>
                <w:sz w:val="22"/>
                <w:szCs w:val="22"/>
              </w:rPr>
              <w:t>School-led tutoring to target children throughout school.</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68762" w14:textId="77777777" w:rsidR="0034717D" w:rsidRDefault="00061105" w:rsidP="00C31636">
            <w:pPr>
              <w:pStyle w:val="TableRowCentered"/>
              <w:ind w:left="0" w:right="0"/>
              <w:jc w:val="left"/>
              <w:rPr>
                <w:sz w:val="22"/>
              </w:rPr>
            </w:pPr>
            <w:hyperlink r:id="rId39" w:history="1">
              <w:r w:rsidR="00AE194C" w:rsidRPr="00457567">
                <w:rPr>
                  <w:rStyle w:val="Hyperlink"/>
                  <w:sz w:val="22"/>
                </w:rPr>
                <w:t>https://educationendowmentfoundation.org.uk/education-evidence/teaching-learning-toolkit/small-group-tuition</w:t>
              </w:r>
            </w:hyperlink>
            <w:r w:rsidR="00AE194C">
              <w:rPr>
                <w:sz w:val="22"/>
              </w:rPr>
              <w:t xml:space="preserve"> </w:t>
            </w:r>
          </w:p>
          <w:p w14:paraId="42AF804C" w14:textId="77777777" w:rsidR="00AE194C" w:rsidRDefault="00AE194C" w:rsidP="00C31636">
            <w:pPr>
              <w:pStyle w:val="TableRowCentered"/>
              <w:ind w:left="0" w:right="0"/>
              <w:jc w:val="left"/>
              <w:rPr>
                <w:sz w:val="22"/>
              </w:rPr>
            </w:pPr>
          </w:p>
          <w:p w14:paraId="0759CA86" w14:textId="77777777" w:rsidR="00AE194C" w:rsidRDefault="00061105" w:rsidP="00C31636">
            <w:pPr>
              <w:pStyle w:val="TableRowCentered"/>
              <w:ind w:left="0" w:right="0"/>
              <w:jc w:val="left"/>
              <w:rPr>
                <w:sz w:val="22"/>
              </w:rPr>
            </w:pPr>
            <w:hyperlink r:id="rId40" w:history="1">
              <w:r w:rsidR="00AE194C" w:rsidRPr="00457567">
                <w:rPr>
                  <w:rStyle w:val="Hyperlink"/>
                  <w:sz w:val="22"/>
                </w:rPr>
                <w:t>https://educationendowmentfoundation.org.uk/education-evidence/effective-tutoring</w:t>
              </w:r>
            </w:hyperlink>
            <w:r w:rsidR="00AE194C">
              <w:rPr>
                <w:sz w:val="22"/>
              </w:rPr>
              <w:t xml:space="preserve"> </w:t>
            </w:r>
          </w:p>
          <w:p w14:paraId="456C08D6" w14:textId="77777777" w:rsidR="00AE194C" w:rsidRDefault="00AE194C" w:rsidP="00C31636">
            <w:pPr>
              <w:pStyle w:val="TableRowCentered"/>
              <w:ind w:left="0" w:right="0"/>
              <w:jc w:val="left"/>
              <w:rPr>
                <w:sz w:val="22"/>
              </w:rPr>
            </w:pPr>
          </w:p>
          <w:p w14:paraId="6483A1AD" w14:textId="77777777" w:rsidR="00AE194C" w:rsidRDefault="00061105" w:rsidP="00C31636">
            <w:pPr>
              <w:pStyle w:val="TableRowCentered"/>
              <w:ind w:left="0" w:right="0"/>
              <w:jc w:val="left"/>
              <w:rPr>
                <w:sz w:val="22"/>
              </w:rPr>
            </w:pPr>
            <w:hyperlink r:id="rId41" w:history="1">
              <w:r w:rsidR="00AE194C" w:rsidRPr="00457567">
                <w:rPr>
                  <w:rStyle w:val="Hyperlink"/>
                  <w:sz w:val="22"/>
                </w:rPr>
                <w:t>https://educationendowmentfoundation.org.uk/news/new-eef-guide-making-a-difference-with-effective-tutoring</w:t>
              </w:r>
            </w:hyperlink>
            <w:r w:rsidR="00AE194C">
              <w:rPr>
                <w:sz w:val="22"/>
              </w:rPr>
              <w:t xml:space="preserve"> </w:t>
            </w:r>
          </w:p>
          <w:p w14:paraId="1C42A5FF" w14:textId="77777777" w:rsidR="00FB6CE0" w:rsidRDefault="00FB6CE0" w:rsidP="00C31636">
            <w:pPr>
              <w:pStyle w:val="TableRowCentered"/>
              <w:ind w:left="0" w:right="0"/>
              <w:jc w:val="left"/>
              <w:rPr>
                <w:sz w:val="22"/>
              </w:rPr>
            </w:pPr>
          </w:p>
          <w:p w14:paraId="5C972F6B" w14:textId="7EC7BDD0" w:rsidR="00FB6CE0" w:rsidRDefault="00061105" w:rsidP="00C31636">
            <w:pPr>
              <w:pStyle w:val="TableRowCentered"/>
              <w:ind w:left="0" w:right="0"/>
              <w:jc w:val="left"/>
              <w:rPr>
                <w:sz w:val="22"/>
              </w:rPr>
            </w:pPr>
            <w:hyperlink r:id="rId42" w:history="1">
              <w:r w:rsidR="00FB6CE0" w:rsidRPr="00AC47DD">
                <w:rPr>
                  <w:rStyle w:val="Hyperlink"/>
                  <w:sz w:val="22"/>
                </w:rPr>
                <w:t>https://educationendowmentfoundation.org.uk/education-evidence/teaching-learning-toolkit/extending-school-time</w:t>
              </w:r>
            </w:hyperlink>
            <w:r w:rsidR="00FB6CE0">
              <w:rPr>
                <w:sz w:val="22"/>
              </w:rPr>
              <w:t xml:space="preserve">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02FB55" w14:textId="4ECC87A4" w:rsidR="0034717D" w:rsidRDefault="004B4BFE" w:rsidP="00C31636">
            <w:pPr>
              <w:pStyle w:val="TableRowCentered"/>
              <w:ind w:left="0" w:right="0"/>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9A23B8B" w:rsidR="00E66558" w:rsidRDefault="009D71E8" w:rsidP="1BA19C6F">
      <w:pPr>
        <w:spacing w:before="240" w:after="120"/>
      </w:pPr>
      <w:r>
        <w:t xml:space="preserve">Budgeted cost: </w:t>
      </w:r>
      <w:r w:rsidRPr="00757CA7">
        <w:t>£</w:t>
      </w:r>
      <w:r w:rsidR="00757CA7" w:rsidRPr="00757CA7">
        <w:t>5,855.41</w:t>
      </w:r>
    </w:p>
    <w:tbl>
      <w:tblPr>
        <w:tblW w:w="5152" w:type="pct"/>
        <w:tblInd w:w="-289" w:type="dxa"/>
        <w:tblLayout w:type="fixed"/>
        <w:tblCellMar>
          <w:left w:w="10" w:type="dxa"/>
          <w:right w:w="10" w:type="dxa"/>
        </w:tblCellMar>
        <w:tblLook w:val="04A0" w:firstRow="1" w:lastRow="0" w:firstColumn="1" w:lastColumn="0" w:noHBand="0" w:noVBand="1"/>
      </w:tblPr>
      <w:tblGrid>
        <w:gridCol w:w="3119"/>
        <w:gridCol w:w="5102"/>
        <w:gridCol w:w="1553"/>
      </w:tblGrid>
      <w:tr w:rsidR="00E66558" w14:paraId="2A7D5537" w14:textId="77777777" w:rsidTr="54FBBCF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54FBBCF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6074C6A6" w:rsidR="00E66558" w:rsidRPr="000C4DDC" w:rsidRDefault="7564809A" w:rsidP="00DC0320">
            <w:pPr>
              <w:pStyle w:val="TableRow"/>
              <w:ind w:left="0" w:right="0"/>
            </w:pPr>
            <w:r w:rsidRPr="54FBBCF6">
              <w:rPr>
                <w:sz w:val="22"/>
                <w:szCs w:val="22"/>
              </w:rPr>
              <w:t>School trips and experiences that have a focus on preparation for adulthood, e.g., keeping safe crossing roads, respectfulness of others, how to behave in pupil places, and care of other living things.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23EE7" w14:textId="77777777" w:rsidR="00E66558" w:rsidRDefault="00061105" w:rsidP="00C31636">
            <w:pPr>
              <w:pStyle w:val="TableRowCentered"/>
              <w:ind w:left="0" w:right="0"/>
              <w:jc w:val="left"/>
              <w:rPr>
                <w:sz w:val="22"/>
              </w:rPr>
            </w:pPr>
            <w:hyperlink r:id="rId43" w:history="1">
              <w:r w:rsidR="00B12368" w:rsidRPr="00457567">
                <w:rPr>
                  <w:rStyle w:val="Hyperlink"/>
                  <w:sz w:val="22"/>
                </w:rPr>
                <w:t>https://educationendowmentfoundation.org.uk/education-evidence/teaching-learning-toolkit/outdoor-adventure-learning</w:t>
              </w:r>
            </w:hyperlink>
            <w:r w:rsidR="00B12368">
              <w:rPr>
                <w:sz w:val="22"/>
              </w:rPr>
              <w:t xml:space="preserve"> </w:t>
            </w:r>
          </w:p>
          <w:p w14:paraId="4840CE68" w14:textId="77777777" w:rsidR="00E67D10" w:rsidRDefault="00E67D10" w:rsidP="00C31636">
            <w:pPr>
              <w:pStyle w:val="TableRowCentered"/>
              <w:ind w:left="0" w:right="0"/>
              <w:jc w:val="left"/>
              <w:rPr>
                <w:sz w:val="22"/>
              </w:rPr>
            </w:pPr>
          </w:p>
          <w:p w14:paraId="2A7D5539" w14:textId="37449664" w:rsidR="00E67D10" w:rsidRDefault="00061105" w:rsidP="00C31636">
            <w:pPr>
              <w:pStyle w:val="TableRowCentered"/>
              <w:ind w:left="0" w:right="0"/>
              <w:jc w:val="left"/>
              <w:rPr>
                <w:sz w:val="22"/>
              </w:rPr>
            </w:pPr>
            <w:hyperlink r:id="rId44" w:history="1">
              <w:r w:rsidR="00E67D10" w:rsidRPr="00457567">
                <w:rPr>
                  <w:rStyle w:val="Hyperlink"/>
                  <w:sz w:val="22"/>
                </w:rPr>
                <w:t>https://educationendowmentfoundation.org.uk/support-for-schools/school-planning-support/3-wider-strategies</w:t>
              </w:r>
            </w:hyperlink>
            <w:r w:rsidR="00E67D10">
              <w:rPr>
                <w:sz w:val="22"/>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69B6B5EA" w:rsidR="00E66558" w:rsidRDefault="00E66558" w:rsidP="00C31636">
            <w:pPr>
              <w:pStyle w:val="TableRowCentered"/>
              <w:ind w:left="0" w:right="0"/>
              <w:jc w:val="left"/>
              <w:rPr>
                <w:sz w:val="22"/>
              </w:rPr>
            </w:pPr>
          </w:p>
        </w:tc>
      </w:tr>
      <w:tr w:rsidR="000C4DDC" w14:paraId="263C6F0A" w14:textId="77777777" w:rsidTr="54FBBCF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04B09" w14:textId="002291A0" w:rsidR="00AE62B6" w:rsidRPr="000C4DDC" w:rsidRDefault="1A92EB44" w:rsidP="54FBBCF6">
            <w:pPr>
              <w:pStyle w:val="NoSpacing"/>
              <w:rPr>
                <w:sz w:val="22"/>
                <w:szCs w:val="22"/>
              </w:rPr>
            </w:pPr>
            <w:r w:rsidRPr="54FBBCF6">
              <w:rPr>
                <w:sz w:val="22"/>
                <w:szCs w:val="22"/>
              </w:rPr>
              <w:lastRenderedPageBreak/>
              <w:t>Dedicated family manager to deliver specific interventions and support for those children and families who need it.</w:t>
            </w:r>
          </w:p>
          <w:p w14:paraId="4A2F5868" w14:textId="57466DA9" w:rsidR="00AE62B6" w:rsidRPr="000C4DDC" w:rsidRDefault="1A92EB44" w:rsidP="00AE62B6">
            <w:pPr>
              <w:pStyle w:val="NoSpacing"/>
            </w:pPr>
            <w:r w:rsidRPr="54FBBCF6">
              <w:rPr>
                <w:sz w:val="22"/>
                <w:szCs w:val="22"/>
              </w:rPr>
              <w:t xml:space="preserve"> </w:t>
            </w:r>
          </w:p>
          <w:p w14:paraId="2AE260B3" w14:textId="47C0DAA0" w:rsidR="00AE62B6" w:rsidRPr="000C4DDC" w:rsidRDefault="1A92EB44" w:rsidP="00AE62B6">
            <w:pPr>
              <w:pStyle w:val="NoSpacing"/>
            </w:pPr>
            <w:r w:rsidRPr="54FBBCF6">
              <w:rPr>
                <w:sz w:val="22"/>
                <w:szCs w:val="22"/>
              </w:rPr>
              <w:t>Also support children who need referral to other services, e.g., WMIM.</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B8076" w14:textId="77777777" w:rsidR="000C4DDC" w:rsidRDefault="00061105" w:rsidP="00C31636">
            <w:pPr>
              <w:pStyle w:val="TableRowCentered"/>
              <w:ind w:left="0" w:right="0"/>
              <w:jc w:val="left"/>
              <w:rPr>
                <w:sz w:val="22"/>
              </w:rPr>
            </w:pPr>
            <w:hyperlink r:id="rId45" w:history="1">
              <w:r w:rsidR="00B12368" w:rsidRPr="00457567">
                <w:rPr>
                  <w:rStyle w:val="Hyperlink"/>
                  <w:sz w:val="22"/>
                </w:rPr>
                <w:t>https://educationendowmentfoundation.org.uk/education-evidence/teaching-learning-toolkit/behaviour-interventions</w:t>
              </w:r>
            </w:hyperlink>
            <w:r w:rsidR="00B12368">
              <w:rPr>
                <w:sz w:val="22"/>
              </w:rPr>
              <w:t xml:space="preserve"> </w:t>
            </w:r>
          </w:p>
          <w:p w14:paraId="6B6663A0" w14:textId="77777777" w:rsidR="00B12368" w:rsidRDefault="00B12368" w:rsidP="00C31636">
            <w:pPr>
              <w:pStyle w:val="TableRowCentered"/>
              <w:ind w:left="0" w:right="0"/>
              <w:jc w:val="left"/>
            </w:pPr>
            <w:r w:rsidRPr="00B12368">
              <w:rPr>
                <w:sz w:val="22"/>
              </w:rPr>
              <w:t>Social and emotional learning (SEL) interventions seek to improve pupils’ decision-making skills, interaction with others and their self-management of emotions, rather than focusing directly on the academic or cognitive elements of learning.</w:t>
            </w:r>
            <w:r w:rsidRPr="00B12368">
              <w:t xml:space="preserve"> </w:t>
            </w:r>
          </w:p>
          <w:p w14:paraId="5EB1CC88" w14:textId="77777777" w:rsidR="00B12368" w:rsidRDefault="00061105" w:rsidP="00C31636">
            <w:pPr>
              <w:pStyle w:val="TableRowCentered"/>
              <w:ind w:left="0" w:right="0"/>
              <w:jc w:val="left"/>
              <w:rPr>
                <w:sz w:val="22"/>
              </w:rPr>
            </w:pPr>
            <w:hyperlink r:id="rId46" w:history="1">
              <w:r w:rsidR="00B12368" w:rsidRPr="00B12368">
                <w:rPr>
                  <w:rStyle w:val="Hyperlink"/>
                  <w:sz w:val="22"/>
                </w:rPr>
                <w:t>https://educationendowmentfoundation.org.uk/news/modelling-social-and-emotional-learning-promoting-protective-factors-to-support-pupil-wellbeing</w:t>
              </w:r>
            </w:hyperlink>
            <w:r w:rsidR="00B12368" w:rsidRPr="00B12368">
              <w:rPr>
                <w:sz w:val="22"/>
              </w:rPr>
              <w:t xml:space="preserve"> </w:t>
            </w:r>
          </w:p>
          <w:p w14:paraId="1EC24095" w14:textId="77777777" w:rsidR="00B12368" w:rsidRDefault="00061105" w:rsidP="00C31636">
            <w:pPr>
              <w:pStyle w:val="TableRowCentered"/>
              <w:ind w:left="0" w:right="0"/>
              <w:jc w:val="left"/>
              <w:rPr>
                <w:sz w:val="22"/>
              </w:rPr>
            </w:pPr>
            <w:hyperlink r:id="rId47" w:history="1">
              <w:r w:rsidR="00B12368" w:rsidRPr="00457567">
                <w:rPr>
                  <w:rStyle w:val="Hyperlink"/>
                  <w:sz w:val="22"/>
                </w:rPr>
                <w:t>https://educationendowmentfoundation.org.uk/education-evidence/teaching-learning-toolkit/social-and-emotional-learning</w:t>
              </w:r>
            </w:hyperlink>
            <w:r w:rsidR="00B12368">
              <w:rPr>
                <w:sz w:val="22"/>
              </w:rPr>
              <w:t xml:space="preserve"> </w:t>
            </w:r>
          </w:p>
          <w:p w14:paraId="6DCFD4EF" w14:textId="77777777" w:rsidR="00E67D10" w:rsidRDefault="00061105" w:rsidP="00C31636">
            <w:pPr>
              <w:pStyle w:val="TableRowCentered"/>
              <w:ind w:left="0" w:right="0"/>
              <w:jc w:val="left"/>
              <w:rPr>
                <w:sz w:val="22"/>
              </w:rPr>
            </w:pPr>
            <w:hyperlink r:id="rId48" w:history="1">
              <w:r w:rsidR="00E67D10" w:rsidRPr="00457567">
                <w:rPr>
                  <w:rStyle w:val="Hyperlink"/>
                  <w:sz w:val="22"/>
                </w:rPr>
                <w:t>https://educationendowmentfoundation.org.uk/early-years/mental-health-wellbeing</w:t>
              </w:r>
            </w:hyperlink>
            <w:r w:rsidR="00E67D10">
              <w:rPr>
                <w:sz w:val="22"/>
              </w:rPr>
              <w:t xml:space="preserve"> </w:t>
            </w:r>
          </w:p>
          <w:p w14:paraId="409C3358" w14:textId="77777777" w:rsidR="00FB6CE0" w:rsidRDefault="00061105" w:rsidP="00C31636">
            <w:pPr>
              <w:pStyle w:val="TableRowCentered"/>
              <w:ind w:left="0" w:right="0"/>
              <w:jc w:val="left"/>
              <w:rPr>
                <w:sz w:val="22"/>
              </w:rPr>
            </w:pPr>
            <w:hyperlink r:id="rId49" w:history="1">
              <w:r w:rsidR="00FB6CE0" w:rsidRPr="00AC47DD">
                <w:rPr>
                  <w:rStyle w:val="Hyperlink"/>
                  <w:sz w:val="22"/>
                </w:rPr>
                <w:t>https://educationendowmentfoundation.org.uk/education-evidence/guidance-reports/behaviour</w:t>
              </w:r>
            </w:hyperlink>
            <w:r w:rsidR="00FB6CE0">
              <w:rPr>
                <w:sz w:val="22"/>
              </w:rPr>
              <w:t xml:space="preserve"> </w:t>
            </w:r>
          </w:p>
          <w:p w14:paraId="49A46AB3" w14:textId="1191A59E" w:rsidR="006B44F2" w:rsidRDefault="00061105" w:rsidP="00C31636">
            <w:pPr>
              <w:pStyle w:val="TableRowCentered"/>
              <w:ind w:left="0" w:right="0"/>
              <w:jc w:val="left"/>
              <w:rPr>
                <w:sz w:val="22"/>
              </w:rPr>
            </w:pPr>
            <w:hyperlink r:id="rId50" w:history="1">
              <w:r w:rsidR="006B44F2" w:rsidRPr="00AC47DD">
                <w:rPr>
                  <w:rStyle w:val="Hyperlink"/>
                  <w:sz w:val="22"/>
                </w:rPr>
                <w:t>https://educationendowmentfoundation.org.uk/education-evidence/teaching-learning-toolkit/behaviour-interventions</w:t>
              </w:r>
            </w:hyperlink>
            <w:r w:rsidR="006B44F2">
              <w:rPr>
                <w:sz w:val="22"/>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E2D4B" w14:textId="216DD236" w:rsidR="000C4DDC" w:rsidRDefault="006B7F24" w:rsidP="00C31636">
            <w:pPr>
              <w:pStyle w:val="TableRowCentered"/>
              <w:ind w:left="0" w:right="0"/>
              <w:jc w:val="left"/>
              <w:rPr>
                <w:sz w:val="22"/>
              </w:rPr>
            </w:pPr>
            <w:r>
              <w:rPr>
                <w:sz w:val="22"/>
              </w:rPr>
              <w:t>3, 4</w:t>
            </w:r>
          </w:p>
        </w:tc>
      </w:tr>
      <w:tr w:rsidR="007039F8" w14:paraId="13E46E97" w14:textId="77777777" w:rsidTr="54FBBCF6">
        <w:trPr>
          <w:trHeight w:val="3036"/>
        </w:trPr>
        <w:tc>
          <w:tcPr>
            <w:tcW w:w="3119"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CE11F" w14:textId="7216CBEB" w:rsidR="007039F8" w:rsidRPr="000C4DDC" w:rsidRDefault="63EBD805" w:rsidP="54FBBCF6">
            <w:pPr>
              <w:pStyle w:val="NoSpacing"/>
              <w:rPr>
                <w:sz w:val="22"/>
                <w:szCs w:val="22"/>
              </w:rPr>
            </w:pPr>
            <w:r w:rsidRPr="54FBBCF6">
              <w:rPr>
                <w:sz w:val="22"/>
                <w:szCs w:val="22"/>
              </w:rPr>
              <w:t xml:space="preserve">The inclusion team is set up to tackle attendance, pastoral care, and parental engagement. </w:t>
            </w:r>
          </w:p>
          <w:p w14:paraId="3CBE7646" w14:textId="111AD123" w:rsidR="007039F8" w:rsidRPr="000C4DDC" w:rsidRDefault="63EBD805" w:rsidP="007039F8">
            <w:pPr>
              <w:pStyle w:val="NoSpacing"/>
            </w:pPr>
            <w:r w:rsidRPr="54FBBCF6">
              <w:rPr>
                <w:sz w:val="22"/>
                <w:szCs w:val="22"/>
              </w:rPr>
              <w:t xml:space="preserve"> </w:t>
            </w:r>
          </w:p>
          <w:p w14:paraId="7E6F86BF" w14:textId="79C07ED0" w:rsidR="007039F8" w:rsidRPr="000C4DDC" w:rsidRDefault="63EBD805" w:rsidP="007039F8">
            <w:pPr>
              <w:pStyle w:val="NoSpacing"/>
            </w:pPr>
            <w:r w:rsidRPr="54FBBCF6">
              <w:rPr>
                <w:sz w:val="22"/>
                <w:szCs w:val="22"/>
              </w:rPr>
              <w:t>Attendance leads to analyse weekly attendance and arrange meetings to support disadvantaged families where the attendance is a concern.</w:t>
            </w:r>
          </w:p>
        </w:tc>
        <w:tc>
          <w:tcPr>
            <w:tcW w:w="5103"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4B1E412" w14:textId="77777777" w:rsidR="007039F8" w:rsidRDefault="00061105" w:rsidP="00C31636">
            <w:pPr>
              <w:pStyle w:val="TableRowCentered"/>
              <w:ind w:left="0" w:right="0"/>
              <w:jc w:val="left"/>
              <w:rPr>
                <w:sz w:val="22"/>
              </w:rPr>
            </w:pPr>
            <w:hyperlink r:id="rId51" w:history="1">
              <w:r w:rsidR="00B12368" w:rsidRPr="00457567">
                <w:rPr>
                  <w:rStyle w:val="Hyperlink"/>
                  <w:sz w:val="22"/>
                </w:rPr>
                <w:t>https://educationendowmentfoundation.org.uk/education-evidence/leadership-and-planning/supporting-attendance</w:t>
              </w:r>
            </w:hyperlink>
            <w:r w:rsidR="00B12368">
              <w:rPr>
                <w:sz w:val="22"/>
              </w:rPr>
              <w:t xml:space="preserve"> </w:t>
            </w:r>
          </w:p>
          <w:p w14:paraId="43F545C8" w14:textId="77777777" w:rsidR="00B12368" w:rsidRDefault="00B12368" w:rsidP="00C31636">
            <w:pPr>
              <w:pStyle w:val="TableRowCentered"/>
              <w:ind w:left="0" w:right="0"/>
              <w:jc w:val="left"/>
              <w:rPr>
                <w:sz w:val="22"/>
              </w:rPr>
            </w:pPr>
          </w:p>
          <w:p w14:paraId="021DF114" w14:textId="77777777" w:rsidR="00B12368" w:rsidRDefault="00061105" w:rsidP="00C31636">
            <w:pPr>
              <w:pStyle w:val="TableRowCentered"/>
              <w:ind w:left="0" w:right="0"/>
              <w:jc w:val="left"/>
              <w:rPr>
                <w:sz w:val="22"/>
              </w:rPr>
            </w:pPr>
            <w:hyperlink r:id="rId52" w:history="1">
              <w:r w:rsidR="00B12368" w:rsidRPr="00457567">
                <w:rPr>
                  <w:rStyle w:val="Hyperlink"/>
                  <w:sz w:val="22"/>
                </w:rPr>
                <w:t>https://educationendowmentfoundation.org.uk/news/eef-blog-supporting-school-attendance-a-new-tool-for-reflection-and-planning</w:t>
              </w:r>
            </w:hyperlink>
            <w:r w:rsidR="00B12368">
              <w:rPr>
                <w:sz w:val="22"/>
              </w:rPr>
              <w:t xml:space="preserve"> </w:t>
            </w:r>
          </w:p>
          <w:p w14:paraId="7E09D17E" w14:textId="77777777" w:rsidR="00B12368" w:rsidRDefault="00B12368" w:rsidP="00C31636">
            <w:pPr>
              <w:pStyle w:val="TableRowCentered"/>
              <w:ind w:left="0" w:right="0"/>
              <w:jc w:val="left"/>
              <w:rPr>
                <w:sz w:val="22"/>
              </w:rPr>
            </w:pPr>
          </w:p>
          <w:p w14:paraId="411FFF80" w14:textId="77777777" w:rsidR="00B12368" w:rsidRDefault="00061105" w:rsidP="00C31636">
            <w:pPr>
              <w:pStyle w:val="TableRowCentered"/>
              <w:ind w:left="0" w:right="0"/>
              <w:jc w:val="left"/>
              <w:rPr>
                <w:sz w:val="22"/>
              </w:rPr>
            </w:pPr>
            <w:hyperlink r:id="rId53" w:history="1">
              <w:r w:rsidR="00B12368" w:rsidRPr="00457567">
                <w:rPr>
                  <w:rStyle w:val="Hyperlink"/>
                  <w:sz w:val="22"/>
                </w:rPr>
                <w:t>https://educationendowmentfoundation.org.uk/news/evidence-brief-on-improving-attendance-and-support-for-disadvantaged-pupils</w:t>
              </w:r>
            </w:hyperlink>
            <w:r w:rsidR="00B12368">
              <w:rPr>
                <w:sz w:val="22"/>
              </w:rPr>
              <w:t xml:space="preserve"> </w:t>
            </w:r>
          </w:p>
          <w:p w14:paraId="0A8CBBBE" w14:textId="77777777" w:rsidR="00B12368" w:rsidRDefault="00B12368" w:rsidP="00C31636">
            <w:pPr>
              <w:pStyle w:val="TableRowCentered"/>
              <w:ind w:left="0" w:right="0"/>
              <w:jc w:val="left"/>
              <w:rPr>
                <w:sz w:val="22"/>
              </w:rPr>
            </w:pPr>
          </w:p>
          <w:p w14:paraId="17913970" w14:textId="27B83BBC" w:rsidR="006B44F2" w:rsidRDefault="00061105" w:rsidP="00C31636">
            <w:pPr>
              <w:pStyle w:val="TableRowCentered"/>
              <w:ind w:left="0" w:right="0"/>
              <w:jc w:val="left"/>
              <w:rPr>
                <w:sz w:val="22"/>
              </w:rPr>
            </w:pPr>
            <w:hyperlink r:id="rId54" w:history="1">
              <w:r w:rsidR="00B12368" w:rsidRPr="00457567">
                <w:rPr>
                  <w:rStyle w:val="Hyperlink"/>
                  <w:sz w:val="22"/>
                </w:rPr>
                <w:t>https://educationendowmentfoundation.org.uk/news/department-for-education-launches-new-initiatives-to-tackle-attendance</w:t>
              </w:r>
            </w:hyperlink>
            <w:r w:rsidR="00B12368">
              <w:rPr>
                <w:sz w:val="22"/>
              </w:rPr>
              <w:t xml:space="preserve"> </w:t>
            </w:r>
          </w:p>
        </w:tc>
        <w:tc>
          <w:tcPr>
            <w:tcW w:w="1553"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9552E77" w14:textId="1B158A9A" w:rsidR="007039F8" w:rsidRDefault="006B7F24" w:rsidP="00C31636">
            <w:pPr>
              <w:pStyle w:val="TableRowCentered"/>
              <w:ind w:left="0" w:right="0"/>
              <w:jc w:val="left"/>
              <w:rPr>
                <w:sz w:val="22"/>
              </w:rPr>
            </w:pPr>
            <w:r>
              <w:rPr>
                <w:sz w:val="22"/>
              </w:rPr>
              <w:t>2</w:t>
            </w:r>
          </w:p>
        </w:tc>
      </w:tr>
      <w:tr w:rsidR="007039F8" w14:paraId="6F044887" w14:textId="77777777" w:rsidTr="54FBBCF6">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79923" w14:textId="1C65EA89" w:rsidR="007039F8" w:rsidRPr="000C4DDC" w:rsidRDefault="569D2928" w:rsidP="54FBBCF6">
            <w:pPr>
              <w:pStyle w:val="NoSpacing"/>
              <w:rPr>
                <w:sz w:val="22"/>
                <w:szCs w:val="22"/>
              </w:rPr>
            </w:pPr>
            <w:r w:rsidRPr="54FBBCF6">
              <w:rPr>
                <w:sz w:val="22"/>
                <w:szCs w:val="22"/>
              </w:rPr>
              <w:t xml:space="preserve">Family manager to lead Solihull Parenting Course. </w:t>
            </w:r>
          </w:p>
          <w:p w14:paraId="0BB1CCD1" w14:textId="66232A80" w:rsidR="007039F8" w:rsidRPr="000C4DDC" w:rsidRDefault="569D2928" w:rsidP="007039F8">
            <w:pPr>
              <w:pStyle w:val="NoSpacing"/>
            </w:pPr>
            <w:r w:rsidRPr="54FBBCF6">
              <w:rPr>
                <w:sz w:val="22"/>
                <w:szCs w:val="22"/>
              </w:rPr>
              <w:t>(School to support parental engagement, SEND, pupil attendance, referrals for GDA’s, and the wellbeing of parents).</w:t>
            </w:r>
          </w:p>
          <w:p w14:paraId="6B6C94AD" w14:textId="34B13D97" w:rsidR="007039F8" w:rsidRPr="000C4DDC" w:rsidRDefault="007039F8" w:rsidP="54FBBCF6">
            <w:pPr>
              <w:pStyle w:val="NoSpacing"/>
              <w:rPr>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A7C07" w14:textId="69F1EE39" w:rsidR="00B12368" w:rsidRDefault="1E4EAB3A" w:rsidP="54FBBCF6">
            <w:pPr>
              <w:pStyle w:val="TableRowCentered"/>
              <w:ind w:left="0" w:right="0"/>
              <w:jc w:val="left"/>
              <w:rPr>
                <w:sz w:val="22"/>
                <w:szCs w:val="22"/>
              </w:rPr>
            </w:pPr>
            <w:r w:rsidRPr="54FBBCF6">
              <w:rPr>
                <w:sz w:val="22"/>
                <w:szCs w:val="22"/>
              </w:rPr>
              <w:t>Parents play a crucial role in supporting their children’s learning, and levels of parental engagement are consistently associated with better academic outcomes. Evidence from our Teaching and Learning Toolkit suggests that effective parental engagement can lead to learning gains of +3 months over the course of a year</w:t>
            </w:r>
            <w:r w:rsidR="3776C7B8" w:rsidRPr="54FBBCF6">
              <w:rPr>
                <w:sz w:val="22"/>
                <w:szCs w:val="22"/>
              </w:rPr>
              <w:t>.</w:t>
            </w:r>
          </w:p>
          <w:p w14:paraId="4BD21C55" w14:textId="77777777" w:rsidR="00B12368" w:rsidRPr="00B12368" w:rsidRDefault="00B12368" w:rsidP="00C31636">
            <w:pPr>
              <w:pStyle w:val="TableRowCentered"/>
              <w:ind w:left="0" w:right="0"/>
              <w:jc w:val="left"/>
              <w:rPr>
                <w:sz w:val="20"/>
              </w:rPr>
            </w:pPr>
          </w:p>
          <w:p w14:paraId="0EB0BD61" w14:textId="77777777" w:rsidR="007039F8" w:rsidRDefault="00061105" w:rsidP="00C31636">
            <w:pPr>
              <w:pStyle w:val="TableRowCentered"/>
              <w:ind w:left="0" w:right="0"/>
              <w:jc w:val="left"/>
              <w:rPr>
                <w:sz w:val="22"/>
              </w:rPr>
            </w:pPr>
            <w:hyperlink r:id="rId55" w:history="1">
              <w:r w:rsidR="00B12368" w:rsidRPr="00457567">
                <w:rPr>
                  <w:rStyle w:val="Hyperlink"/>
                  <w:sz w:val="22"/>
                </w:rPr>
                <w:t>https://educationendowmentfoundation.org.uk/education-evidence/guidance-reports/supporting-parents</w:t>
              </w:r>
            </w:hyperlink>
            <w:r w:rsidR="00B12368">
              <w:rPr>
                <w:sz w:val="22"/>
              </w:rPr>
              <w:t xml:space="preserve"> </w:t>
            </w:r>
          </w:p>
          <w:p w14:paraId="2416FFC3" w14:textId="0BAF2A5E" w:rsidR="00E67D10" w:rsidRDefault="00061105" w:rsidP="00C31636">
            <w:pPr>
              <w:pStyle w:val="TableRowCentered"/>
              <w:ind w:left="0" w:right="0"/>
              <w:jc w:val="left"/>
              <w:rPr>
                <w:sz w:val="22"/>
              </w:rPr>
            </w:pPr>
            <w:hyperlink r:id="rId56" w:history="1">
              <w:r w:rsidR="00E67D10" w:rsidRPr="00457567">
                <w:rPr>
                  <w:rStyle w:val="Hyperlink"/>
                  <w:sz w:val="22"/>
                </w:rPr>
                <w:t>https://educationendowmentfoundation.org.uk/support-for-schools/school-planning-support/3-wider-strategies</w:t>
              </w:r>
            </w:hyperlink>
            <w:r w:rsidR="00E67D10">
              <w:rPr>
                <w:sz w:val="22"/>
              </w:rPr>
              <w:t xml:space="preserve"> </w:t>
            </w:r>
          </w:p>
          <w:p w14:paraId="669EDF6C" w14:textId="77777777" w:rsidR="00E67D10" w:rsidRDefault="00061105" w:rsidP="00C31636">
            <w:pPr>
              <w:pStyle w:val="TableRowCentered"/>
              <w:ind w:left="0" w:right="0"/>
              <w:jc w:val="left"/>
              <w:rPr>
                <w:sz w:val="22"/>
              </w:rPr>
            </w:pPr>
            <w:hyperlink r:id="rId57" w:history="1">
              <w:r w:rsidR="00E67D10" w:rsidRPr="00457567">
                <w:rPr>
                  <w:rStyle w:val="Hyperlink"/>
                  <w:sz w:val="22"/>
                </w:rPr>
                <w:t>https://educationendowmentfoundation.org.uk/education-evidence/teaching-learning-toolkit/parental-engagement</w:t>
              </w:r>
            </w:hyperlink>
            <w:r w:rsidR="00E67D10">
              <w:rPr>
                <w:sz w:val="22"/>
              </w:rPr>
              <w:t xml:space="preserve"> </w:t>
            </w:r>
          </w:p>
          <w:p w14:paraId="3F90A7D6" w14:textId="7EC1A9E0" w:rsidR="00FB6CE0" w:rsidRDefault="00FB6CE0" w:rsidP="00C31636">
            <w:pPr>
              <w:pStyle w:val="TableRowCentered"/>
              <w:ind w:left="0" w:right="0"/>
              <w:jc w:val="left"/>
              <w:rPr>
                <w:sz w:val="22"/>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3814E" w14:textId="53D1BDBC" w:rsidR="007039F8" w:rsidRDefault="006B7F24" w:rsidP="00C31636">
            <w:pPr>
              <w:pStyle w:val="TableRowCentered"/>
              <w:ind w:left="0" w:right="0"/>
              <w:jc w:val="left"/>
              <w:rPr>
                <w:sz w:val="22"/>
              </w:rPr>
            </w:pPr>
            <w:r>
              <w:rPr>
                <w:sz w:val="22"/>
              </w:rPr>
              <w:lastRenderedPageBreak/>
              <w:t>2, 3, 4</w:t>
            </w:r>
          </w:p>
        </w:tc>
      </w:tr>
      <w:tr w:rsidR="00E66558" w14:paraId="2A7D553F" w14:textId="77777777" w:rsidTr="006C2301">
        <w:trPr>
          <w:trHeight w:val="699"/>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38E8DC" w14:textId="300C96E4" w:rsidR="00AD0A34" w:rsidRDefault="3CCE4579" w:rsidP="54FBBCF6">
            <w:pPr>
              <w:pStyle w:val="NoSpacing"/>
              <w:rPr>
                <w:i/>
                <w:iCs/>
              </w:rPr>
            </w:pPr>
            <w:r w:rsidRPr="54FBBCF6">
              <w:rPr>
                <w:sz w:val="22"/>
                <w:szCs w:val="22"/>
              </w:rPr>
              <w:t xml:space="preserve">Provision of wider curricular activities to ensure that our disadvantaged pupils have a wide range of experiences and clubs (This will be done in conjunction with the Sports Premium plan). </w:t>
            </w:r>
          </w:p>
          <w:p w14:paraId="46DFCB0A" w14:textId="0351F993" w:rsidR="00AD0A34" w:rsidRDefault="3CCE4579" w:rsidP="00AD0A34">
            <w:pPr>
              <w:pStyle w:val="NoSpacing"/>
            </w:pPr>
            <w:r w:rsidRPr="54FBBCF6">
              <w:rPr>
                <w:sz w:val="22"/>
                <w:szCs w:val="22"/>
              </w:rPr>
              <w:t xml:space="preserve"> </w:t>
            </w:r>
          </w:p>
          <w:p w14:paraId="2A7D553C" w14:textId="427980FD" w:rsidR="00AD0A34" w:rsidRDefault="3CCE4579" w:rsidP="00AD0A34">
            <w:pPr>
              <w:pStyle w:val="NoSpacing"/>
            </w:pPr>
            <w:r w:rsidRPr="54FBBCF6">
              <w:rPr>
                <w:sz w:val="22"/>
                <w:szCs w:val="22"/>
              </w:rPr>
              <w:t>Ensuring that all children have the same opportunities (Pupil Premium and SEND)—e.g., access to school events, trips, afterschool clubs, and curriculum by funding/part-funding</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F46B48" w14:textId="77777777" w:rsidR="00E66558" w:rsidRDefault="00061105" w:rsidP="00C31636">
            <w:pPr>
              <w:pStyle w:val="TableRowCentered"/>
              <w:ind w:left="0" w:right="0"/>
              <w:jc w:val="left"/>
              <w:rPr>
                <w:sz w:val="22"/>
              </w:rPr>
            </w:pPr>
            <w:hyperlink r:id="rId58" w:history="1">
              <w:r w:rsidR="00E67D10" w:rsidRPr="00457567">
                <w:rPr>
                  <w:rStyle w:val="Hyperlink"/>
                  <w:sz w:val="22"/>
                </w:rPr>
                <w:t>https://educationendowmentfoundation.org.uk/support-for-schools/school-planning-support/3-wider-strategies</w:t>
              </w:r>
            </w:hyperlink>
            <w:r w:rsidR="00E67D10">
              <w:rPr>
                <w:sz w:val="22"/>
              </w:rPr>
              <w:t xml:space="preserve"> </w:t>
            </w:r>
          </w:p>
          <w:p w14:paraId="431E9E7C" w14:textId="77777777" w:rsidR="00B36BC4" w:rsidRDefault="00B36BC4" w:rsidP="00C31636">
            <w:pPr>
              <w:pStyle w:val="TableRowCentered"/>
              <w:ind w:left="0" w:right="0"/>
              <w:jc w:val="left"/>
              <w:rPr>
                <w:sz w:val="22"/>
              </w:rPr>
            </w:pPr>
          </w:p>
          <w:p w14:paraId="2A7D553D" w14:textId="43F5C9AE" w:rsidR="00B36BC4" w:rsidRDefault="00061105" w:rsidP="00C31636">
            <w:pPr>
              <w:pStyle w:val="TableRowCentered"/>
              <w:ind w:left="0" w:right="0"/>
              <w:jc w:val="left"/>
              <w:rPr>
                <w:sz w:val="22"/>
              </w:rPr>
            </w:pPr>
            <w:hyperlink r:id="rId59" w:history="1">
              <w:r w:rsidR="00B36BC4" w:rsidRPr="00457567">
                <w:rPr>
                  <w:rStyle w:val="Hyperlink"/>
                  <w:sz w:val="22"/>
                </w:rPr>
                <w:t>https://educationendowmentfoundation.org.uk/education-evidence/teaching-learning-toolkit/outdoor-adventure-learning</w:t>
              </w:r>
            </w:hyperlink>
            <w:r w:rsidR="00B36BC4">
              <w:rPr>
                <w:sz w:val="22"/>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5E407091" w:rsidR="00E66558" w:rsidRDefault="001E3517" w:rsidP="00C31636">
            <w:pPr>
              <w:pStyle w:val="TableRowCentered"/>
              <w:ind w:left="0" w:right="0"/>
              <w:jc w:val="left"/>
              <w:rPr>
                <w:sz w:val="22"/>
              </w:rPr>
            </w:pPr>
            <w:r w:rsidRPr="001E3517">
              <w:rPr>
                <w:sz w:val="22"/>
              </w:rPr>
              <w:t>All – the impact of wider experiences and the link between this and achievement in core curriculum subjects</w:t>
            </w:r>
          </w:p>
        </w:tc>
      </w:tr>
    </w:tbl>
    <w:p w14:paraId="2A7D5540" w14:textId="77777777" w:rsidR="00E66558" w:rsidRDefault="00E66558">
      <w:pPr>
        <w:spacing w:before="240" w:after="0"/>
        <w:rPr>
          <w:b/>
          <w:bCs/>
          <w:color w:val="104F75"/>
          <w:sz w:val="28"/>
          <w:szCs w:val="28"/>
        </w:rPr>
      </w:pPr>
    </w:p>
    <w:p w14:paraId="2A7D5541" w14:textId="083EAC3C" w:rsidR="00E66558" w:rsidRDefault="009D71E8" w:rsidP="1BA19C6F">
      <w:pPr>
        <w:rPr>
          <w:b/>
          <w:bCs/>
          <w:color w:val="104F75"/>
          <w:sz w:val="28"/>
          <w:szCs w:val="28"/>
        </w:rPr>
      </w:pPr>
      <w:r w:rsidRPr="1BA19C6F">
        <w:rPr>
          <w:b/>
          <w:bCs/>
          <w:color w:val="104F75"/>
          <w:sz w:val="28"/>
          <w:szCs w:val="28"/>
        </w:rPr>
        <w:t xml:space="preserve">Total budgeted cost: </w:t>
      </w:r>
      <w:r w:rsidRPr="00603C04">
        <w:rPr>
          <w:b/>
          <w:bCs/>
          <w:color w:val="104F75"/>
          <w:sz w:val="28"/>
          <w:szCs w:val="28"/>
        </w:rPr>
        <w:t>£</w:t>
      </w:r>
      <w:r w:rsidR="00603C04" w:rsidRPr="00603C04">
        <w:rPr>
          <w:b/>
          <w:bCs/>
          <w:color w:val="104F75"/>
          <w:sz w:val="28"/>
          <w:szCs w:val="28"/>
        </w:rPr>
        <w:t>71,492.06</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48C5E6DD">
        <w:trPr>
          <w:trHeight w:val="2258"/>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185653" w14:textId="77777777" w:rsidR="000E1623" w:rsidRPr="00D24F05" w:rsidRDefault="000E1623" w:rsidP="000E1623">
            <w:pPr>
              <w:pStyle w:val="Default"/>
              <w:rPr>
                <w:sz w:val="23"/>
                <w:szCs w:val="23"/>
              </w:rPr>
            </w:pPr>
            <w:r w:rsidRPr="00D24F05">
              <w:rPr>
                <w:b/>
                <w:bCs/>
                <w:color w:val="0D0D0D"/>
                <w:sz w:val="23"/>
                <w:szCs w:val="23"/>
              </w:rPr>
              <w:t xml:space="preserve">Attainment of disadvantaged children in Reading and Phonics </w:t>
            </w:r>
          </w:p>
          <w:p w14:paraId="3BB47D34" w14:textId="77777777" w:rsidR="000E1623" w:rsidRDefault="000E1623" w:rsidP="000E1623">
            <w:pPr>
              <w:pStyle w:val="Default"/>
            </w:pPr>
            <w:r w:rsidRPr="00D24F05">
              <w:rPr>
                <w:color w:val="0D0D0D"/>
                <w:sz w:val="22"/>
                <w:szCs w:val="22"/>
              </w:rPr>
              <w:t xml:space="preserve">From our recent Ofsted report </w:t>
            </w:r>
            <w:r>
              <w:rPr>
                <w:color w:val="0D0D0D"/>
                <w:sz w:val="22"/>
                <w:szCs w:val="22"/>
              </w:rPr>
              <w:t xml:space="preserve">it states </w:t>
            </w:r>
            <w:r w:rsidRPr="00D24F05">
              <w:rPr>
                <w:i/>
                <w:color w:val="0D0D0D"/>
                <w:sz w:val="22"/>
                <w:szCs w:val="22"/>
              </w:rPr>
              <w:t>‘</w:t>
            </w:r>
            <w:r w:rsidRPr="00D24F05">
              <w:rPr>
                <w:i/>
                <w:sz w:val="22"/>
                <w:szCs w:val="22"/>
              </w:rPr>
              <w:t>Pupils at the early stages of reading benefit from effective support. Well-trained adults ensure that pupils develop their reading skills successfully. The school checks how well pupils are progressing in reading. Those who need extra support are swiftly identified. Tailored interventions ensure that these pupils keep up with their peers. Pupils enjoy reading. They are keen to discuss their favourite book and what makes it special to them. During class reading times, pupils read a range of books that help them to learn about wider topics.’</w:t>
            </w:r>
            <w:r>
              <w:t xml:space="preserve"> </w:t>
            </w:r>
          </w:p>
          <w:p w14:paraId="1633FF92" w14:textId="77777777" w:rsidR="000E1623" w:rsidRDefault="000E1623" w:rsidP="000E1623">
            <w:pPr>
              <w:pStyle w:val="Default"/>
            </w:pPr>
          </w:p>
          <w:p w14:paraId="5858F66E" w14:textId="5ADC718E" w:rsidR="7DDAB872" w:rsidRPr="00151443" w:rsidRDefault="7DDAB872" w:rsidP="00151443">
            <w:pPr>
              <w:pStyle w:val="NoSpacing"/>
              <w:rPr>
                <w:sz w:val="22"/>
              </w:rPr>
            </w:pPr>
            <w:r w:rsidRPr="00151443">
              <w:rPr>
                <w:sz w:val="22"/>
              </w:rPr>
              <w:t>All staff who deliver RWI sessions or interventions are fully trained and kept up to date with changes made within the RWI programme. Our Phonics Lead observes and coaches all phonics teachers where needed, including giving them specific feedback and tailored CPD. Book-banded books are well matched to ability. We encourage children to read at least three times a week at home, which is then celebrated within class (rewards are given to those who have fostered a love of reading and are reading three or more times a week). Phonics groups are assessed and regrouped after every half term; however, these groups are reviewed and changed when required, based on individual children’s needs. Phonics assessments are completed in EYFS, Year 1 and Year 2 (as well as other children who are still accessing the RWI programme). Phonics Screening assessments are completed throughout the year in preparation for testing in June. Accelerated Reader and fluency groups have been established throughout the school (mainly in KS2) to improve reading and fluency across the school. High-quality tutoring has also been provided to those children who require it (end of KS1 and KS2, as well as other children based on teacher judgement).</w:t>
            </w:r>
          </w:p>
          <w:p w14:paraId="73393B8B" w14:textId="6F95D2D7" w:rsidR="24439FD4" w:rsidRDefault="24439FD4" w:rsidP="37239E98">
            <w:pPr>
              <w:pStyle w:val="Default"/>
              <w:rPr>
                <w:sz w:val="22"/>
                <w:szCs w:val="22"/>
                <w:highlight w:val="yellow"/>
              </w:rPr>
            </w:pPr>
          </w:p>
          <w:p w14:paraId="5AAF9860" w14:textId="32636156" w:rsidR="700982C6" w:rsidRDefault="700982C6" w:rsidP="37239E98">
            <w:pPr>
              <w:pStyle w:val="Default"/>
            </w:pPr>
            <w:r w:rsidRPr="37239E98">
              <w:rPr>
                <w:color w:val="0D0D0D" w:themeColor="text1" w:themeTint="F2"/>
                <w:sz w:val="22"/>
                <w:szCs w:val="22"/>
              </w:rPr>
              <w:t>During 2024/25, Year 1 received a monitoring visit from the Local Authority during the Phonics Screening Check in June 2025. This showed that 75% of pupils (15/20) in Year 1 passed the Phonics Screening Check. This outcome is 5% below the current national average of 80%.</w:t>
            </w:r>
          </w:p>
          <w:p w14:paraId="6A7AC0A0" w14:textId="4F9A023F" w:rsidR="000E1623" w:rsidRDefault="700982C6" w:rsidP="000E1623">
            <w:pPr>
              <w:pStyle w:val="Default"/>
            </w:pPr>
            <w:r w:rsidRPr="48C5E6DD">
              <w:rPr>
                <w:color w:val="000000" w:themeColor="text1"/>
                <w:sz w:val="22"/>
                <w:szCs w:val="22"/>
              </w:rPr>
              <w:t>40% of pupils eligible for Pupil Premium (2/5) in Year 1 achieved the Phonics Screening Check, representing a decrease compared to outcomes in 2023/24. This is due to the smaller cohort size and a higher proportion of Pupil Premium pupils, including one pupil with SEND. This area will be a key focus for the 2025/26 academic year, with the aim of increasing phonics attainment in both the Year 1 Phonics Screening Check and Year 2 re-sits. Currently, 2/3 Pupil Premium pupils are on track to pass the re-sits next academic year. The national average pass rate for disadvantaged pupils in the Phonics Screening Check is 67%.</w:t>
            </w:r>
          </w:p>
          <w:p w14:paraId="4EB9D81D" w14:textId="1593DA66" w:rsidR="29D2B5A6" w:rsidRDefault="29D2B5A6" w:rsidP="48C5E6DD">
            <w:pPr>
              <w:pStyle w:val="NoSpacing"/>
            </w:pPr>
            <w:r w:rsidRPr="48C5E6DD">
              <w:rPr>
                <w:sz w:val="22"/>
                <w:szCs w:val="22"/>
              </w:rPr>
              <w:t>In Year 2, 75% of children (3/4) passed the Phonics Screening resit. None of these children were eligible for Pupil Premium, as 100% of Pupil Premium children in Year 2 had already passed the Phonics Screening Check in Year 1 in the 2023/24 academic year.</w:t>
            </w:r>
          </w:p>
          <w:p w14:paraId="084C3EB4" w14:textId="56C30799" w:rsidR="48C5E6DD" w:rsidRDefault="48C5E6DD" w:rsidP="48C5E6DD">
            <w:pPr>
              <w:pStyle w:val="NoSpacing"/>
              <w:rPr>
                <w:sz w:val="22"/>
                <w:szCs w:val="22"/>
              </w:rPr>
            </w:pPr>
          </w:p>
          <w:p w14:paraId="7D85E7FF" w14:textId="17C67964" w:rsidR="000E1623" w:rsidRPr="00151443" w:rsidRDefault="701F6CF1" w:rsidP="00151443">
            <w:pPr>
              <w:pStyle w:val="NoSpacing"/>
            </w:pPr>
            <w:r w:rsidRPr="0D802264">
              <w:rPr>
                <w:sz w:val="22"/>
                <w:szCs w:val="22"/>
              </w:rPr>
              <w:t>In EYFS, 65% of children (20/31) achieved the Early Learning Goals at the end of 2024/25. Of disadvantaged pupils, 43% (3/7) achieved the ELGs, while 57% (4/7) were emerging. Nationally, 66.9% of children achieved a Good Level of Development at the end of 2024/25 (we were just 1.9% below the national figure).</w:t>
            </w:r>
          </w:p>
          <w:p w14:paraId="3428FC6A" w14:textId="296546A2" w:rsidR="000E1623" w:rsidRPr="00151443" w:rsidRDefault="701F6CF1" w:rsidP="00151443">
            <w:pPr>
              <w:pStyle w:val="NoSpacing"/>
            </w:pPr>
            <w:r w:rsidRPr="0D802264">
              <w:rPr>
                <w:sz w:val="22"/>
                <w:szCs w:val="22"/>
              </w:rPr>
              <w:t>In 2025/26, the focus will be on Early Years staff training, with an emphasis on improving language development and supporting children with more complex needs. This will ensure that all staff have expertise in specific subject knowledge areas and will support efforts to close the attainment gap between disadvantaged and non-disadvantaged children.</w:t>
            </w:r>
          </w:p>
          <w:p w14:paraId="7E25936D" w14:textId="03C19ABE" w:rsidR="000E1623" w:rsidRPr="00151443" w:rsidRDefault="000E1623" w:rsidP="0D802264">
            <w:pPr>
              <w:pStyle w:val="NoSpacing"/>
              <w:rPr>
                <w:sz w:val="22"/>
                <w:szCs w:val="22"/>
              </w:rPr>
            </w:pPr>
          </w:p>
          <w:p w14:paraId="0295B3D0" w14:textId="1B52C979" w:rsidR="000E1623" w:rsidRPr="00151443" w:rsidRDefault="1FF4C2CB" w:rsidP="00151443">
            <w:pPr>
              <w:pStyle w:val="NoSpacing"/>
              <w:rPr>
                <w:sz w:val="22"/>
              </w:rPr>
            </w:pPr>
            <w:r w:rsidRPr="00151443">
              <w:rPr>
                <w:color w:val="0D0D0D" w:themeColor="text1" w:themeTint="F2"/>
                <w:sz w:val="22"/>
              </w:rPr>
              <w:t xml:space="preserve">There was no national average available from KS1 data in 2024/25 due to the end of compulsory standardised testing in 2022/23. KS1 results indicated that, in Reading, 76% of children (19/25) achieved the expected standard or above in 2024/25, representing a decrease of 8% compared to the previous year. All greater depth (GD) scores increased from the </w:t>
            </w:r>
            <w:r w:rsidRPr="00151443">
              <w:rPr>
                <w:color w:val="0D0D0D" w:themeColor="text1" w:themeTint="F2"/>
                <w:sz w:val="22"/>
              </w:rPr>
              <w:lastRenderedPageBreak/>
              <w:t>previous year for Reading, rising from 22% in 2023/24 to 44% in 2024/25 (11/25). Of these pupils, 50% of disadvantaged pupils (2/4) achieved the expected standard or above in Reading, with 25% achieving greater depth (1/4) at the end of KS1. The remaining 50% of disadvantaged pupils (2/4) achieved working towards the expected standard (WTS).</w:t>
            </w:r>
            <w:r w:rsidR="00E63FAC" w:rsidRPr="00151443">
              <w:rPr>
                <w:color w:val="0D0D0D" w:themeColor="text1" w:themeTint="F2"/>
                <w:sz w:val="22"/>
              </w:rPr>
              <w:t xml:space="preserve"> </w:t>
            </w:r>
          </w:p>
          <w:p w14:paraId="1164247F" w14:textId="65283754" w:rsidR="24439FD4" w:rsidRDefault="24439FD4" w:rsidP="24439FD4">
            <w:pPr>
              <w:pStyle w:val="Default"/>
              <w:rPr>
                <w:color w:val="0D0D0D" w:themeColor="text1" w:themeTint="F2"/>
                <w:sz w:val="22"/>
                <w:szCs w:val="22"/>
                <w:highlight w:val="yellow"/>
              </w:rPr>
            </w:pPr>
          </w:p>
          <w:p w14:paraId="1F03C149" w14:textId="4DFC962B" w:rsidR="000E1623" w:rsidRDefault="38578E11" w:rsidP="00151443">
            <w:pPr>
              <w:pStyle w:val="NoSpacing"/>
              <w:rPr>
                <w:sz w:val="22"/>
              </w:rPr>
            </w:pPr>
            <w:r w:rsidRPr="00151443">
              <w:rPr>
                <w:sz w:val="22"/>
              </w:rPr>
              <w:t>At the end of KS2, children sat the Reading SATs tests. In this academic year, 79% of children achieved the expected standard in Reading; this was 4% above the national average for the expected standard. In addition, 32% of the cohort achieved greater depth standard (GDS) in Reading. Of these pupils, 33% of disadvantaged pupils (2/6) achieved the expected standard or above (EXS+), including 17% at greater depth (1/6), while 66% achieved working towards the expected standard (WTS) at the end of KS2 in 2024/25. In 2025/26, the focus will be on improving attainment for disadvantaged pupils in Reading. Tailored interventions, teacher-led tutoring and continued teacher assessment will take place to support pupils in achieving their best.</w:t>
            </w:r>
          </w:p>
          <w:p w14:paraId="6E19DAC4" w14:textId="77777777" w:rsidR="00151443" w:rsidRPr="00151443" w:rsidRDefault="00151443" w:rsidP="00151443">
            <w:pPr>
              <w:pStyle w:val="NoSpacing"/>
              <w:rPr>
                <w:sz w:val="22"/>
              </w:rPr>
            </w:pPr>
          </w:p>
          <w:p w14:paraId="6E1AC1E4" w14:textId="77777777" w:rsidR="000E1623" w:rsidRPr="00766116" w:rsidRDefault="000E1623" w:rsidP="000E1623">
            <w:pPr>
              <w:pStyle w:val="Default"/>
              <w:rPr>
                <w:sz w:val="23"/>
                <w:szCs w:val="23"/>
              </w:rPr>
            </w:pPr>
            <w:r w:rsidRPr="24439FD4">
              <w:rPr>
                <w:b/>
                <w:bCs/>
                <w:color w:val="0D0D0D" w:themeColor="text1" w:themeTint="F2"/>
                <w:sz w:val="23"/>
                <w:szCs w:val="23"/>
              </w:rPr>
              <w:t xml:space="preserve">Attainment of disadvantaged children in Maths </w:t>
            </w:r>
          </w:p>
          <w:p w14:paraId="4DE1DF84" w14:textId="7B5C69FE" w:rsidR="0C18D625" w:rsidRPr="00151443" w:rsidRDefault="0C18D625" w:rsidP="00151443">
            <w:pPr>
              <w:pStyle w:val="NoSpacing"/>
              <w:rPr>
                <w:sz w:val="22"/>
              </w:rPr>
            </w:pPr>
            <w:r w:rsidRPr="00151443">
              <w:rPr>
                <w:sz w:val="22"/>
              </w:rPr>
              <w:t>In Maths, we have a well-established progression of skills from EYFS to Year 6. This includes the use of mathematics through stories. Planning and teaching in Mathematics at Bawtry Mayflower are strong, and clear progression is evident in each year group. Our Maths Lead has a passion for mathematics and drives this across the school. She regularly observes, monitors and supports the teaching of Maths throughout the school. She offers support and guidance to those who require it and promotes a strong enthusiasm for mathematics.</w:t>
            </w:r>
          </w:p>
          <w:p w14:paraId="685D0BC7" w14:textId="7249E38C" w:rsidR="0C18D625" w:rsidRPr="00151443" w:rsidRDefault="0C18D625" w:rsidP="00151443">
            <w:pPr>
              <w:pStyle w:val="NoSpacing"/>
              <w:rPr>
                <w:sz w:val="22"/>
              </w:rPr>
            </w:pPr>
            <w:r w:rsidRPr="00151443">
              <w:rPr>
                <w:sz w:val="22"/>
              </w:rPr>
              <w:t>Arithmetic and ‘Number of the Day’ have been a focus across the school, which has led to improved arithmetic outcomes. We are now continuing to develop how we challenge and deepen all children’s mathematical understanding. High-quality tutoring has also been provided to those children who require it (end of KS1 and KS2, as well as other children based on teacher judgement).</w:t>
            </w:r>
          </w:p>
          <w:p w14:paraId="1140BAC2" w14:textId="77777777" w:rsidR="000E1623" w:rsidRPr="00926F59" w:rsidRDefault="000E1623" w:rsidP="000E1623">
            <w:pPr>
              <w:pStyle w:val="Default"/>
              <w:rPr>
                <w:sz w:val="22"/>
                <w:szCs w:val="22"/>
                <w:highlight w:val="yellow"/>
              </w:rPr>
            </w:pPr>
          </w:p>
          <w:p w14:paraId="293FEF15" w14:textId="7400A188" w:rsidR="000E1623" w:rsidRPr="00151443" w:rsidRDefault="15A72EA7" w:rsidP="00151443">
            <w:pPr>
              <w:pStyle w:val="NoSpacing"/>
            </w:pPr>
            <w:r w:rsidRPr="0D802264">
              <w:rPr>
                <w:sz w:val="22"/>
                <w:szCs w:val="22"/>
              </w:rPr>
              <w:t>In EYFS, 65% of children (20/31) achieved the Early Learning Goals at the end of 2024/25. Of disadvantaged pupils, 43% (3/7) achieved the ELGs, while 57% (4/7) were emerging. Nationally, 66.9% of children achieved a Good Level of Development at the end of 2024/25 (we were just 1.9% below the national figure).</w:t>
            </w:r>
          </w:p>
          <w:p w14:paraId="2B71C029" w14:textId="296546A2" w:rsidR="000E1623" w:rsidRPr="00151443" w:rsidRDefault="15A72EA7" w:rsidP="00151443">
            <w:pPr>
              <w:pStyle w:val="NoSpacing"/>
            </w:pPr>
            <w:r w:rsidRPr="0D802264">
              <w:rPr>
                <w:sz w:val="22"/>
                <w:szCs w:val="22"/>
              </w:rPr>
              <w:t>In 2025/26, the focus will be on Early Years staff training, with an emphasis on improving language development and supporting children with more complex needs. This will ensure that all staff have expertise in specific subject knowledge areas and will support efforts to close the attainment gap between disadvantaged and non-disadvantaged children.</w:t>
            </w:r>
          </w:p>
          <w:p w14:paraId="4991A85D" w14:textId="2458A354" w:rsidR="000E1623" w:rsidRPr="00151443" w:rsidRDefault="000E1623" w:rsidP="0D802264">
            <w:pPr>
              <w:pStyle w:val="NoSpacing"/>
              <w:rPr>
                <w:sz w:val="22"/>
                <w:szCs w:val="22"/>
              </w:rPr>
            </w:pPr>
          </w:p>
          <w:p w14:paraId="6E5378EA" w14:textId="23EE3303" w:rsidR="40A4AB05" w:rsidRPr="00151443" w:rsidRDefault="40A4AB05" w:rsidP="00151443">
            <w:pPr>
              <w:pStyle w:val="NoSpacing"/>
              <w:rPr>
                <w:sz w:val="22"/>
              </w:rPr>
            </w:pPr>
            <w:r w:rsidRPr="00151443">
              <w:rPr>
                <w:color w:val="0D0D0D" w:themeColor="text1" w:themeTint="F2"/>
                <w:sz w:val="22"/>
              </w:rPr>
              <w:t>There was no national average available from KS1 data in 2024/25 due to the end of compulsory standardised testing in 2022/23. KS1 results indicated that, in Maths, 76% of children (19/25) achieved the expected standard or above, representing a decrease of 8% compared to the previous year. In addition, 28% of children (7/25) achieved greater depth standard (GDS) in Maths, which is a 6% increase compared to the previous year.</w:t>
            </w:r>
          </w:p>
          <w:p w14:paraId="5DA667D2" w14:textId="3B52671C" w:rsidR="40A4AB05" w:rsidRPr="00151443" w:rsidRDefault="40A4AB05" w:rsidP="00151443">
            <w:pPr>
              <w:pStyle w:val="NoSpacing"/>
              <w:rPr>
                <w:sz w:val="22"/>
              </w:rPr>
            </w:pPr>
            <w:r w:rsidRPr="00151443">
              <w:rPr>
                <w:color w:val="0D0D0D" w:themeColor="text1" w:themeTint="F2"/>
                <w:sz w:val="22"/>
              </w:rPr>
              <w:t>At the end of KS1 in 2024/25, 50% of disadvantaged children (2/4) achieved the expected standard or above in Maths, with 25% (1/4) achieving greater depth. The remaining 50% of disadvantaged children (2/4) were working towards the expected standard (WTS).</w:t>
            </w:r>
          </w:p>
          <w:p w14:paraId="696DA87A" w14:textId="3F593EBB" w:rsidR="000E1623" w:rsidRPr="00151443" w:rsidRDefault="000E1623" w:rsidP="00151443">
            <w:pPr>
              <w:pStyle w:val="NoSpacing"/>
              <w:rPr>
                <w:sz w:val="22"/>
                <w:highlight w:val="yellow"/>
              </w:rPr>
            </w:pPr>
          </w:p>
          <w:p w14:paraId="705A7E6A" w14:textId="45147810" w:rsidR="003F6F5E" w:rsidRPr="00151443" w:rsidRDefault="0FFB4350" w:rsidP="00151443">
            <w:pPr>
              <w:pStyle w:val="NoSpacing"/>
              <w:rPr>
                <w:sz w:val="22"/>
              </w:rPr>
            </w:pPr>
            <w:r w:rsidRPr="00151443">
              <w:rPr>
                <w:rFonts w:cs="Arial"/>
                <w:sz w:val="22"/>
              </w:rPr>
              <w:t>At the end of KS2, Year 6 sat their Maths SATs. In Maths, 71% of children achieved the expected standard at the end of KS2, which is 3% below the national average. In addition, 38% of the cohort achieved the greater depth standard (GDS), which was an increase of 5% compared to the previous year. At the end of KS2 in 2024/25, 33% of disadvantaged children (2/6) achieved the expected standard in Maths, while 66% (4/6) were working towards the expected standard (WTS).</w:t>
            </w:r>
          </w:p>
          <w:p w14:paraId="7F8ABDEB" w14:textId="5C42B41F" w:rsidR="003F6F5E" w:rsidRPr="00151443" w:rsidRDefault="0FFB4350" w:rsidP="00151443">
            <w:pPr>
              <w:pStyle w:val="NoSpacing"/>
              <w:rPr>
                <w:sz w:val="22"/>
              </w:rPr>
            </w:pPr>
            <w:r w:rsidRPr="00151443">
              <w:rPr>
                <w:rFonts w:cs="Arial"/>
                <w:sz w:val="22"/>
              </w:rPr>
              <w:t>In 2025/26, the focus will be on improving attainment for disadvantaged pupils in Maths. Tailored interventions, teacher-led tutoring, Maths-focused CPD and continued teacher assessment will take place to support pupils in achieving their best in Maths</w:t>
            </w:r>
          </w:p>
          <w:p w14:paraId="434B0B61" w14:textId="40DFF65A" w:rsidR="003F6F5E" w:rsidRDefault="003F6F5E" w:rsidP="24439FD4">
            <w:pPr>
              <w:pStyle w:val="Default"/>
              <w:rPr>
                <w:sz w:val="22"/>
                <w:szCs w:val="22"/>
              </w:rPr>
            </w:pPr>
          </w:p>
          <w:p w14:paraId="75BCCD5E" w14:textId="0E2F118B" w:rsidR="000E1623" w:rsidRDefault="000E1623" w:rsidP="000E1623">
            <w:pPr>
              <w:pStyle w:val="Default"/>
              <w:rPr>
                <w:b/>
                <w:bCs/>
                <w:color w:val="0D0D0D" w:themeColor="text1" w:themeTint="F2"/>
                <w:sz w:val="23"/>
                <w:szCs w:val="23"/>
              </w:rPr>
            </w:pPr>
            <w:r w:rsidRPr="24439FD4">
              <w:rPr>
                <w:b/>
                <w:bCs/>
                <w:color w:val="0D0D0D" w:themeColor="text1" w:themeTint="F2"/>
                <w:sz w:val="23"/>
                <w:szCs w:val="23"/>
              </w:rPr>
              <w:t xml:space="preserve">Attainment and progress of children in writing </w:t>
            </w:r>
          </w:p>
          <w:p w14:paraId="3EC0B605" w14:textId="77777777" w:rsidR="00151443" w:rsidRDefault="00151443" w:rsidP="000E1623">
            <w:pPr>
              <w:pStyle w:val="Default"/>
              <w:rPr>
                <w:sz w:val="23"/>
                <w:szCs w:val="23"/>
              </w:rPr>
            </w:pPr>
          </w:p>
          <w:p w14:paraId="580FC0C8" w14:textId="532433FE" w:rsidR="2A03969F" w:rsidRPr="00151443" w:rsidRDefault="2A03969F" w:rsidP="00151443">
            <w:pPr>
              <w:pStyle w:val="NoSpacing"/>
              <w:rPr>
                <w:sz w:val="18"/>
                <w:szCs w:val="20"/>
              </w:rPr>
            </w:pPr>
            <w:r w:rsidRPr="00151443">
              <w:rPr>
                <w:sz w:val="22"/>
              </w:rPr>
              <w:t>In Writing, we have a well-established progression of skills from EYFS to Year 6, broken down into key steps for each key stage and year group. Lessons are well-planned and structured to ensure high-quality teaching, developing writing skills through modelling, independent writing, editing and improving, supported by ongoing teacher assessment. Our English Lead is very passionate about her subject and drives a love of writing across the school. She regularly observes, monitors and supports the teaching of writing, providing targeted feedback to teachers. This has helped to improve writing across the school, particularly at the end of key stages. CPD focused on writing and SPaG has been undertaken and will remain a key focus for 2025/26 to continue raising attainment. High-quality tutoring has also been provided to those children who require it (end of KS1 and KS2, as well as other children based on teacher judgement).</w:t>
            </w:r>
          </w:p>
          <w:p w14:paraId="1DEC7ECB" w14:textId="27F56E06" w:rsidR="24439FD4" w:rsidRPr="00151443" w:rsidRDefault="24439FD4" w:rsidP="00151443">
            <w:pPr>
              <w:pStyle w:val="NoSpacing"/>
              <w:rPr>
                <w:rFonts w:cs="Arial"/>
                <w:sz w:val="22"/>
              </w:rPr>
            </w:pPr>
          </w:p>
          <w:p w14:paraId="5B9BAAB9" w14:textId="17C67964" w:rsidR="68201F4C" w:rsidRDefault="68201F4C" w:rsidP="0D802264">
            <w:pPr>
              <w:pStyle w:val="NoSpacing"/>
            </w:pPr>
            <w:r w:rsidRPr="0D802264">
              <w:rPr>
                <w:sz w:val="22"/>
                <w:szCs w:val="22"/>
              </w:rPr>
              <w:t>In EYFS, 65% of children (20/31) achieved the Early Learning Goals at the end of 2024/25. Of disadvantaged pupils, 43% (3/7) achieved the ELGs, while 57% (4/7) were emerging. Nationally, 66.9% of children achieved a Good Level of Development at the end of 2024/25 (we were just 1.9% below the national figure).</w:t>
            </w:r>
          </w:p>
          <w:p w14:paraId="14B89C86" w14:textId="3675EA42" w:rsidR="68201F4C" w:rsidRDefault="68201F4C" w:rsidP="0D802264">
            <w:pPr>
              <w:pStyle w:val="NoSpacing"/>
            </w:pPr>
            <w:r w:rsidRPr="0D802264">
              <w:rPr>
                <w:sz w:val="22"/>
                <w:szCs w:val="22"/>
              </w:rPr>
              <w:t>In 2025/26, the focus will be on Early Years staff training, with an emphasis on improving language development and supporting children with more complex needs. This will ensure that all staff have expertise in specific subject knowledge areas and will support efforts to close the attainment gap between disadvantaged and non-disadvantaged children.</w:t>
            </w:r>
          </w:p>
          <w:p w14:paraId="5451D6D9" w14:textId="77777777" w:rsidR="000E1623" w:rsidRPr="00151443" w:rsidRDefault="000E1623" w:rsidP="00151443">
            <w:pPr>
              <w:pStyle w:val="NoSpacing"/>
              <w:rPr>
                <w:sz w:val="22"/>
                <w:highlight w:val="yellow"/>
              </w:rPr>
            </w:pPr>
          </w:p>
          <w:p w14:paraId="10F1BDBE" w14:textId="3F48CE21" w:rsidR="67F2FC9A" w:rsidRPr="00151443" w:rsidRDefault="67F2FC9A" w:rsidP="00151443">
            <w:pPr>
              <w:pStyle w:val="NoSpacing"/>
              <w:rPr>
                <w:sz w:val="22"/>
              </w:rPr>
            </w:pPr>
            <w:r w:rsidRPr="00151443">
              <w:rPr>
                <w:color w:val="0D0D0D" w:themeColor="text1" w:themeTint="F2"/>
                <w:sz w:val="22"/>
              </w:rPr>
              <w:t xml:space="preserve">There was no national average available from KS1 data in 2024/25 due to the end of compulsory standardised testing in 2022/23. KS1 results indicated that, in Writing, 76% of children (19/25) achieved the expected standard or above, representing an increase of 4% compared to the previous year. In addition, 12% of children (3/25) achieved greater depth standard (GDS), while 24% of children (6/25) were working towards the expected standard (WTS) or below. </w:t>
            </w:r>
          </w:p>
          <w:p w14:paraId="41B47747" w14:textId="14D8D77B" w:rsidR="67F2FC9A" w:rsidRPr="00151443" w:rsidRDefault="67F2FC9A" w:rsidP="00151443">
            <w:pPr>
              <w:pStyle w:val="NoSpacing"/>
              <w:rPr>
                <w:sz w:val="22"/>
              </w:rPr>
            </w:pPr>
            <w:r w:rsidRPr="00151443">
              <w:rPr>
                <w:color w:val="0D0D0D" w:themeColor="text1" w:themeTint="F2"/>
                <w:sz w:val="22"/>
              </w:rPr>
              <w:t>For Writing, 50% of disadvantaged pupils (2/4) achieved the expected standard, while the remaining 50% (2/4) were working towards the expected standard or below at the end of KS1. A key focus for 2025/26 will be to further improve writing at greater depth, with a whole-school emphasis on SPaG.</w:t>
            </w:r>
          </w:p>
          <w:p w14:paraId="42B4C00C" w14:textId="5656230E" w:rsidR="000E1623" w:rsidRPr="00151443" w:rsidRDefault="000E1623" w:rsidP="00151443">
            <w:pPr>
              <w:pStyle w:val="NoSpacing"/>
              <w:rPr>
                <w:sz w:val="22"/>
                <w:highlight w:val="yellow"/>
              </w:rPr>
            </w:pPr>
          </w:p>
          <w:p w14:paraId="081E4F67" w14:textId="74F56C34" w:rsidR="7C0B6DE6" w:rsidRPr="00151443" w:rsidRDefault="7C0B6DE6" w:rsidP="00151443">
            <w:pPr>
              <w:pStyle w:val="NoSpacing"/>
              <w:rPr>
                <w:sz w:val="22"/>
              </w:rPr>
            </w:pPr>
            <w:r w:rsidRPr="00151443">
              <w:rPr>
                <w:rFonts w:cs="Arial"/>
                <w:sz w:val="22"/>
              </w:rPr>
              <w:t>At the end of KS2, there has been a significant increase in progress this academic year. In Writing, 79% of children achieved the expected standard, which is 7% above the national average. In addition, 26% of children achieved greater depth standard (GDS). This demonstrates the direct impact of the school’s focus on writing and SPaG across the school in 2024/25.</w:t>
            </w:r>
          </w:p>
          <w:p w14:paraId="2F81D99C" w14:textId="16A155E0" w:rsidR="7C0B6DE6" w:rsidRDefault="7C0B6DE6" w:rsidP="00151443">
            <w:pPr>
              <w:pStyle w:val="NoSpacing"/>
              <w:rPr>
                <w:rFonts w:cs="Arial"/>
                <w:sz w:val="22"/>
              </w:rPr>
            </w:pPr>
            <w:r w:rsidRPr="00151443">
              <w:rPr>
                <w:rFonts w:cs="Arial"/>
                <w:sz w:val="22"/>
              </w:rPr>
              <w:t>However, 33% of disadvantaged pupils (2/6) achieved the expected standard or above in Writing, including 17% (1/6) at greater depth, while 66% of disadvantaged pupils (4/6) were working towards the expected standard (WTS) or below. For 2025/26, the focus will be on closing the attainment gap between advantaged and disadvantaged pupils.</w:t>
            </w:r>
          </w:p>
          <w:p w14:paraId="46682BC5" w14:textId="77777777" w:rsidR="00151443" w:rsidRPr="00151443" w:rsidRDefault="00151443" w:rsidP="00151443">
            <w:pPr>
              <w:pStyle w:val="NoSpacing"/>
              <w:rPr>
                <w:sz w:val="22"/>
              </w:rPr>
            </w:pPr>
          </w:p>
          <w:p w14:paraId="60466867" w14:textId="61E1841D" w:rsidR="00151443" w:rsidRDefault="00151443" w:rsidP="00151443">
            <w:pPr>
              <w:pStyle w:val="Default"/>
              <w:rPr>
                <w:b/>
                <w:bCs/>
                <w:color w:val="0D0D0D" w:themeColor="text1" w:themeTint="F2"/>
                <w:sz w:val="23"/>
                <w:szCs w:val="23"/>
              </w:rPr>
            </w:pPr>
            <w:r w:rsidRPr="24439FD4">
              <w:rPr>
                <w:b/>
                <w:bCs/>
                <w:color w:val="0D0D0D" w:themeColor="text1" w:themeTint="F2"/>
                <w:sz w:val="23"/>
                <w:szCs w:val="23"/>
              </w:rPr>
              <w:t>Attainment and progres</w:t>
            </w:r>
            <w:r>
              <w:rPr>
                <w:b/>
                <w:bCs/>
                <w:color w:val="0D0D0D" w:themeColor="text1" w:themeTint="F2"/>
                <w:sz w:val="23"/>
                <w:szCs w:val="23"/>
              </w:rPr>
              <w:t>s of children in SPaG</w:t>
            </w:r>
          </w:p>
          <w:p w14:paraId="2396392F" w14:textId="77777777" w:rsidR="00151443" w:rsidRDefault="00151443" w:rsidP="00151443">
            <w:pPr>
              <w:pStyle w:val="Default"/>
              <w:rPr>
                <w:b/>
                <w:bCs/>
                <w:color w:val="0D0D0D" w:themeColor="text1" w:themeTint="F2"/>
                <w:sz w:val="23"/>
                <w:szCs w:val="23"/>
              </w:rPr>
            </w:pPr>
          </w:p>
          <w:p w14:paraId="645B50DF" w14:textId="5DEEAE20" w:rsidR="4F77BA07" w:rsidRPr="00151443" w:rsidRDefault="4F77BA07" w:rsidP="00151443">
            <w:pPr>
              <w:pStyle w:val="NoSpacing"/>
              <w:rPr>
                <w:sz w:val="22"/>
              </w:rPr>
            </w:pPr>
            <w:r w:rsidRPr="00151443">
              <w:rPr>
                <w:sz w:val="22"/>
              </w:rPr>
              <w:t>There was no national average available from KS1 data in 2024/25 due to the end of compulsory standardised testing in 2022/23. KS1 results indicated that, in SPaG, 76% of children (19/25) achieved the expected standard or above, while 36% of children (9/25) achieved greater depth standard (GDS). In addition, 24% of children (6/25) were working towards the expected standard (WTS) or below.</w:t>
            </w:r>
          </w:p>
          <w:p w14:paraId="43E84EA7" w14:textId="4A532C3C" w:rsidR="4F77BA07" w:rsidRPr="00151443" w:rsidRDefault="4F77BA07" w:rsidP="00151443">
            <w:pPr>
              <w:pStyle w:val="NoSpacing"/>
              <w:rPr>
                <w:sz w:val="22"/>
              </w:rPr>
            </w:pPr>
            <w:r w:rsidRPr="00151443">
              <w:rPr>
                <w:sz w:val="22"/>
              </w:rPr>
              <w:t>For SPaG, 50% of disadvantaged pupils (2/4) achieved greater depth, meaning all those who reached the expected standard or above did so at greater depth. The remaining 50% of disadvantaged pupils (2/4) were working towards the expected standard or below at the end of KS1. SPaG will remain a continuous focus across the school in 2025/26, with an emphasis on closing the attainment gap between disadvantaged and non-disadvantaged pupils.</w:t>
            </w:r>
          </w:p>
          <w:p w14:paraId="4978DE23" w14:textId="77777777" w:rsidR="00CE6ED6" w:rsidRPr="00151443" w:rsidRDefault="00CE6ED6" w:rsidP="00151443">
            <w:pPr>
              <w:pStyle w:val="NoSpacing"/>
              <w:rPr>
                <w:sz w:val="22"/>
              </w:rPr>
            </w:pPr>
          </w:p>
          <w:p w14:paraId="7AA4D878" w14:textId="723C6CB3" w:rsidR="560797A3" w:rsidRPr="00151443" w:rsidRDefault="560797A3" w:rsidP="00151443">
            <w:pPr>
              <w:pStyle w:val="NoSpacing"/>
              <w:rPr>
                <w:sz w:val="22"/>
              </w:rPr>
            </w:pPr>
            <w:r w:rsidRPr="00151443">
              <w:rPr>
                <w:rFonts w:cs="Arial"/>
                <w:sz w:val="22"/>
              </w:rPr>
              <w:lastRenderedPageBreak/>
              <w:t>At the end of KS2, in SPaG, 71% of children achieved the expected standard, which is 2% below the national average. In addition, 26% of children achieved greater depth standard (GDS).</w:t>
            </w:r>
          </w:p>
          <w:p w14:paraId="36757803" w14:textId="5427B471" w:rsidR="560797A3" w:rsidRPr="00151443" w:rsidRDefault="560797A3" w:rsidP="00151443">
            <w:pPr>
              <w:pStyle w:val="NoSpacing"/>
              <w:rPr>
                <w:sz w:val="22"/>
              </w:rPr>
            </w:pPr>
            <w:r w:rsidRPr="00151443">
              <w:rPr>
                <w:rFonts w:cs="Arial"/>
                <w:sz w:val="22"/>
              </w:rPr>
              <w:t>Of disadvantaged pupils, 33% (2/6) achieved the expected standard or above, including 17% (1/6) at greater depth, while the remaining 66% (4/6) were working towards the expected standard (WTS) or below.</w:t>
            </w:r>
          </w:p>
          <w:p w14:paraId="615746ED" w14:textId="67E7091A" w:rsidR="560797A3" w:rsidRPr="00151443" w:rsidRDefault="560797A3" w:rsidP="00151443">
            <w:pPr>
              <w:pStyle w:val="NoSpacing"/>
              <w:rPr>
                <w:sz w:val="22"/>
              </w:rPr>
            </w:pPr>
            <w:r w:rsidRPr="00151443">
              <w:rPr>
                <w:rFonts w:cs="Arial"/>
                <w:sz w:val="22"/>
              </w:rPr>
              <w:t>For 2025/26, the focus will be on continuing to improve writing with a particular emphasis on SPaG, especially for disadvantaged pupils, to close the attainment gap and raise overall standards across the school.</w:t>
            </w:r>
          </w:p>
          <w:p w14:paraId="1EC06D51" w14:textId="64AB70A3" w:rsidR="005224A0" w:rsidRPr="00F37C3E" w:rsidRDefault="005224A0" w:rsidP="00884291">
            <w:pPr>
              <w:pStyle w:val="NoSpacing"/>
            </w:pPr>
          </w:p>
          <w:p w14:paraId="23029880" w14:textId="6A183BE8" w:rsidR="00884291" w:rsidRPr="00F37C3E" w:rsidRDefault="1CD72506" w:rsidP="54FBBCF6">
            <w:pPr>
              <w:pStyle w:val="NoSpacing"/>
              <w:rPr>
                <w:b/>
                <w:bCs/>
              </w:rPr>
            </w:pPr>
            <w:r w:rsidRPr="54FBBCF6">
              <w:rPr>
                <w:sz w:val="22"/>
                <w:szCs w:val="22"/>
              </w:rPr>
              <w:t xml:space="preserve"> </w:t>
            </w:r>
            <w:r w:rsidR="61A58D7C" w:rsidRPr="54FBBCF6">
              <w:rPr>
                <w:b/>
                <w:bCs/>
                <w:u w:val="single"/>
              </w:rPr>
              <w:t>Wellbeing of children who are disadvantaged</w:t>
            </w:r>
            <w:r w:rsidR="2C7D59AF" w:rsidRPr="54FBBCF6">
              <w:rPr>
                <w:b/>
                <w:bCs/>
                <w:u w:val="single"/>
              </w:rPr>
              <w:t>/Engagement of parents of children who are disadvantaged</w:t>
            </w:r>
            <w:r w:rsidR="2C7D59AF" w:rsidRPr="54FBBCF6">
              <w:rPr>
                <w:b/>
                <w:bCs/>
              </w:rPr>
              <w:t>.</w:t>
            </w:r>
          </w:p>
          <w:p w14:paraId="0351388E" w14:textId="6F83371B" w:rsidR="00564C23" w:rsidRDefault="00564C23" w:rsidP="00884291">
            <w:pPr>
              <w:pStyle w:val="NoSpacing"/>
              <w:rPr>
                <w:b/>
              </w:rPr>
            </w:pPr>
          </w:p>
          <w:p w14:paraId="33EDF2A2" w14:textId="4104DBCE" w:rsidR="00884291" w:rsidRDefault="26E91331" w:rsidP="00884291">
            <w:pPr>
              <w:pStyle w:val="NoSpacing"/>
            </w:pPr>
            <w:r w:rsidRPr="24439FD4">
              <w:rPr>
                <w:sz w:val="22"/>
                <w:szCs w:val="22"/>
              </w:rPr>
              <w:t>Our Family Manager works closely with all staff, members of the community, and the children and parents of our school. She continuously liaises with outside agencies to ensure that the needs of children, parents, and staff are met and supported wherever possible. She consistently checks, updates, and manages CPOMs, communicates with relevant services when required, and provides staff with resources to support or speak with parents and carers regarding any concerns.</w:t>
            </w:r>
            <w:r w:rsidR="006622E3">
              <w:rPr>
                <w:sz w:val="22"/>
                <w:szCs w:val="22"/>
              </w:rPr>
              <w:t xml:space="preserve"> </w:t>
            </w:r>
            <w:r w:rsidRPr="24439FD4">
              <w:rPr>
                <w:sz w:val="22"/>
                <w:szCs w:val="22"/>
              </w:rPr>
              <w:t>She is trained as a Solihull practitioner and delivers these sessions to parents within our school community, which has had a direct impact on the behaviour and wellbeing of children. She is also the designated LAC teacher, supporting children who are looked after. This includes participating in Core Meetings concerning these children and supporting teachers and teaching assistants to provide targeted interventions. This work is linked to the Pupil Premium+ funding received for LAC children.</w:t>
            </w:r>
          </w:p>
          <w:p w14:paraId="68E65611" w14:textId="0D3FBA42" w:rsidR="00884291" w:rsidRDefault="006622E3" w:rsidP="00884291">
            <w:pPr>
              <w:pStyle w:val="NoSpacing"/>
            </w:pPr>
            <w:r>
              <w:rPr>
                <w:sz w:val="22"/>
                <w:szCs w:val="22"/>
              </w:rPr>
              <w:t>Our</w:t>
            </w:r>
            <w:r w:rsidR="26E91331" w:rsidRPr="24439FD4">
              <w:rPr>
                <w:sz w:val="22"/>
                <w:szCs w:val="22"/>
              </w:rPr>
              <w:t xml:space="preserve"> Family Manager has established an ‘open door’ policy and regular drop-in sessions, allowing children, families, and the local community to access support from her or signposted services such as WMIM, Early Help, the School Nursing Team, and SEND. She meets regularly with the Headteacher and members of SLT to discuss pastoral support, wellbeing, interventions, and behavioural needs. Displays around school encourage children to discuss their feelings, express themselves using a variety of methods, and use strategies to self-regulate to access learning.</w:t>
            </w:r>
          </w:p>
          <w:p w14:paraId="1187B666" w14:textId="42BB4572" w:rsidR="00884291" w:rsidRDefault="26E91331" w:rsidP="00884291">
            <w:pPr>
              <w:pStyle w:val="NoSpacing"/>
            </w:pPr>
            <w:r w:rsidRPr="37239E98">
              <w:rPr>
                <w:sz w:val="22"/>
                <w:szCs w:val="22"/>
              </w:rPr>
              <w:t xml:space="preserve">After-school and dinner-time clubs provide quiet spaces for vulnerable children and are available to all children from EYFS to Year 6. </w:t>
            </w:r>
            <w:r w:rsidR="1A93878F" w:rsidRPr="37239E98">
              <w:rPr>
                <w:sz w:val="22"/>
                <w:szCs w:val="22"/>
              </w:rPr>
              <w:t>Our</w:t>
            </w:r>
            <w:r w:rsidRPr="37239E98">
              <w:rPr>
                <w:sz w:val="22"/>
                <w:szCs w:val="22"/>
              </w:rPr>
              <w:t xml:space="preserve"> Family Manager also delivers targeted interventions, including Drawing &amp; Talking (trauma threshold), Lego Therapy, P4P, sensory circuits, and self-regulation sessions. Lunchtime clubs, workshops, assemblies, and family drop-ins are provided to all children and individually tailored for those requiring additional support.</w:t>
            </w:r>
            <w:r w:rsidR="006622E3" w:rsidRPr="37239E98">
              <w:rPr>
                <w:sz w:val="22"/>
                <w:szCs w:val="22"/>
              </w:rPr>
              <w:t xml:space="preserve"> </w:t>
            </w:r>
            <w:r w:rsidRPr="37239E98">
              <w:rPr>
                <w:sz w:val="22"/>
                <w:szCs w:val="22"/>
              </w:rPr>
              <w:t>Each child is assigned a ‘Special Adult’ whom they can speak to if they have concerns, worries, or simply need time to talk. This is reviewed every half term to ensure children have someone they can approach openly. A ‘Class and Vulnerable List’ enables staff, SLT, and the Family Manager to provide daily or weekly check-ins for children in need.</w:t>
            </w:r>
          </w:p>
          <w:p w14:paraId="0146B747" w14:textId="4B8748C9" w:rsidR="00884291" w:rsidRDefault="26E91331" w:rsidP="00884291">
            <w:pPr>
              <w:pStyle w:val="NoSpacing"/>
            </w:pPr>
            <w:r w:rsidRPr="24439FD4">
              <w:rPr>
                <w:sz w:val="22"/>
                <w:szCs w:val="22"/>
              </w:rPr>
              <w:t>The Family Manager supports children’s behaviour, promotes child voice, seeks SEND and mental health support, provides staff training based on current school needs (e.g., Mental Health or Trauma), ensures supervision, makes referrals to relevant services, checks in on families, and coordinates a team-around-the-child approach. She completes school EPeeps (Personal Education Plans), evaluates the effectiveness of programs and services, and implements new or updated strategies when required.</w:t>
            </w:r>
          </w:p>
          <w:p w14:paraId="4099C4F1" w14:textId="47D110ED" w:rsidR="00884291" w:rsidRDefault="26E91331" w:rsidP="00884291">
            <w:pPr>
              <w:pStyle w:val="NoSpacing"/>
            </w:pPr>
            <w:r w:rsidRPr="37239E98">
              <w:rPr>
                <w:sz w:val="22"/>
                <w:szCs w:val="22"/>
              </w:rPr>
              <w:t>Alongside this, our SENDCO works tirelessly to support all pupils, including disadvantaged children with SEND and SEMH needs. The Family Manager monitors, assesses, and implements new strategies in collaboration with parents and the Bawtry Mayflower Team to ensure all children’s holistic needs are met.</w:t>
            </w:r>
          </w:p>
          <w:p w14:paraId="65A24C00" w14:textId="77777777" w:rsidR="006622E3" w:rsidRDefault="006622E3" w:rsidP="00884291">
            <w:pPr>
              <w:pStyle w:val="NoSpacing"/>
            </w:pPr>
          </w:p>
          <w:p w14:paraId="16B2F475" w14:textId="29C81030" w:rsidR="00884291" w:rsidRPr="000E1623" w:rsidRDefault="2840B7AA" w:rsidP="0D802264">
            <w:pPr>
              <w:pStyle w:val="NoSpacing"/>
              <w:rPr>
                <w:u w:val="single"/>
              </w:rPr>
            </w:pPr>
            <w:r w:rsidRPr="0D802264">
              <w:rPr>
                <w:b/>
                <w:bCs/>
                <w:u w:val="single"/>
              </w:rPr>
              <w:t>Attendance</w:t>
            </w:r>
          </w:p>
          <w:p w14:paraId="5052873A" w14:textId="1740C6B9" w:rsidR="7F68C0D6" w:rsidRDefault="7F68C0D6" w:rsidP="37239E98">
            <w:pPr>
              <w:pStyle w:val="NoSpacing"/>
            </w:pPr>
            <w:r w:rsidRPr="37239E98">
              <w:rPr>
                <w:rFonts w:eastAsia="Arial" w:cs="Arial"/>
                <w:sz w:val="22"/>
                <w:szCs w:val="22"/>
              </w:rPr>
              <w:t xml:space="preserve">Attendance for disadvantaged pupils was 93.3% in 2023/24, with a 2% gap between disadvantaged and non-disadvantaged pupils. This represented a significant improvement compared with the previous two years. However, by June 2025, the gap had widened to 6%, </w:t>
            </w:r>
            <w:r w:rsidRPr="37239E98">
              <w:rPr>
                <w:rFonts w:eastAsia="Arial" w:cs="Arial"/>
                <w:sz w:val="22"/>
                <w:szCs w:val="22"/>
              </w:rPr>
              <w:lastRenderedPageBreak/>
              <w:t>indicating that attendance for disadvantaged pupils has not improved at the same rate as that of their peers.</w:t>
            </w:r>
          </w:p>
          <w:p w14:paraId="56BBCDE7" w14:textId="65EA86B8" w:rsidR="7F68C0D6" w:rsidRDefault="7F68C0D6" w:rsidP="37239E98">
            <w:pPr>
              <w:pStyle w:val="NoSpacing"/>
            </w:pPr>
            <w:r w:rsidRPr="37239E98">
              <w:rPr>
                <w:rFonts w:eastAsia="Arial" w:cs="Arial"/>
                <w:sz w:val="22"/>
                <w:szCs w:val="22"/>
              </w:rPr>
              <w:t xml:space="preserve">Although the overall Pupil Premium attendance gap has widened, many individual pupils are making progress, with improvements in attendance despite some ongoing issues with lateness. </w:t>
            </w:r>
            <w:r w:rsidR="3366E824" w:rsidRPr="37239E98">
              <w:rPr>
                <w:rFonts w:eastAsia="Arial" w:cs="Arial"/>
                <w:sz w:val="22"/>
                <w:szCs w:val="22"/>
              </w:rPr>
              <w:t>Our</w:t>
            </w:r>
            <w:r w:rsidRPr="37239E98">
              <w:rPr>
                <w:rFonts w:eastAsia="Arial" w:cs="Arial"/>
                <w:sz w:val="22"/>
                <w:szCs w:val="22"/>
              </w:rPr>
              <w:t xml:space="preserve"> school received recognition for being in the top 25% of FFT schools in England for 2024/25, demonstrating that pupils are accessing learning consistently throughout the year. Whole-school attendance rose from 89.2% in December 2024 to 96% in December 2025.</w:t>
            </w:r>
          </w:p>
          <w:p w14:paraId="10E2065F" w14:textId="1A33B33B" w:rsidR="7F68C0D6" w:rsidRDefault="7F68C0D6" w:rsidP="37239E98">
            <w:pPr>
              <w:pStyle w:val="NoSpacing"/>
            </w:pPr>
            <w:r w:rsidRPr="37239E98">
              <w:rPr>
                <w:rFonts w:eastAsia="Arial" w:cs="Arial"/>
                <w:sz w:val="22"/>
                <w:szCs w:val="22"/>
              </w:rPr>
              <w:t>Attendance for both the whole school and Pupil Premium pupils will continue to be closely monitored throughout 2025/26 to ensure these improvements are sustained and the gap is addressed</w:t>
            </w:r>
          </w:p>
          <w:p w14:paraId="53578CBB" w14:textId="4D30685A" w:rsidR="37239E98" w:rsidRDefault="37239E98" w:rsidP="37239E98">
            <w:pPr>
              <w:pStyle w:val="NoSpacing"/>
              <w:rPr>
                <w:rFonts w:eastAsia="Arial" w:cs="Arial"/>
                <w:sz w:val="22"/>
                <w:szCs w:val="22"/>
              </w:rPr>
            </w:pPr>
          </w:p>
          <w:p w14:paraId="6114FF9A" w14:textId="79727376" w:rsidR="0D802264" w:rsidRDefault="32A17E59" w:rsidP="0D802264">
            <w:pPr>
              <w:pStyle w:val="NoSpacing"/>
            </w:pPr>
            <w:r w:rsidRPr="37239E98">
              <w:rPr>
                <w:sz w:val="22"/>
                <w:szCs w:val="22"/>
              </w:rPr>
              <w:t>To support further improvements,</w:t>
            </w:r>
            <w:r w:rsidR="006622E3" w:rsidRPr="37239E98">
              <w:rPr>
                <w:sz w:val="22"/>
                <w:szCs w:val="22"/>
              </w:rPr>
              <w:t xml:space="preserve"> our</w:t>
            </w:r>
            <w:r w:rsidRPr="37239E98">
              <w:rPr>
                <w:sz w:val="22"/>
                <w:szCs w:val="22"/>
              </w:rPr>
              <w:t xml:space="preserve"> school is implementing the HERO and MAYFLOWER reward systems, which are having a positive impact across all pupil groups, including disadvantaged pupils. The pastoral team meets regularly to review attendance data, discuss concerns, and develop strategies to engage disadvantaged families and address barriers to attendance. </w:t>
            </w:r>
            <w:r w:rsidR="5C14BAC8" w:rsidRPr="37239E98">
              <w:rPr>
                <w:sz w:val="22"/>
                <w:szCs w:val="22"/>
              </w:rPr>
              <w:t>Support such as breakfast club and after-school club</w:t>
            </w:r>
            <w:r w:rsidR="006622E3" w:rsidRPr="37239E98">
              <w:rPr>
                <w:sz w:val="22"/>
                <w:szCs w:val="22"/>
              </w:rPr>
              <w:t>,</w:t>
            </w:r>
            <w:r w:rsidR="5C14BAC8" w:rsidRPr="37239E98">
              <w:rPr>
                <w:sz w:val="22"/>
                <w:szCs w:val="22"/>
              </w:rPr>
              <w:t xml:space="preserve"> continues to encourage punctuality and consistent attendance, enabling disadvantaged pupils to fully access learning and contributing to closing the attendance gap.</w:t>
            </w:r>
          </w:p>
          <w:p w14:paraId="099463DA" w14:textId="77777777" w:rsidR="000E1623" w:rsidRDefault="000E1623" w:rsidP="0045233B">
            <w:pPr>
              <w:pStyle w:val="NoSpacing"/>
              <w:rPr>
                <w:sz w:val="22"/>
                <w:szCs w:val="22"/>
              </w:rPr>
            </w:pPr>
          </w:p>
          <w:p w14:paraId="6D00C393" w14:textId="667D2580" w:rsidR="000E1623" w:rsidRPr="003D4FF7" w:rsidRDefault="000E1623" w:rsidP="0045233B">
            <w:pPr>
              <w:pStyle w:val="NoSpacing"/>
              <w:rPr>
                <w:b/>
                <w:szCs w:val="22"/>
                <w:u w:val="single"/>
              </w:rPr>
            </w:pPr>
            <w:r w:rsidRPr="24439FD4">
              <w:rPr>
                <w:b/>
                <w:bCs/>
                <w:u w:val="single"/>
              </w:rPr>
              <w:t xml:space="preserve">Wider Curriculum </w:t>
            </w:r>
          </w:p>
          <w:p w14:paraId="16A75A6D" w14:textId="7C059466" w:rsidR="4EDF52B0" w:rsidRDefault="4EDF52B0" w:rsidP="24439FD4">
            <w:pPr>
              <w:pStyle w:val="NoSpacing"/>
            </w:pPr>
            <w:r w:rsidRPr="24439FD4">
              <w:rPr>
                <w:sz w:val="22"/>
                <w:szCs w:val="22"/>
              </w:rPr>
              <w:t>All children at Bawtry Mayflower have the opportunity to attend school trips, with funding provided for Pupil Premium children. This year, children have participated in a variety of trips and experiences within school, many of which they may never have encountered before. These include residential trips, museum visits, castle trips, seaside visits, playing a musical instrument, performing in a band, singing in choir, swim safety sessions, Big Talk workshops, Great Fire of London experiences, Young Voices, visits from local professionals, and many more.</w:t>
            </w:r>
          </w:p>
          <w:p w14:paraId="4AAD14C5" w14:textId="36F8A35F" w:rsidR="4EDF52B0" w:rsidRDefault="4EDF52B0" w:rsidP="24439FD4">
            <w:pPr>
              <w:pStyle w:val="NoSpacing"/>
            </w:pPr>
            <w:r w:rsidRPr="37239E98">
              <w:rPr>
                <w:sz w:val="22"/>
                <w:szCs w:val="22"/>
              </w:rPr>
              <w:t>These experiences give children the opportunity to explore life beyond Bawtry and the surrounding towns. They have visited the theatre, the seaside, and famous landmarks; shared rooms on residential trips; travelled by train, tube, or coach; tried new foods; learned about the past; visited churches and other religious buildings; practised road</w:t>
            </w:r>
            <w:r w:rsidR="4B50856C" w:rsidRPr="37239E98">
              <w:rPr>
                <w:sz w:val="22"/>
                <w:szCs w:val="22"/>
              </w:rPr>
              <w:t>-</w:t>
            </w:r>
            <w:r w:rsidRPr="37239E98">
              <w:rPr>
                <w:sz w:val="22"/>
                <w:szCs w:val="22"/>
              </w:rPr>
              <w:t>crossing etiquette; developed social skills for behaving appropriately in public; bought items from shops; and worked collaboratively to support each other.</w:t>
            </w:r>
          </w:p>
          <w:p w14:paraId="69575B12" w14:textId="0EC871C0" w:rsidR="4EDF52B0" w:rsidRDefault="4EDF52B0" w:rsidP="24439FD4">
            <w:pPr>
              <w:pStyle w:val="NoSpacing"/>
            </w:pPr>
            <w:r w:rsidRPr="24439FD4">
              <w:rPr>
                <w:sz w:val="22"/>
                <w:szCs w:val="22"/>
              </w:rPr>
              <w:t>Each trip is planned with a focus on curriculum knowledge, ensuring that children develop and reinforce skills relevant to their learning. Importantly, trips also prepare children for adulthood, teaching essential life skills such as road safety, appropriate behaviour in different public situations, and respect for others.</w:t>
            </w:r>
          </w:p>
          <w:p w14:paraId="400BB5FC" w14:textId="793201E5" w:rsidR="4EDF52B0" w:rsidRDefault="4EDF52B0" w:rsidP="24439FD4">
            <w:pPr>
              <w:pStyle w:val="NoSpacing"/>
            </w:pPr>
            <w:r w:rsidRPr="37239E98">
              <w:rPr>
                <w:sz w:val="22"/>
                <w:szCs w:val="22"/>
              </w:rPr>
              <w:t xml:space="preserve">For 2025/26, the focus will be on funding school trips. </w:t>
            </w:r>
            <w:r w:rsidR="2DF847C4" w:rsidRPr="37239E98">
              <w:rPr>
                <w:sz w:val="22"/>
                <w:szCs w:val="22"/>
              </w:rPr>
              <w:t xml:space="preserve">Our </w:t>
            </w:r>
            <w:r w:rsidRPr="37239E98">
              <w:rPr>
                <w:sz w:val="22"/>
                <w:szCs w:val="22"/>
              </w:rPr>
              <w:t>school is considering options to fund 50% of all children’s day trips and 75% of residential trips, with parents or carers contributing the remaining cost.</w:t>
            </w:r>
          </w:p>
          <w:p w14:paraId="7F147529" w14:textId="3BD2F9E6" w:rsidR="003D4FF7" w:rsidRDefault="003D4FF7" w:rsidP="002E1492">
            <w:pPr>
              <w:pStyle w:val="NoSpacing"/>
              <w:rPr>
                <w:sz w:val="22"/>
                <w:szCs w:val="22"/>
              </w:rPr>
            </w:pPr>
          </w:p>
          <w:p w14:paraId="27C9B3D0" w14:textId="091CC52C" w:rsidR="003D4FF7" w:rsidRPr="003F6F5E" w:rsidRDefault="003D4FF7" w:rsidP="002E1492">
            <w:pPr>
              <w:pStyle w:val="NoSpacing"/>
              <w:rPr>
                <w:b/>
                <w:szCs w:val="22"/>
                <w:u w:val="single"/>
              </w:rPr>
            </w:pPr>
            <w:r w:rsidRPr="003F6F5E">
              <w:rPr>
                <w:b/>
                <w:szCs w:val="22"/>
                <w:u w:val="single"/>
              </w:rPr>
              <w:t>Parental Engagement</w:t>
            </w:r>
          </w:p>
          <w:p w14:paraId="50235904" w14:textId="6C3DE555" w:rsidR="000E1623" w:rsidRPr="003F6F5E" w:rsidRDefault="000E1623" w:rsidP="0045233B">
            <w:pPr>
              <w:pStyle w:val="NoSpacing"/>
              <w:rPr>
                <w:sz w:val="22"/>
                <w:szCs w:val="22"/>
              </w:rPr>
            </w:pPr>
          </w:p>
          <w:p w14:paraId="210BA03B" w14:textId="1D5F5382" w:rsidR="0E319B5B" w:rsidRDefault="0E319B5B" w:rsidP="24439FD4">
            <w:pPr>
              <w:pStyle w:val="NoSpacing"/>
            </w:pPr>
            <w:r w:rsidRPr="24439FD4">
              <w:rPr>
                <w:sz w:val="22"/>
                <w:szCs w:val="22"/>
              </w:rPr>
              <w:t>All parents are actively engaged in the life of our school and its community. Parents are regularly offered access to educational, pastoral, and parenting support. This is demonstrated through attendance at workshops and inclusion mornings, engagement with home learning, participation in parental support sessions (Solihull/Early Help), and attendance at meetings such as those for SATs, residential trips, and school events.</w:t>
            </w:r>
          </w:p>
          <w:p w14:paraId="1F654C77" w14:textId="1D3E1740" w:rsidR="0E319B5B" w:rsidRDefault="0E319B5B" w:rsidP="24439FD4">
            <w:pPr>
              <w:pStyle w:val="NoSpacing"/>
            </w:pPr>
            <w:r w:rsidRPr="24439FD4">
              <w:rPr>
                <w:sz w:val="22"/>
                <w:szCs w:val="22"/>
              </w:rPr>
              <w:t>This year, parents have participated in a range of activities, including Early Years workshops focusing on numeracy, literacy, gross and fine motor skills, and emotional and social development. Other events have included Carols around the Tree, residential meetings, VE Day celebrations, SATs meetings, Phonics Screening meetings, school trips meetings, class assemblies, the Summer Fayre, and Sports Day, where parents are invited to participate.</w:t>
            </w:r>
          </w:p>
          <w:p w14:paraId="5E905B3A" w14:textId="2EF7ACEE" w:rsidR="0E319B5B" w:rsidRDefault="1297391D" w:rsidP="08506009">
            <w:pPr>
              <w:pStyle w:val="NoSpacing"/>
              <w:rPr>
                <w:sz w:val="22"/>
                <w:szCs w:val="22"/>
              </w:rPr>
            </w:pPr>
            <w:r w:rsidRPr="08506009">
              <w:rPr>
                <w:sz w:val="22"/>
                <w:szCs w:val="22"/>
              </w:rPr>
              <w:t>Our</w:t>
            </w:r>
            <w:r w:rsidR="0E319B5B" w:rsidRPr="08506009">
              <w:rPr>
                <w:sz w:val="22"/>
                <w:szCs w:val="22"/>
              </w:rPr>
              <w:t xml:space="preserve"> school uses ‘School Spider’ to communicate with parents, providing weekly updates on class learning and achievements. Since the introduction of School Spider, parental engagement has noticeably increased, with more parents attending events, accessing support, and engaging with their child’s learning at home. This includes parents attending Solihull </w:t>
            </w:r>
            <w:r w:rsidR="0E319B5B" w:rsidRPr="08506009">
              <w:rPr>
                <w:sz w:val="22"/>
                <w:szCs w:val="22"/>
              </w:rPr>
              <w:lastRenderedPageBreak/>
              <w:t>sessions and inclusion mornings, where they can discuss concerns, receive guidance, and develop strategies to support their child’s learning and wellbeing. This has strengthened the partnership between school and families, ensuring parents are fully involved in their child’s education.</w:t>
            </w:r>
          </w:p>
          <w:p w14:paraId="3638E57A" w14:textId="5F5DF884" w:rsidR="0E319B5B" w:rsidRDefault="0E319B5B" w:rsidP="24439FD4">
            <w:pPr>
              <w:pStyle w:val="NoSpacing"/>
            </w:pPr>
            <w:r w:rsidRPr="24439FD4">
              <w:rPr>
                <w:sz w:val="22"/>
                <w:szCs w:val="22"/>
              </w:rPr>
              <w:t>Since September 2024, we have seen an overall increase in parental engagement across the school, particularly among parents of children who are Pupil Premium, EYPP, LAC, PLAC, or SPP.</w:t>
            </w:r>
          </w:p>
          <w:p w14:paraId="153E9B09" w14:textId="77777777" w:rsidR="003F6F5E" w:rsidRDefault="003F6F5E" w:rsidP="002E1492">
            <w:pPr>
              <w:pStyle w:val="NoSpacing"/>
              <w:rPr>
                <w:sz w:val="22"/>
                <w:szCs w:val="22"/>
              </w:rPr>
            </w:pPr>
          </w:p>
          <w:p w14:paraId="7DB1F6CE" w14:textId="6801C203" w:rsidR="003F6F5E" w:rsidRPr="002F4C6F" w:rsidRDefault="2C71E535" w:rsidP="24439FD4">
            <w:pPr>
              <w:pStyle w:val="NoSpacing"/>
            </w:pPr>
            <w:r w:rsidRPr="24439FD4">
              <w:rPr>
                <w:b/>
                <w:bCs/>
                <w:u w:val="single"/>
              </w:rPr>
              <w:t>Next Steps for 2025/26</w:t>
            </w:r>
          </w:p>
          <w:p w14:paraId="044D399A" w14:textId="77777777" w:rsidR="00CD08A0" w:rsidRPr="00CD08A0" w:rsidRDefault="00CD08A0" w:rsidP="00CD08A0">
            <w:pPr>
              <w:pStyle w:val="ListParagraph"/>
              <w:rPr>
                <w:rFonts w:eastAsia="Arial" w:cs="Arial"/>
                <w:sz w:val="22"/>
                <w:szCs w:val="22"/>
              </w:rPr>
            </w:pPr>
            <w:r w:rsidRPr="00CD08A0">
              <w:rPr>
                <w:rFonts w:eastAsia="Arial" w:cs="Arial"/>
                <w:sz w:val="22"/>
                <w:szCs w:val="22"/>
              </w:rPr>
              <w:t>Early Years staff training focusing on improving language development and supporting children with more complex needs. Ensure all staff have expertise in specific subject knowledge areas.</w:t>
            </w:r>
          </w:p>
          <w:p w14:paraId="750786CD" w14:textId="3BC570F6" w:rsidR="003F6F5E" w:rsidRPr="002F4C6F" w:rsidRDefault="2C71E535" w:rsidP="24439FD4">
            <w:pPr>
              <w:pStyle w:val="ListParagraph"/>
              <w:spacing w:before="240"/>
              <w:rPr>
                <w:rFonts w:eastAsia="Arial" w:cs="Arial"/>
                <w:sz w:val="22"/>
                <w:szCs w:val="22"/>
              </w:rPr>
            </w:pPr>
            <w:r w:rsidRPr="24439FD4">
              <w:rPr>
                <w:rFonts w:eastAsia="Arial" w:cs="Arial"/>
                <w:sz w:val="22"/>
                <w:szCs w:val="22"/>
              </w:rPr>
              <w:t>Continued delivery of tailored interventions based on the needs of new cohorts.</w:t>
            </w:r>
          </w:p>
          <w:p w14:paraId="35BF56D2" w14:textId="44E2607B" w:rsidR="003F6F5E" w:rsidRPr="002F4C6F" w:rsidRDefault="2C71E535" w:rsidP="24439FD4">
            <w:pPr>
              <w:pStyle w:val="ListParagraph"/>
              <w:spacing w:before="240"/>
              <w:rPr>
                <w:rFonts w:eastAsia="Arial" w:cs="Arial"/>
                <w:sz w:val="22"/>
                <w:szCs w:val="22"/>
              </w:rPr>
            </w:pPr>
            <w:r w:rsidRPr="24439FD4">
              <w:rPr>
                <w:rFonts w:eastAsia="Arial" w:cs="Arial"/>
                <w:sz w:val="22"/>
                <w:szCs w:val="22"/>
              </w:rPr>
              <w:t>Analyse current attainment to identify gaps and plan strategies to further close the achievement gap.</w:t>
            </w:r>
          </w:p>
          <w:p w14:paraId="0F847D06" w14:textId="3A823BB7" w:rsidR="003F6F5E" w:rsidRPr="002F4C6F" w:rsidRDefault="2C71E535" w:rsidP="24439FD4">
            <w:pPr>
              <w:pStyle w:val="ListParagraph"/>
              <w:spacing w:before="240"/>
              <w:rPr>
                <w:rFonts w:eastAsia="Arial" w:cs="Arial"/>
                <w:sz w:val="22"/>
                <w:szCs w:val="22"/>
              </w:rPr>
            </w:pPr>
            <w:r w:rsidRPr="37239E98">
              <w:rPr>
                <w:rFonts w:eastAsia="Arial" w:cs="Arial"/>
                <w:sz w:val="22"/>
                <w:szCs w:val="22"/>
              </w:rPr>
              <w:t>Ensure high-quality teaching across school, with a particular focus on closing the attainment gap for disadvantaged pupils in all areas.</w:t>
            </w:r>
          </w:p>
          <w:p w14:paraId="791EE2BF" w14:textId="11B12C68" w:rsidR="003F6F5E" w:rsidRPr="002F4C6F" w:rsidRDefault="2C71E535" w:rsidP="24439FD4">
            <w:pPr>
              <w:pStyle w:val="ListParagraph"/>
              <w:spacing w:before="240"/>
              <w:rPr>
                <w:rFonts w:eastAsia="Arial" w:cs="Arial"/>
                <w:sz w:val="22"/>
                <w:szCs w:val="22"/>
              </w:rPr>
            </w:pPr>
            <w:r w:rsidRPr="24439FD4">
              <w:rPr>
                <w:rFonts w:eastAsia="Arial" w:cs="Arial"/>
                <w:sz w:val="22"/>
                <w:szCs w:val="22"/>
              </w:rPr>
              <w:t>Implement a tailored CPD timetable aligned with the School Improvement Plan for 2025–26.</w:t>
            </w:r>
          </w:p>
          <w:p w14:paraId="79009D7D" w14:textId="50B2CA13" w:rsidR="003F6F5E" w:rsidRPr="002F4C6F" w:rsidRDefault="2C71E535" w:rsidP="24439FD4">
            <w:pPr>
              <w:pStyle w:val="ListParagraph"/>
              <w:spacing w:before="240"/>
              <w:rPr>
                <w:rFonts w:eastAsia="Arial" w:cs="Arial"/>
                <w:sz w:val="22"/>
                <w:szCs w:val="22"/>
              </w:rPr>
            </w:pPr>
            <w:r w:rsidRPr="24439FD4">
              <w:rPr>
                <w:rFonts w:eastAsia="Arial" w:cs="Arial"/>
                <w:sz w:val="22"/>
                <w:szCs w:val="22"/>
              </w:rPr>
              <w:t>Address attendance by closing the gap between advantaged and disadvantaged pupils and reducing persistent lateness, particularly for Pupil Premium students.</w:t>
            </w:r>
          </w:p>
          <w:p w14:paraId="242EF7B8" w14:textId="5A448674" w:rsidR="003F6F5E" w:rsidRPr="002F4C6F" w:rsidRDefault="2C71E535" w:rsidP="24439FD4">
            <w:pPr>
              <w:pStyle w:val="ListParagraph"/>
              <w:spacing w:before="240"/>
              <w:rPr>
                <w:rFonts w:eastAsia="Arial" w:cs="Arial"/>
                <w:sz w:val="22"/>
                <w:szCs w:val="22"/>
              </w:rPr>
            </w:pPr>
            <w:r w:rsidRPr="24439FD4">
              <w:rPr>
                <w:rFonts w:eastAsia="Arial" w:cs="Arial"/>
                <w:sz w:val="22"/>
                <w:szCs w:val="22"/>
              </w:rPr>
              <w:t>Review and plan costings for school trips to ensure accessibility for all pupils.</w:t>
            </w:r>
          </w:p>
          <w:p w14:paraId="5023926C" w14:textId="6C24DED6" w:rsidR="003F6F5E" w:rsidRPr="002F4C6F" w:rsidRDefault="2C71E535" w:rsidP="24439FD4">
            <w:pPr>
              <w:pStyle w:val="ListParagraph"/>
              <w:spacing w:before="240"/>
              <w:rPr>
                <w:rFonts w:eastAsia="Arial" w:cs="Arial"/>
                <w:sz w:val="22"/>
                <w:szCs w:val="22"/>
              </w:rPr>
            </w:pPr>
            <w:r w:rsidRPr="24439FD4">
              <w:rPr>
                <w:rFonts w:eastAsia="Arial" w:cs="Arial"/>
                <w:sz w:val="22"/>
                <w:szCs w:val="22"/>
              </w:rPr>
              <w:t>Develop strategies to support Pupil Premium children and those with complex needs or behavioural challenges.</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C366CCB" w:rsidR="00E66558" w:rsidRDefault="004B4BFE" w:rsidP="00F54FCB">
            <w:pPr>
              <w:pStyle w:val="TableRow"/>
              <w:ind w:left="0" w:right="0"/>
            </w:pPr>
            <w:r>
              <w:t xml:space="preserve">Motional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841DF5C" w:rsidR="00E66558" w:rsidRDefault="00C273A3" w:rsidP="00F54FCB">
            <w:pPr>
              <w:pStyle w:val="TableRowCentered"/>
              <w:ind w:left="0" w:right="0"/>
              <w:jc w:val="left"/>
            </w:pPr>
            <w:r>
              <w:t xml:space="preserve">Motional- Emotional Well-being &amp; Mental Health online.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84F61E0" w:rsidR="00E66558" w:rsidRDefault="000B4827" w:rsidP="00F54FCB">
            <w:pPr>
              <w:pStyle w:val="TableRow"/>
              <w:ind w:left="0" w:right="0"/>
            </w:pPr>
            <w:r>
              <w:t xml:space="preserve">Solihull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48DFFAD" w:rsidR="00E66558" w:rsidRDefault="00C273A3" w:rsidP="00F54FCB">
            <w:pPr>
              <w:pStyle w:val="TableRowCentered"/>
              <w:ind w:left="0" w:right="0"/>
              <w:jc w:val="left"/>
            </w:pPr>
            <w:r>
              <w:t>NHS</w:t>
            </w:r>
          </w:p>
        </w:tc>
      </w:tr>
      <w:tr w:rsidR="00C273A3" w14:paraId="43EE19D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1DFC1" w14:textId="5F8E09F2" w:rsidR="00C273A3" w:rsidRDefault="00C273A3" w:rsidP="00F54FCB">
            <w:pPr>
              <w:pStyle w:val="TableRow"/>
              <w:ind w:left="0" w:right="0"/>
            </w:pPr>
            <w:r>
              <w:t>With Me in Mind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BFF7" w14:textId="31A6EB73" w:rsidR="00C273A3" w:rsidRDefault="00C273A3" w:rsidP="00F54FCB">
            <w:pPr>
              <w:pStyle w:val="TableRowCentered"/>
              <w:ind w:left="0" w:right="0"/>
              <w:jc w:val="left"/>
            </w:pPr>
            <w:r>
              <w:t>NHS</w:t>
            </w:r>
          </w:p>
        </w:tc>
      </w:tr>
      <w:tr w:rsidR="006C158E" w14:paraId="38A0DA3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2563" w14:textId="38FCC75D" w:rsidR="006C158E" w:rsidRDefault="006C158E" w:rsidP="00F54FCB">
            <w:pPr>
              <w:pStyle w:val="TableRow"/>
              <w:ind w:left="0" w:right="0"/>
            </w:pPr>
            <w:r w:rsidRPr="006C158E">
              <w:t xml:space="preserve">Premier League Primary Stars </w:t>
            </w:r>
            <w:r>
              <w:t xml:space="preserve">Reading </w:t>
            </w:r>
            <w:r w:rsidRPr="006C158E">
              <w:t>project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F619" w14:textId="495E706B" w:rsidR="006C158E" w:rsidRDefault="001F199D" w:rsidP="00F54FCB">
            <w:pPr>
              <w:pStyle w:val="TableRowCentered"/>
              <w:ind w:left="0" w:right="0"/>
              <w:jc w:val="left"/>
            </w:pPr>
            <w:r>
              <w:t xml:space="preserve">Premier League Primary Stars. </w:t>
            </w:r>
          </w:p>
        </w:tc>
      </w:tr>
    </w:tbl>
    <w:p w14:paraId="2A7D5553" w14:textId="193B71B2" w:rsidR="00E66558" w:rsidRDefault="00E66558" w:rsidP="0008384B"/>
    <w:bookmarkEnd w:id="15"/>
    <w:bookmarkEnd w:id="16"/>
    <w:bookmarkEnd w:id="17"/>
    <w:p w14:paraId="2A7D5564" w14:textId="546CD5F1" w:rsidR="00E66558" w:rsidRDefault="00E66558"/>
    <w:sectPr w:rsidR="00E66558">
      <w:footerReference w:type="default" r:id="rId6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C856" w14:textId="77777777" w:rsidR="00061105" w:rsidRDefault="00061105">
      <w:pPr>
        <w:spacing w:after="0" w:line="240" w:lineRule="auto"/>
      </w:pPr>
      <w:r>
        <w:separator/>
      </w:r>
    </w:p>
  </w:endnote>
  <w:endnote w:type="continuationSeparator" w:id="0">
    <w:p w14:paraId="7B2BDC33" w14:textId="77777777" w:rsidR="00061105" w:rsidRDefault="00061105">
      <w:pPr>
        <w:spacing w:after="0" w:line="240" w:lineRule="auto"/>
      </w:pPr>
      <w:r>
        <w:continuationSeparator/>
      </w:r>
    </w:p>
  </w:endnote>
  <w:endnote w:type="continuationNotice" w:id="1">
    <w:p w14:paraId="392A724E" w14:textId="77777777" w:rsidR="00061105" w:rsidRDefault="00061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46107B56" w:rsidR="002E1492" w:rsidRDefault="002E1492">
    <w:pPr>
      <w:pStyle w:val="Footer"/>
      <w:ind w:firstLine="4513"/>
    </w:pPr>
    <w:r>
      <w:fldChar w:fldCharType="begin"/>
    </w:r>
    <w:r>
      <w:instrText xml:space="preserve"> PAGE </w:instrText>
    </w:r>
    <w:r>
      <w:fldChar w:fldCharType="separate"/>
    </w:r>
    <w:r w:rsidR="00C55C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A4078" w14:textId="77777777" w:rsidR="00061105" w:rsidRDefault="00061105">
      <w:pPr>
        <w:spacing w:after="0" w:line="240" w:lineRule="auto"/>
      </w:pPr>
      <w:r>
        <w:separator/>
      </w:r>
    </w:p>
  </w:footnote>
  <w:footnote w:type="continuationSeparator" w:id="0">
    <w:p w14:paraId="6C46439C" w14:textId="77777777" w:rsidR="00061105" w:rsidRDefault="00061105">
      <w:pPr>
        <w:spacing w:after="0" w:line="240" w:lineRule="auto"/>
      </w:pPr>
      <w:r>
        <w:continuationSeparator/>
      </w:r>
    </w:p>
  </w:footnote>
  <w:footnote w:type="continuationNotice" w:id="1">
    <w:p w14:paraId="3841F7DB" w14:textId="77777777" w:rsidR="00061105" w:rsidRDefault="00061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E6115BF"/>
    <w:multiLevelType w:val="hybridMultilevel"/>
    <w:tmpl w:val="09DEF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E468EC"/>
    <w:multiLevelType w:val="hybridMultilevel"/>
    <w:tmpl w:val="CBA8939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9"/>
  </w:num>
  <w:num w:numId="7">
    <w:abstractNumId w:val="13"/>
  </w:num>
  <w:num w:numId="8">
    <w:abstractNumId w:val="17"/>
  </w:num>
  <w:num w:numId="9">
    <w:abstractNumId w:val="15"/>
  </w:num>
  <w:num w:numId="10">
    <w:abstractNumId w:val="14"/>
  </w:num>
  <w:num w:numId="11">
    <w:abstractNumId w:val="5"/>
  </w:num>
  <w:num w:numId="12">
    <w:abstractNumId w:val="16"/>
  </w:num>
  <w:num w:numId="13">
    <w:abstractNumId w:val="12"/>
  </w:num>
  <w:num w:numId="14">
    <w:abstractNumId w:val="10"/>
  </w:num>
  <w:num w:numId="15">
    <w:abstractNumId w:val="2"/>
  </w:num>
  <w:num w:numId="16">
    <w:abstractNumId w:val="1"/>
  </w:num>
  <w:num w:numId="17">
    <w:abstractNumId w:val="11"/>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4184"/>
    <w:rsid w:val="00036678"/>
    <w:rsid w:val="000452EB"/>
    <w:rsid w:val="00045603"/>
    <w:rsid w:val="000463AE"/>
    <w:rsid w:val="000507A3"/>
    <w:rsid w:val="00052379"/>
    <w:rsid w:val="00060A62"/>
    <w:rsid w:val="00061105"/>
    <w:rsid w:val="00064366"/>
    <w:rsid w:val="00066B73"/>
    <w:rsid w:val="00071481"/>
    <w:rsid w:val="00071D77"/>
    <w:rsid w:val="00071E9F"/>
    <w:rsid w:val="00075FAE"/>
    <w:rsid w:val="00082F38"/>
    <w:rsid w:val="000837DB"/>
    <w:rsid w:val="0008384B"/>
    <w:rsid w:val="000929EC"/>
    <w:rsid w:val="00093CDE"/>
    <w:rsid w:val="000A4774"/>
    <w:rsid w:val="000A5C58"/>
    <w:rsid w:val="000A6379"/>
    <w:rsid w:val="000B0D49"/>
    <w:rsid w:val="000B203E"/>
    <w:rsid w:val="000B4827"/>
    <w:rsid w:val="000C4DDC"/>
    <w:rsid w:val="000D22B0"/>
    <w:rsid w:val="000D318D"/>
    <w:rsid w:val="000D35C9"/>
    <w:rsid w:val="000D3A89"/>
    <w:rsid w:val="000D520C"/>
    <w:rsid w:val="000D6596"/>
    <w:rsid w:val="000D6779"/>
    <w:rsid w:val="000E1623"/>
    <w:rsid w:val="000E69CD"/>
    <w:rsid w:val="000E6DF0"/>
    <w:rsid w:val="000F6FD6"/>
    <w:rsid w:val="001037CB"/>
    <w:rsid w:val="0010629E"/>
    <w:rsid w:val="00114288"/>
    <w:rsid w:val="00115538"/>
    <w:rsid w:val="00116FA8"/>
    <w:rsid w:val="00120AB1"/>
    <w:rsid w:val="00122246"/>
    <w:rsid w:val="00123A7F"/>
    <w:rsid w:val="001278D0"/>
    <w:rsid w:val="00127F72"/>
    <w:rsid w:val="00140646"/>
    <w:rsid w:val="0014116A"/>
    <w:rsid w:val="0014409B"/>
    <w:rsid w:val="00147A4B"/>
    <w:rsid w:val="00151443"/>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35EB"/>
    <w:rsid w:val="001C1C51"/>
    <w:rsid w:val="001D4FC9"/>
    <w:rsid w:val="001E0ECA"/>
    <w:rsid w:val="001E206F"/>
    <w:rsid w:val="001E3517"/>
    <w:rsid w:val="001E5750"/>
    <w:rsid w:val="001E66BA"/>
    <w:rsid w:val="001E7739"/>
    <w:rsid w:val="001F168B"/>
    <w:rsid w:val="001F199D"/>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1BB"/>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1492"/>
    <w:rsid w:val="002E66AE"/>
    <w:rsid w:val="002E7763"/>
    <w:rsid w:val="002F4C6F"/>
    <w:rsid w:val="002F5011"/>
    <w:rsid w:val="002F5842"/>
    <w:rsid w:val="002F7847"/>
    <w:rsid w:val="00306CB7"/>
    <w:rsid w:val="00307ABF"/>
    <w:rsid w:val="003111F5"/>
    <w:rsid w:val="00317664"/>
    <w:rsid w:val="00320730"/>
    <w:rsid w:val="00336200"/>
    <w:rsid w:val="00337418"/>
    <w:rsid w:val="0034717D"/>
    <w:rsid w:val="00351D83"/>
    <w:rsid w:val="00352197"/>
    <w:rsid w:val="00353C30"/>
    <w:rsid w:val="00353E46"/>
    <w:rsid w:val="003576C4"/>
    <w:rsid w:val="0036277A"/>
    <w:rsid w:val="00366AB0"/>
    <w:rsid w:val="003700E8"/>
    <w:rsid w:val="003732A4"/>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D4FF7"/>
    <w:rsid w:val="003E054C"/>
    <w:rsid w:val="003E1EC5"/>
    <w:rsid w:val="003E27A0"/>
    <w:rsid w:val="003E3872"/>
    <w:rsid w:val="003F05EC"/>
    <w:rsid w:val="003F6F5E"/>
    <w:rsid w:val="004035DD"/>
    <w:rsid w:val="004044AA"/>
    <w:rsid w:val="004044C8"/>
    <w:rsid w:val="00404F3F"/>
    <w:rsid w:val="00410B5D"/>
    <w:rsid w:val="00413BEC"/>
    <w:rsid w:val="00416A3B"/>
    <w:rsid w:val="0042265E"/>
    <w:rsid w:val="00424ED7"/>
    <w:rsid w:val="00425258"/>
    <w:rsid w:val="00426217"/>
    <w:rsid w:val="00431A80"/>
    <w:rsid w:val="00433641"/>
    <w:rsid w:val="00435A89"/>
    <w:rsid w:val="00452267"/>
    <w:rsid w:val="0045233B"/>
    <w:rsid w:val="00453307"/>
    <w:rsid w:val="00454EE1"/>
    <w:rsid w:val="00455A02"/>
    <w:rsid w:val="00457E36"/>
    <w:rsid w:val="00460BD3"/>
    <w:rsid w:val="00462F8F"/>
    <w:rsid w:val="004708F2"/>
    <w:rsid w:val="004724DE"/>
    <w:rsid w:val="004770FE"/>
    <w:rsid w:val="0048157F"/>
    <w:rsid w:val="00481D56"/>
    <w:rsid w:val="00490408"/>
    <w:rsid w:val="00494F59"/>
    <w:rsid w:val="004A2BFD"/>
    <w:rsid w:val="004A4C45"/>
    <w:rsid w:val="004A55C4"/>
    <w:rsid w:val="004B0485"/>
    <w:rsid w:val="004B0ED7"/>
    <w:rsid w:val="004B1F58"/>
    <w:rsid w:val="004B428E"/>
    <w:rsid w:val="004B4BFE"/>
    <w:rsid w:val="004B4D0A"/>
    <w:rsid w:val="004B4D37"/>
    <w:rsid w:val="004C42F0"/>
    <w:rsid w:val="004D50C8"/>
    <w:rsid w:val="004D5D60"/>
    <w:rsid w:val="004D6B72"/>
    <w:rsid w:val="004E03D5"/>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0FE7"/>
    <w:rsid w:val="005224A0"/>
    <w:rsid w:val="00530E37"/>
    <w:rsid w:val="00535946"/>
    <w:rsid w:val="005452CF"/>
    <w:rsid w:val="005464A1"/>
    <w:rsid w:val="00546F12"/>
    <w:rsid w:val="0055167E"/>
    <w:rsid w:val="0055339C"/>
    <w:rsid w:val="005542CC"/>
    <w:rsid w:val="00560424"/>
    <w:rsid w:val="00562B3C"/>
    <w:rsid w:val="005646FA"/>
    <w:rsid w:val="00564C23"/>
    <w:rsid w:val="00564E40"/>
    <w:rsid w:val="00567069"/>
    <w:rsid w:val="005702D2"/>
    <w:rsid w:val="00573E1D"/>
    <w:rsid w:val="005750E2"/>
    <w:rsid w:val="0058313F"/>
    <w:rsid w:val="0058322F"/>
    <w:rsid w:val="00585859"/>
    <w:rsid w:val="00586FBC"/>
    <w:rsid w:val="005879C9"/>
    <w:rsid w:val="00594CAD"/>
    <w:rsid w:val="0059604E"/>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11D9"/>
    <w:rsid w:val="00603C04"/>
    <w:rsid w:val="00606521"/>
    <w:rsid w:val="00607CEB"/>
    <w:rsid w:val="00613299"/>
    <w:rsid w:val="0061762D"/>
    <w:rsid w:val="00627F29"/>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22E3"/>
    <w:rsid w:val="006652DD"/>
    <w:rsid w:val="006671BF"/>
    <w:rsid w:val="00671AEB"/>
    <w:rsid w:val="006728B6"/>
    <w:rsid w:val="00672A7D"/>
    <w:rsid w:val="00681416"/>
    <w:rsid w:val="006A06F5"/>
    <w:rsid w:val="006A0ED2"/>
    <w:rsid w:val="006B0A73"/>
    <w:rsid w:val="006B44F2"/>
    <w:rsid w:val="006B5A6B"/>
    <w:rsid w:val="006B7F24"/>
    <w:rsid w:val="006C0F82"/>
    <w:rsid w:val="006C158E"/>
    <w:rsid w:val="006C2301"/>
    <w:rsid w:val="006C25E8"/>
    <w:rsid w:val="006C332E"/>
    <w:rsid w:val="006C5901"/>
    <w:rsid w:val="006D00F1"/>
    <w:rsid w:val="006D377A"/>
    <w:rsid w:val="006D4222"/>
    <w:rsid w:val="006D6372"/>
    <w:rsid w:val="006D68C4"/>
    <w:rsid w:val="006D6E5C"/>
    <w:rsid w:val="006E02AF"/>
    <w:rsid w:val="006E0786"/>
    <w:rsid w:val="006E3DA2"/>
    <w:rsid w:val="006E6B4A"/>
    <w:rsid w:val="006E7449"/>
    <w:rsid w:val="006E7FB1"/>
    <w:rsid w:val="006F2604"/>
    <w:rsid w:val="006F5319"/>
    <w:rsid w:val="006F55FD"/>
    <w:rsid w:val="006F5D21"/>
    <w:rsid w:val="007039F8"/>
    <w:rsid w:val="007061DA"/>
    <w:rsid w:val="007109F6"/>
    <w:rsid w:val="00711BE3"/>
    <w:rsid w:val="00714AB8"/>
    <w:rsid w:val="00721B51"/>
    <w:rsid w:val="00722CB3"/>
    <w:rsid w:val="00724594"/>
    <w:rsid w:val="00724FA7"/>
    <w:rsid w:val="00725415"/>
    <w:rsid w:val="007262CC"/>
    <w:rsid w:val="00727505"/>
    <w:rsid w:val="00731581"/>
    <w:rsid w:val="0073481D"/>
    <w:rsid w:val="00741B9E"/>
    <w:rsid w:val="00743DAC"/>
    <w:rsid w:val="00744F36"/>
    <w:rsid w:val="007455B3"/>
    <w:rsid w:val="007502CD"/>
    <w:rsid w:val="00752AE7"/>
    <w:rsid w:val="00752D3B"/>
    <w:rsid w:val="0075337B"/>
    <w:rsid w:val="00755CD4"/>
    <w:rsid w:val="00757CA7"/>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E4FAE"/>
    <w:rsid w:val="007F06E5"/>
    <w:rsid w:val="007F5B8B"/>
    <w:rsid w:val="00805BC0"/>
    <w:rsid w:val="00814FB9"/>
    <w:rsid w:val="00817E9A"/>
    <w:rsid w:val="00827786"/>
    <w:rsid w:val="00827BDA"/>
    <w:rsid w:val="00830D57"/>
    <w:rsid w:val="00831F00"/>
    <w:rsid w:val="00850CA0"/>
    <w:rsid w:val="00850D79"/>
    <w:rsid w:val="00852A2F"/>
    <w:rsid w:val="008607B7"/>
    <w:rsid w:val="008608EE"/>
    <w:rsid w:val="00860B07"/>
    <w:rsid w:val="008616F6"/>
    <w:rsid w:val="0086259C"/>
    <w:rsid w:val="008674ED"/>
    <w:rsid w:val="0087074C"/>
    <w:rsid w:val="00874913"/>
    <w:rsid w:val="008751F1"/>
    <w:rsid w:val="008817D5"/>
    <w:rsid w:val="00883F24"/>
    <w:rsid w:val="00884291"/>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94698"/>
    <w:rsid w:val="009A1DC2"/>
    <w:rsid w:val="009A5C68"/>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02B2"/>
    <w:rsid w:val="00A44FBB"/>
    <w:rsid w:val="00A50104"/>
    <w:rsid w:val="00A51C53"/>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A6B4B"/>
    <w:rsid w:val="00AB24FA"/>
    <w:rsid w:val="00AB5161"/>
    <w:rsid w:val="00AD0A34"/>
    <w:rsid w:val="00AD7B5A"/>
    <w:rsid w:val="00AE194C"/>
    <w:rsid w:val="00AE229F"/>
    <w:rsid w:val="00AE62B6"/>
    <w:rsid w:val="00AF0618"/>
    <w:rsid w:val="00AF5E20"/>
    <w:rsid w:val="00B002FA"/>
    <w:rsid w:val="00B00327"/>
    <w:rsid w:val="00B024B3"/>
    <w:rsid w:val="00B04C31"/>
    <w:rsid w:val="00B11DE8"/>
    <w:rsid w:val="00B12368"/>
    <w:rsid w:val="00B179ED"/>
    <w:rsid w:val="00B20E18"/>
    <w:rsid w:val="00B331E1"/>
    <w:rsid w:val="00B36BC4"/>
    <w:rsid w:val="00B4093A"/>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273A3"/>
    <w:rsid w:val="00C31636"/>
    <w:rsid w:val="00C31BB8"/>
    <w:rsid w:val="00C373EA"/>
    <w:rsid w:val="00C43CA3"/>
    <w:rsid w:val="00C43D9D"/>
    <w:rsid w:val="00C43EA4"/>
    <w:rsid w:val="00C50040"/>
    <w:rsid w:val="00C52DFF"/>
    <w:rsid w:val="00C55CED"/>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D08A0"/>
    <w:rsid w:val="00CE0BB8"/>
    <w:rsid w:val="00CE6ED6"/>
    <w:rsid w:val="00CE7E1B"/>
    <w:rsid w:val="00D04F25"/>
    <w:rsid w:val="00D06874"/>
    <w:rsid w:val="00D07530"/>
    <w:rsid w:val="00D07FCB"/>
    <w:rsid w:val="00D173F7"/>
    <w:rsid w:val="00D20203"/>
    <w:rsid w:val="00D204E0"/>
    <w:rsid w:val="00D21354"/>
    <w:rsid w:val="00D22400"/>
    <w:rsid w:val="00D23F4A"/>
    <w:rsid w:val="00D264E2"/>
    <w:rsid w:val="00D278BA"/>
    <w:rsid w:val="00D27A65"/>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0320"/>
    <w:rsid w:val="00DC641A"/>
    <w:rsid w:val="00DD21A1"/>
    <w:rsid w:val="00DD6225"/>
    <w:rsid w:val="00DD68FB"/>
    <w:rsid w:val="00DD6B7D"/>
    <w:rsid w:val="00DD6E14"/>
    <w:rsid w:val="00DE15AC"/>
    <w:rsid w:val="00DE6A16"/>
    <w:rsid w:val="00DF2015"/>
    <w:rsid w:val="00E061EC"/>
    <w:rsid w:val="00E0696B"/>
    <w:rsid w:val="00E10E81"/>
    <w:rsid w:val="00E13E51"/>
    <w:rsid w:val="00E21F56"/>
    <w:rsid w:val="00E23D2B"/>
    <w:rsid w:val="00E3014F"/>
    <w:rsid w:val="00E34D98"/>
    <w:rsid w:val="00E4286E"/>
    <w:rsid w:val="00E43EAD"/>
    <w:rsid w:val="00E62DCB"/>
    <w:rsid w:val="00E63FAC"/>
    <w:rsid w:val="00E651DD"/>
    <w:rsid w:val="00E66558"/>
    <w:rsid w:val="00E67D10"/>
    <w:rsid w:val="00E70002"/>
    <w:rsid w:val="00E70D81"/>
    <w:rsid w:val="00E726A6"/>
    <w:rsid w:val="00E73418"/>
    <w:rsid w:val="00E8109E"/>
    <w:rsid w:val="00E85C23"/>
    <w:rsid w:val="00E86C0E"/>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2733"/>
    <w:rsid w:val="00F15753"/>
    <w:rsid w:val="00F21F92"/>
    <w:rsid w:val="00F24A7E"/>
    <w:rsid w:val="00F32ABA"/>
    <w:rsid w:val="00F33DC0"/>
    <w:rsid w:val="00F33F28"/>
    <w:rsid w:val="00F35A40"/>
    <w:rsid w:val="00F35FDE"/>
    <w:rsid w:val="00F37C3E"/>
    <w:rsid w:val="00F40DE1"/>
    <w:rsid w:val="00F40EA6"/>
    <w:rsid w:val="00F4142A"/>
    <w:rsid w:val="00F54FCB"/>
    <w:rsid w:val="00F62587"/>
    <w:rsid w:val="00F631A6"/>
    <w:rsid w:val="00F63E9E"/>
    <w:rsid w:val="00F63FEA"/>
    <w:rsid w:val="00F66AA7"/>
    <w:rsid w:val="00F75603"/>
    <w:rsid w:val="00F76843"/>
    <w:rsid w:val="00F776E1"/>
    <w:rsid w:val="00F77E8D"/>
    <w:rsid w:val="00F925EB"/>
    <w:rsid w:val="00F97033"/>
    <w:rsid w:val="00FA5625"/>
    <w:rsid w:val="00FA6DD0"/>
    <w:rsid w:val="00FB6CE0"/>
    <w:rsid w:val="00FC28DF"/>
    <w:rsid w:val="00FD1780"/>
    <w:rsid w:val="00FD2297"/>
    <w:rsid w:val="00FD406D"/>
    <w:rsid w:val="00FD6AC6"/>
    <w:rsid w:val="00FE3136"/>
    <w:rsid w:val="00FE50A3"/>
    <w:rsid w:val="00FE5204"/>
    <w:rsid w:val="00FE604C"/>
    <w:rsid w:val="00FF2000"/>
    <w:rsid w:val="00FF369D"/>
    <w:rsid w:val="00FF6CA3"/>
    <w:rsid w:val="00FF6FB0"/>
    <w:rsid w:val="00FF79A8"/>
    <w:rsid w:val="0225B2DC"/>
    <w:rsid w:val="03034963"/>
    <w:rsid w:val="03073CE8"/>
    <w:rsid w:val="03A4BA9D"/>
    <w:rsid w:val="0492BA30"/>
    <w:rsid w:val="04B69E90"/>
    <w:rsid w:val="056B7B21"/>
    <w:rsid w:val="05B6D577"/>
    <w:rsid w:val="05E92E35"/>
    <w:rsid w:val="069AA0E3"/>
    <w:rsid w:val="06BE0AD2"/>
    <w:rsid w:val="073F269F"/>
    <w:rsid w:val="07FFD3D3"/>
    <w:rsid w:val="08506009"/>
    <w:rsid w:val="094E0972"/>
    <w:rsid w:val="09A95C73"/>
    <w:rsid w:val="0ACD8B0E"/>
    <w:rsid w:val="0B240EAF"/>
    <w:rsid w:val="0C18D625"/>
    <w:rsid w:val="0CD9A3B7"/>
    <w:rsid w:val="0D5AFB78"/>
    <w:rsid w:val="0D802264"/>
    <w:rsid w:val="0DD57D39"/>
    <w:rsid w:val="0DE4A4C2"/>
    <w:rsid w:val="0E319B5B"/>
    <w:rsid w:val="0E85F59E"/>
    <w:rsid w:val="0EADC1C6"/>
    <w:rsid w:val="0ED3DDCF"/>
    <w:rsid w:val="0F362146"/>
    <w:rsid w:val="0FFB4350"/>
    <w:rsid w:val="1120B1B4"/>
    <w:rsid w:val="11CF6A69"/>
    <w:rsid w:val="1297391D"/>
    <w:rsid w:val="12AB5FB8"/>
    <w:rsid w:val="13173609"/>
    <w:rsid w:val="133AD311"/>
    <w:rsid w:val="14E89079"/>
    <w:rsid w:val="15511BA4"/>
    <w:rsid w:val="15A72EA7"/>
    <w:rsid w:val="16C40A36"/>
    <w:rsid w:val="17854BDF"/>
    <w:rsid w:val="17A9C522"/>
    <w:rsid w:val="18AB7FB5"/>
    <w:rsid w:val="18AF6780"/>
    <w:rsid w:val="19474B40"/>
    <w:rsid w:val="1A172959"/>
    <w:rsid w:val="1A92EB44"/>
    <w:rsid w:val="1A93878F"/>
    <w:rsid w:val="1BA19C6F"/>
    <w:rsid w:val="1CBF4D92"/>
    <w:rsid w:val="1CD72506"/>
    <w:rsid w:val="1D1F3C51"/>
    <w:rsid w:val="1D288CFC"/>
    <w:rsid w:val="1D6C7404"/>
    <w:rsid w:val="1DBE34BF"/>
    <w:rsid w:val="1DC71D1D"/>
    <w:rsid w:val="1E4EAB3A"/>
    <w:rsid w:val="1E718D8B"/>
    <w:rsid w:val="1FF4C2CB"/>
    <w:rsid w:val="1FF981A5"/>
    <w:rsid w:val="20671DCD"/>
    <w:rsid w:val="20737210"/>
    <w:rsid w:val="20752A31"/>
    <w:rsid w:val="2152D9BA"/>
    <w:rsid w:val="2256BAC8"/>
    <w:rsid w:val="24439FD4"/>
    <w:rsid w:val="2497129E"/>
    <w:rsid w:val="24EBF3D8"/>
    <w:rsid w:val="25C84C11"/>
    <w:rsid w:val="266F06C9"/>
    <w:rsid w:val="26C1F61C"/>
    <w:rsid w:val="26E91331"/>
    <w:rsid w:val="27573C4C"/>
    <w:rsid w:val="27E67AE3"/>
    <w:rsid w:val="2840B7AA"/>
    <w:rsid w:val="2860AB8E"/>
    <w:rsid w:val="291449FB"/>
    <w:rsid w:val="29D2B5A6"/>
    <w:rsid w:val="2A03969F"/>
    <w:rsid w:val="2A2ED02B"/>
    <w:rsid w:val="2A44C80B"/>
    <w:rsid w:val="2C3B62C0"/>
    <w:rsid w:val="2C71E535"/>
    <w:rsid w:val="2C7D59AF"/>
    <w:rsid w:val="2DDA438B"/>
    <w:rsid w:val="2DF847C4"/>
    <w:rsid w:val="2EE00905"/>
    <w:rsid w:val="2FD2578D"/>
    <w:rsid w:val="2FFB967E"/>
    <w:rsid w:val="303F5AD2"/>
    <w:rsid w:val="3073026D"/>
    <w:rsid w:val="31404651"/>
    <w:rsid w:val="31CC4DD9"/>
    <w:rsid w:val="321F6A55"/>
    <w:rsid w:val="327CF0F5"/>
    <w:rsid w:val="32A17E59"/>
    <w:rsid w:val="333CDE9E"/>
    <w:rsid w:val="3360E1DD"/>
    <w:rsid w:val="3366E824"/>
    <w:rsid w:val="33FA4013"/>
    <w:rsid w:val="3450AEF6"/>
    <w:rsid w:val="34C38EC6"/>
    <w:rsid w:val="3589076B"/>
    <w:rsid w:val="3610E109"/>
    <w:rsid w:val="37239E98"/>
    <w:rsid w:val="3776C7B8"/>
    <w:rsid w:val="37D371E8"/>
    <w:rsid w:val="37E2A5CA"/>
    <w:rsid w:val="380BAE89"/>
    <w:rsid w:val="38578E11"/>
    <w:rsid w:val="3972D22B"/>
    <w:rsid w:val="3997B3DF"/>
    <w:rsid w:val="3A3F1ACF"/>
    <w:rsid w:val="3BE13FA2"/>
    <w:rsid w:val="3C5A6419"/>
    <w:rsid w:val="3CAE92C3"/>
    <w:rsid w:val="3CCE4579"/>
    <w:rsid w:val="3D4E0B40"/>
    <w:rsid w:val="3D91081F"/>
    <w:rsid w:val="3E6E1C88"/>
    <w:rsid w:val="3EA4202B"/>
    <w:rsid w:val="3F01889E"/>
    <w:rsid w:val="3F573BFF"/>
    <w:rsid w:val="3FC5610C"/>
    <w:rsid w:val="407F390E"/>
    <w:rsid w:val="40A4AB05"/>
    <w:rsid w:val="418407A1"/>
    <w:rsid w:val="42946F3C"/>
    <w:rsid w:val="42CFAD30"/>
    <w:rsid w:val="42EBBE77"/>
    <w:rsid w:val="43D839B7"/>
    <w:rsid w:val="4538A26A"/>
    <w:rsid w:val="489B6673"/>
    <w:rsid w:val="48C5E6DD"/>
    <w:rsid w:val="491CAD10"/>
    <w:rsid w:val="491E3A64"/>
    <w:rsid w:val="4935461D"/>
    <w:rsid w:val="4B179B17"/>
    <w:rsid w:val="4B50856C"/>
    <w:rsid w:val="4B817E4D"/>
    <w:rsid w:val="4B8F56CF"/>
    <w:rsid w:val="4BF28559"/>
    <w:rsid w:val="4BF69EA0"/>
    <w:rsid w:val="4DC82B7D"/>
    <w:rsid w:val="4DDD7C10"/>
    <w:rsid w:val="4EDF52B0"/>
    <w:rsid w:val="4F4F3309"/>
    <w:rsid w:val="4F77BA07"/>
    <w:rsid w:val="4FA2BD05"/>
    <w:rsid w:val="4FCFCBD9"/>
    <w:rsid w:val="4FDEC6F5"/>
    <w:rsid w:val="4FE77492"/>
    <w:rsid w:val="5151375A"/>
    <w:rsid w:val="527CDE83"/>
    <w:rsid w:val="5304F9FC"/>
    <w:rsid w:val="5376FDB2"/>
    <w:rsid w:val="53A329B5"/>
    <w:rsid w:val="53F0670E"/>
    <w:rsid w:val="5422C8C1"/>
    <w:rsid w:val="54FBBCF6"/>
    <w:rsid w:val="557AC954"/>
    <w:rsid w:val="560797A3"/>
    <w:rsid w:val="569D2928"/>
    <w:rsid w:val="5726C435"/>
    <w:rsid w:val="5728977A"/>
    <w:rsid w:val="5822776D"/>
    <w:rsid w:val="584F2ED4"/>
    <w:rsid w:val="58E422EA"/>
    <w:rsid w:val="598BBDC7"/>
    <w:rsid w:val="598ED8E8"/>
    <w:rsid w:val="59C2E859"/>
    <w:rsid w:val="59C95A02"/>
    <w:rsid w:val="5A0F3033"/>
    <w:rsid w:val="5A1EACCC"/>
    <w:rsid w:val="5A789869"/>
    <w:rsid w:val="5AB1C8FC"/>
    <w:rsid w:val="5B0EBDFE"/>
    <w:rsid w:val="5C14BAC8"/>
    <w:rsid w:val="5C250E78"/>
    <w:rsid w:val="5C40C457"/>
    <w:rsid w:val="5E4BA0AE"/>
    <w:rsid w:val="5E7F184D"/>
    <w:rsid w:val="5F3A7B6B"/>
    <w:rsid w:val="61559ABD"/>
    <w:rsid w:val="617B4808"/>
    <w:rsid w:val="61A58D7C"/>
    <w:rsid w:val="625D1A15"/>
    <w:rsid w:val="634699C0"/>
    <w:rsid w:val="63EBD805"/>
    <w:rsid w:val="64B48ADC"/>
    <w:rsid w:val="651B38C5"/>
    <w:rsid w:val="65BD29D7"/>
    <w:rsid w:val="663AC747"/>
    <w:rsid w:val="6650E5E5"/>
    <w:rsid w:val="668C51D1"/>
    <w:rsid w:val="67965622"/>
    <w:rsid w:val="67DBBC20"/>
    <w:rsid w:val="67F2FC9A"/>
    <w:rsid w:val="68201F4C"/>
    <w:rsid w:val="68310ADE"/>
    <w:rsid w:val="6948C1C2"/>
    <w:rsid w:val="695D56D1"/>
    <w:rsid w:val="6ABF04D1"/>
    <w:rsid w:val="6AC12D20"/>
    <w:rsid w:val="6CF853C2"/>
    <w:rsid w:val="6D28B1AF"/>
    <w:rsid w:val="6D616F43"/>
    <w:rsid w:val="6DC12077"/>
    <w:rsid w:val="6DF85784"/>
    <w:rsid w:val="6E767F07"/>
    <w:rsid w:val="6EB73EE5"/>
    <w:rsid w:val="700982C6"/>
    <w:rsid w:val="701F6CF1"/>
    <w:rsid w:val="70410BCF"/>
    <w:rsid w:val="706528EE"/>
    <w:rsid w:val="709C33EC"/>
    <w:rsid w:val="70B17814"/>
    <w:rsid w:val="70C0A103"/>
    <w:rsid w:val="71767010"/>
    <w:rsid w:val="73B2F07B"/>
    <w:rsid w:val="74753BC0"/>
    <w:rsid w:val="74E13645"/>
    <w:rsid w:val="74ED0B98"/>
    <w:rsid w:val="7509BB2B"/>
    <w:rsid w:val="7564809A"/>
    <w:rsid w:val="77D8DC72"/>
    <w:rsid w:val="787C011D"/>
    <w:rsid w:val="78BD74FC"/>
    <w:rsid w:val="793777FF"/>
    <w:rsid w:val="7A3914E2"/>
    <w:rsid w:val="7A98C108"/>
    <w:rsid w:val="7B20287B"/>
    <w:rsid w:val="7C0B6DE6"/>
    <w:rsid w:val="7DDAB872"/>
    <w:rsid w:val="7F68C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F40EA6"/>
    <w:pPr>
      <w:suppressAutoHyphens/>
    </w:pPr>
    <w:rPr>
      <w:color w:val="0D0D0D"/>
      <w:sz w:val="24"/>
      <w:szCs w:val="24"/>
    </w:rPr>
  </w:style>
  <w:style w:type="paragraph" w:styleId="NormalWeb">
    <w:name w:val="Normal (Web)"/>
    <w:basedOn w:val="Normal"/>
    <w:uiPriority w:val="99"/>
    <w:unhideWhenUsed/>
    <w:rsid w:val="00F40EA6"/>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0E1623"/>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83855349">
      <w:bodyDiv w:val="1"/>
      <w:marLeft w:val="0"/>
      <w:marRight w:val="0"/>
      <w:marTop w:val="0"/>
      <w:marBottom w:val="0"/>
      <w:divBdr>
        <w:top w:val="none" w:sz="0" w:space="0" w:color="auto"/>
        <w:left w:val="none" w:sz="0" w:space="0" w:color="auto"/>
        <w:bottom w:val="none" w:sz="0" w:space="0" w:color="auto"/>
        <w:right w:val="none" w:sz="0" w:space="0" w:color="auto"/>
      </w:divBdr>
    </w:div>
    <w:div w:id="747770509">
      <w:bodyDiv w:val="1"/>
      <w:marLeft w:val="0"/>
      <w:marRight w:val="0"/>
      <w:marTop w:val="0"/>
      <w:marBottom w:val="0"/>
      <w:divBdr>
        <w:top w:val="none" w:sz="0" w:space="0" w:color="auto"/>
        <w:left w:val="none" w:sz="0" w:space="0" w:color="auto"/>
        <w:bottom w:val="none" w:sz="0" w:space="0" w:color="auto"/>
        <w:right w:val="none" w:sz="0" w:space="0" w:color="auto"/>
      </w:divBdr>
      <w:divsChild>
        <w:div w:id="550119288">
          <w:marLeft w:val="360"/>
          <w:marRight w:val="0"/>
          <w:marTop w:val="200"/>
          <w:marBottom w:val="0"/>
          <w:divBdr>
            <w:top w:val="none" w:sz="0" w:space="0" w:color="auto"/>
            <w:left w:val="none" w:sz="0" w:space="0" w:color="auto"/>
            <w:bottom w:val="none" w:sz="0" w:space="0" w:color="auto"/>
            <w:right w:val="none" w:sz="0" w:space="0" w:color="auto"/>
          </w:divBdr>
        </w:div>
      </w:divsChild>
    </w:div>
    <w:div w:id="1130050532">
      <w:bodyDiv w:val="1"/>
      <w:marLeft w:val="0"/>
      <w:marRight w:val="0"/>
      <w:marTop w:val="0"/>
      <w:marBottom w:val="0"/>
      <w:divBdr>
        <w:top w:val="none" w:sz="0" w:space="0" w:color="auto"/>
        <w:left w:val="none" w:sz="0" w:space="0" w:color="auto"/>
        <w:bottom w:val="none" w:sz="0" w:space="0" w:color="auto"/>
        <w:right w:val="none" w:sz="0" w:space="0" w:color="auto"/>
      </w:divBdr>
      <w:divsChild>
        <w:div w:id="1749501720">
          <w:marLeft w:val="0"/>
          <w:marRight w:val="0"/>
          <w:marTop w:val="0"/>
          <w:marBottom w:val="0"/>
          <w:divBdr>
            <w:top w:val="none" w:sz="0" w:space="0" w:color="auto"/>
            <w:left w:val="none" w:sz="0" w:space="0" w:color="auto"/>
            <w:bottom w:val="none" w:sz="0" w:space="0" w:color="auto"/>
            <w:right w:val="none" w:sz="0" w:space="0" w:color="auto"/>
          </w:divBdr>
        </w:div>
        <w:div w:id="192424103">
          <w:marLeft w:val="0"/>
          <w:marRight w:val="0"/>
          <w:marTop w:val="0"/>
          <w:marBottom w:val="0"/>
          <w:divBdr>
            <w:top w:val="none" w:sz="0" w:space="0" w:color="auto"/>
            <w:left w:val="none" w:sz="0" w:space="0" w:color="auto"/>
            <w:bottom w:val="none" w:sz="0" w:space="0" w:color="auto"/>
            <w:right w:val="none" w:sz="0" w:space="0" w:color="auto"/>
          </w:divBdr>
        </w:div>
        <w:div w:id="890963423">
          <w:marLeft w:val="0"/>
          <w:marRight w:val="0"/>
          <w:marTop w:val="0"/>
          <w:marBottom w:val="0"/>
          <w:divBdr>
            <w:top w:val="none" w:sz="0" w:space="0" w:color="auto"/>
            <w:left w:val="none" w:sz="0" w:space="0" w:color="auto"/>
            <w:bottom w:val="none" w:sz="0" w:space="0" w:color="auto"/>
            <w:right w:val="none" w:sz="0" w:space="0" w:color="auto"/>
          </w:divBdr>
        </w:div>
      </w:divsChild>
    </w:div>
    <w:div w:id="1163083836">
      <w:bodyDiv w:val="1"/>
      <w:marLeft w:val="0"/>
      <w:marRight w:val="0"/>
      <w:marTop w:val="0"/>
      <w:marBottom w:val="0"/>
      <w:divBdr>
        <w:top w:val="none" w:sz="0" w:space="0" w:color="auto"/>
        <w:left w:val="none" w:sz="0" w:space="0" w:color="auto"/>
        <w:bottom w:val="none" w:sz="0" w:space="0" w:color="auto"/>
        <w:right w:val="none" w:sz="0" w:space="0" w:color="auto"/>
      </w:divBdr>
      <w:divsChild>
        <w:div w:id="1896696507">
          <w:marLeft w:val="0"/>
          <w:marRight w:val="0"/>
          <w:marTop w:val="0"/>
          <w:marBottom w:val="0"/>
          <w:divBdr>
            <w:top w:val="none" w:sz="0" w:space="0" w:color="auto"/>
            <w:left w:val="none" w:sz="0" w:space="0" w:color="auto"/>
            <w:bottom w:val="none" w:sz="0" w:space="0" w:color="auto"/>
            <w:right w:val="none" w:sz="0" w:space="0" w:color="auto"/>
          </w:divBdr>
        </w:div>
        <w:div w:id="316299533">
          <w:marLeft w:val="0"/>
          <w:marRight w:val="0"/>
          <w:marTop w:val="0"/>
          <w:marBottom w:val="0"/>
          <w:divBdr>
            <w:top w:val="none" w:sz="0" w:space="0" w:color="auto"/>
            <w:left w:val="none" w:sz="0" w:space="0" w:color="auto"/>
            <w:bottom w:val="none" w:sz="0" w:space="0" w:color="auto"/>
            <w:right w:val="none" w:sz="0" w:space="0" w:color="auto"/>
          </w:divBdr>
        </w:div>
        <w:div w:id="1479373030">
          <w:marLeft w:val="0"/>
          <w:marRight w:val="0"/>
          <w:marTop w:val="0"/>
          <w:marBottom w:val="0"/>
          <w:divBdr>
            <w:top w:val="none" w:sz="0" w:space="0" w:color="auto"/>
            <w:left w:val="none" w:sz="0" w:space="0" w:color="auto"/>
            <w:bottom w:val="none" w:sz="0" w:space="0" w:color="auto"/>
            <w:right w:val="none" w:sz="0" w:space="0" w:color="auto"/>
          </w:divBdr>
        </w:div>
      </w:divsChild>
    </w:div>
    <w:div w:id="1198816176">
      <w:bodyDiv w:val="1"/>
      <w:marLeft w:val="0"/>
      <w:marRight w:val="0"/>
      <w:marTop w:val="0"/>
      <w:marBottom w:val="0"/>
      <w:divBdr>
        <w:top w:val="none" w:sz="0" w:space="0" w:color="auto"/>
        <w:left w:val="none" w:sz="0" w:space="0" w:color="auto"/>
        <w:bottom w:val="none" w:sz="0" w:space="0" w:color="auto"/>
        <w:right w:val="none" w:sz="0" w:space="0" w:color="auto"/>
      </w:divBdr>
    </w:div>
    <w:div w:id="1246961396">
      <w:bodyDiv w:val="1"/>
      <w:marLeft w:val="0"/>
      <w:marRight w:val="0"/>
      <w:marTop w:val="0"/>
      <w:marBottom w:val="0"/>
      <w:divBdr>
        <w:top w:val="none" w:sz="0" w:space="0" w:color="auto"/>
        <w:left w:val="none" w:sz="0" w:space="0" w:color="auto"/>
        <w:bottom w:val="none" w:sz="0" w:space="0" w:color="auto"/>
        <w:right w:val="none" w:sz="0" w:space="0" w:color="auto"/>
      </w:divBdr>
      <w:divsChild>
        <w:div w:id="585920828">
          <w:marLeft w:val="360"/>
          <w:marRight w:val="0"/>
          <w:marTop w:val="200"/>
          <w:marBottom w:val="0"/>
          <w:divBdr>
            <w:top w:val="none" w:sz="0" w:space="0" w:color="auto"/>
            <w:left w:val="none" w:sz="0" w:space="0" w:color="auto"/>
            <w:bottom w:val="none" w:sz="0" w:space="0" w:color="auto"/>
            <w:right w:val="none" w:sz="0" w:space="0" w:color="auto"/>
          </w:divBdr>
        </w:div>
        <w:div w:id="185363453">
          <w:marLeft w:val="360"/>
          <w:marRight w:val="0"/>
          <w:marTop w:val="200"/>
          <w:marBottom w:val="0"/>
          <w:divBdr>
            <w:top w:val="none" w:sz="0" w:space="0" w:color="auto"/>
            <w:left w:val="none" w:sz="0" w:space="0" w:color="auto"/>
            <w:bottom w:val="none" w:sz="0" w:space="0" w:color="auto"/>
            <w:right w:val="none" w:sz="0" w:space="0" w:color="auto"/>
          </w:divBdr>
        </w:div>
        <w:div w:id="1526870389">
          <w:marLeft w:val="360"/>
          <w:marRight w:val="0"/>
          <w:marTop w:val="200"/>
          <w:marBottom w:val="0"/>
          <w:divBdr>
            <w:top w:val="none" w:sz="0" w:space="0" w:color="auto"/>
            <w:left w:val="none" w:sz="0" w:space="0" w:color="auto"/>
            <w:bottom w:val="none" w:sz="0" w:space="0" w:color="auto"/>
            <w:right w:val="none" w:sz="0" w:space="0" w:color="auto"/>
          </w:divBdr>
        </w:div>
        <w:div w:id="253981663">
          <w:marLeft w:val="360"/>
          <w:marRight w:val="0"/>
          <w:marTop w:val="200"/>
          <w:marBottom w:val="0"/>
          <w:divBdr>
            <w:top w:val="none" w:sz="0" w:space="0" w:color="auto"/>
            <w:left w:val="none" w:sz="0" w:space="0" w:color="auto"/>
            <w:bottom w:val="none" w:sz="0" w:space="0" w:color="auto"/>
            <w:right w:val="none" w:sz="0" w:space="0" w:color="auto"/>
          </w:divBdr>
        </w:div>
      </w:divsChild>
    </w:div>
    <w:div w:id="1678731907">
      <w:bodyDiv w:val="1"/>
      <w:marLeft w:val="0"/>
      <w:marRight w:val="0"/>
      <w:marTop w:val="0"/>
      <w:marBottom w:val="0"/>
      <w:divBdr>
        <w:top w:val="none" w:sz="0" w:space="0" w:color="auto"/>
        <w:left w:val="none" w:sz="0" w:space="0" w:color="auto"/>
        <w:bottom w:val="none" w:sz="0" w:space="0" w:color="auto"/>
        <w:right w:val="none" w:sz="0" w:space="0" w:color="auto"/>
      </w:divBdr>
    </w:div>
    <w:div w:id="1764454171">
      <w:bodyDiv w:val="1"/>
      <w:marLeft w:val="0"/>
      <w:marRight w:val="0"/>
      <w:marTop w:val="0"/>
      <w:marBottom w:val="0"/>
      <w:divBdr>
        <w:top w:val="none" w:sz="0" w:space="0" w:color="auto"/>
        <w:left w:val="none" w:sz="0" w:space="0" w:color="auto"/>
        <w:bottom w:val="none" w:sz="0" w:space="0" w:color="auto"/>
        <w:right w:val="none" w:sz="0" w:space="0" w:color="auto"/>
      </w:divBdr>
      <w:divsChild>
        <w:div w:id="1044015753">
          <w:marLeft w:val="360"/>
          <w:marRight w:val="0"/>
          <w:marTop w:val="200"/>
          <w:marBottom w:val="0"/>
          <w:divBdr>
            <w:top w:val="none" w:sz="0" w:space="0" w:color="auto"/>
            <w:left w:val="none" w:sz="0" w:space="0" w:color="auto"/>
            <w:bottom w:val="none" w:sz="0" w:space="0" w:color="auto"/>
            <w:right w:val="none" w:sz="0" w:space="0" w:color="auto"/>
          </w:divBdr>
        </w:div>
        <w:div w:id="1985351853">
          <w:marLeft w:val="360"/>
          <w:marRight w:val="0"/>
          <w:marTop w:val="200"/>
          <w:marBottom w:val="0"/>
          <w:divBdr>
            <w:top w:val="none" w:sz="0" w:space="0" w:color="auto"/>
            <w:left w:val="none" w:sz="0" w:space="0" w:color="auto"/>
            <w:bottom w:val="none" w:sz="0" w:space="0" w:color="auto"/>
            <w:right w:val="none" w:sz="0" w:space="0" w:color="auto"/>
          </w:divBdr>
        </w:div>
        <w:div w:id="327562352">
          <w:marLeft w:val="360"/>
          <w:marRight w:val="0"/>
          <w:marTop w:val="200"/>
          <w:marBottom w:val="0"/>
          <w:divBdr>
            <w:top w:val="none" w:sz="0" w:space="0" w:color="auto"/>
            <w:left w:val="none" w:sz="0" w:space="0" w:color="auto"/>
            <w:bottom w:val="none" w:sz="0" w:space="0" w:color="auto"/>
            <w:right w:val="none" w:sz="0" w:space="0" w:color="auto"/>
          </w:divBdr>
        </w:div>
        <w:div w:id="2081948599">
          <w:marLeft w:val="360"/>
          <w:marRight w:val="0"/>
          <w:marTop w:val="200"/>
          <w:marBottom w:val="0"/>
          <w:divBdr>
            <w:top w:val="none" w:sz="0" w:space="0" w:color="auto"/>
            <w:left w:val="none" w:sz="0" w:space="0" w:color="auto"/>
            <w:bottom w:val="none" w:sz="0" w:space="0" w:color="auto"/>
            <w:right w:val="none" w:sz="0" w:space="0" w:color="auto"/>
          </w:divBdr>
        </w:div>
        <w:div w:id="749037898">
          <w:marLeft w:val="360"/>
          <w:marRight w:val="0"/>
          <w:marTop w:val="200"/>
          <w:marBottom w:val="0"/>
          <w:divBdr>
            <w:top w:val="none" w:sz="0" w:space="0" w:color="auto"/>
            <w:left w:val="none" w:sz="0" w:space="0" w:color="auto"/>
            <w:bottom w:val="none" w:sz="0" w:space="0" w:color="auto"/>
            <w:right w:val="none" w:sz="0" w:space="0" w:color="auto"/>
          </w:divBdr>
        </w:div>
      </w:divsChild>
    </w:div>
    <w:div w:id="2074114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7489">
          <w:marLeft w:val="0"/>
          <w:marRight w:val="0"/>
          <w:marTop w:val="0"/>
          <w:marBottom w:val="0"/>
          <w:divBdr>
            <w:top w:val="none" w:sz="0" w:space="0" w:color="auto"/>
            <w:left w:val="none" w:sz="0" w:space="0" w:color="auto"/>
            <w:bottom w:val="none" w:sz="0" w:space="0" w:color="auto"/>
            <w:right w:val="none" w:sz="0" w:space="0" w:color="auto"/>
          </w:divBdr>
        </w:div>
        <w:div w:id="28653236">
          <w:marLeft w:val="0"/>
          <w:marRight w:val="0"/>
          <w:marTop w:val="0"/>
          <w:marBottom w:val="0"/>
          <w:divBdr>
            <w:top w:val="none" w:sz="0" w:space="0" w:color="auto"/>
            <w:left w:val="none" w:sz="0" w:space="0" w:color="auto"/>
            <w:bottom w:val="none" w:sz="0" w:space="0" w:color="auto"/>
            <w:right w:val="none" w:sz="0" w:space="0" w:color="auto"/>
          </w:divBdr>
        </w:div>
        <w:div w:id="704016502">
          <w:marLeft w:val="0"/>
          <w:marRight w:val="0"/>
          <w:marTop w:val="0"/>
          <w:marBottom w:val="0"/>
          <w:divBdr>
            <w:top w:val="none" w:sz="0" w:space="0" w:color="auto"/>
            <w:left w:val="none" w:sz="0" w:space="0" w:color="auto"/>
            <w:bottom w:val="none" w:sz="0" w:space="0" w:color="auto"/>
            <w:right w:val="none" w:sz="0" w:space="0" w:color="auto"/>
          </w:divBdr>
        </w:div>
        <w:div w:id="47148257">
          <w:marLeft w:val="0"/>
          <w:marRight w:val="0"/>
          <w:marTop w:val="0"/>
          <w:marBottom w:val="0"/>
          <w:divBdr>
            <w:top w:val="none" w:sz="0" w:space="0" w:color="auto"/>
            <w:left w:val="none" w:sz="0" w:space="0" w:color="auto"/>
            <w:bottom w:val="none" w:sz="0" w:space="0" w:color="auto"/>
            <w:right w:val="none" w:sz="0" w:space="0" w:color="auto"/>
          </w:divBdr>
        </w:div>
        <w:div w:id="592394441">
          <w:marLeft w:val="0"/>
          <w:marRight w:val="0"/>
          <w:marTop w:val="0"/>
          <w:marBottom w:val="0"/>
          <w:divBdr>
            <w:top w:val="none" w:sz="0" w:space="0" w:color="auto"/>
            <w:left w:val="none" w:sz="0" w:space="0" w:color="auto"/>
            <w:bottom w:val="none" w:sz="0" w:space="0" w:color="auto"/>
            <w:right w:val="none" w:sz="0" w:space="0" w:color="auto"/>
          </w:divBdr>
        </w:div>
        <w:div w:id="273024153">
          <w:marLeft w:val="0"/>
          <w:marRight w:val="0"/>
          <w:marTop w:val="0"/>
          <w:marBottom w:val="0"/>
          <w:divBdr>
            <w:top w:val="none" w:sz="0" w:space="0" w:color="auto"/>
            <w:left w:val="none" w:sz="0" w:space="0" w:color="auto"/>
            <w:bottom w:val="none" w:sz="0" w:space="0" w:color="auto"/>
            <w:right w:val="none" w:sz="0" w:space="0" w:color="auto"/>
          </w:divBdr>
        </w:div>
        <w:div w:id="1563713866">
          <w:marLeft w:val="0"/>
          <w:marRight w:val="0"/>
          <w:marTop w:val="0"/>
          <w:marBottom w:val="0"/>
          <w:divBdr>
            <w:top w:val="none" w:sz="0" w:space="0" w:color="auto"/>
            <w:left w:val="none" w:sz="0" w:space="0" w:color="auto"/>
            <w:bottom w:val="none" w:sz="0" w:space="0" w:color="auto"/>
            <w:right w:val="none" w:sz="0" w:space="0" w:color="auto"/>
          </w:divBdr>
        </w:div>
      </w:divsChild>
    </w:div>
    <w:div w:id="2110657655">
      <w:bodyDiv w:val="1"/>
      <w:marLeft w:val="0"/>
      <w:marRight w:val="0"/>
      <w:marTop w:val="0"/>
      <w:marBottom w:val="0"/>
      <w:divBdr>
        <w:top w:val="none" w:sz="0" w:space="0" w:color="auto"/>
        <w:left w:val="none" w:sz="0" w:space="0" w:color="auto"/>
        <w:bottom w:val="none" w:sz="0" w:space="0" w:color="auto"/>
        <w:right w:val="none" w:sz="0" w:space="0" w:color="auto"/>
      </w:divBdr>
      <w:divsChild>
        <w:div w:id="871190881">
          <w:marLeft w:val="0"/>
          <w:marRight w:val="0"/>
          <w:marTop w:val="0"/>
          <w:marBottom w:val="0"/>
          <w:divBdr>
            <w:top w:val="none" w:sz="0" w:space="0" w:color="auto"/>
            <w:left w:val="none" w:sz="0" w:space="0" w:color="auto"/>
            <w:bottom w:val="none" w:sz="0" w:space="0" w:color="auto"/>
            <w:right w:val="none" w:sz="0" w:space="0" w:color="auto"/>
          </w:divBdr>
        </w:div>
        <w:div w:id="166404152">
          <w:marLeft w:val="0"/>
          <w:marRight w:val="0"/>
          <w:marTop w:val="0"/>
          <w:marBottom w:val="0"/>
          <w:divBdr>
            <w:top w:val="none" w:sz="0" w:space="0" w:color="auto"/>
            <w:left w:val="none" w:sz="0" w:space="0" w:color="auto"/>
            <w:bottom w:val="none" w:sz="0" w:space="0" w:color="auto"/>
            <w:right w:val="none" w:sz="0" w:space="0" w:color="auto"/>
          </w:divBdr>
        </w:div>
        <w:div w:id="636227648">
          <w:marLeft w:val="0"/>
          <w:marRight w:val="0"/>
          <w:marTop w:val="0"/>
          <w:marBottom w:val="0"/>
          <w:divBdr>
            <w:top w:val="none" w:sz="0" w:space="0" w:color="auto"/>
            <w:left w:val="none" w:sz="0" w:space="0" w:color="auto"/>
            <w:bottom w:val="none" w:sz="0" w:space="0" w:color="auto"/>
            <w:right w:val="none" w:sz="0" w:space="0" w:color="auto"/>
          </w:divBdr>
        </w:div>
        <w:div w:id="1860503560">
          <w:marLeft w:val="0"/>
          <w:marRight w:val="0"/>
          <w:marTop w:val="0"/>
          <w:marBottom w:val="0"/>
          <w:divBdr>
            <w:top w:val="none" w:sz="0" w:space="0" w:color="auto"/>
            <w:left w:val="none" w:sz="0" w:space="0" w:color="auto"/>
            <w:bottom w:val="none" w:sz="0" w:space="0" w:color="auto"/>
            <w:right w:val="none" w:sz="0" w:space="0" w:color="auto"/>
          </w:divBdr>
        </w:div>
        <w:div w:id="3630234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news/eef-blog-invest-in-success-the-power-of-effective-professional-development" TargetMode="External"/><Relationship Id="rId18" Type="http://schemas.openxmlformats.org/officeDocument/2006/relationships/hyperlink" Target="https://educationendowmentfoundation.org.uk/news/eef-blog-the-shrec-approach-4-evidence-informed-strategies-to-promote-high-quality-interactions-with-young-children" TargetMode="External"/><Relationship Id="rId26" Type="http://schemas.openxmlformats.org/officeDocument/2006/relationships/hyperlink" Target="https://educationendowmentfoundation.org.uk/education-evidence/teaching-learning-toolkit/social-and-emotional-learning" TargetMode="External"/><Relationship Id="rId39" Type="http://schemas.openxmlformats.org/officeDocument/2006/relationships/hyperlink" Target="https://educationendowmentfoundation.org.uk/education-evidence/teaching-learning-toolkit/small-group-tuition" TargetMode="External"/><Relationship Id="rId21" Type="http://schemas.openxmlformats.org/officeDocument/2006/relationships/hyperlink" Target="https://educationendowmentfoundation.org.uk/education-evidence/guidance-reports/literacy-ks-1" TargetMode="External"/><Relationship Id="rId34" Type="http://schemas.openxmlformats.org/officeDocument/2006/relationships/hyperlink" Target="https://educationendowmentfoundation.org.uk/education-evidence/teaching-learning-toolkit/oral-language-interventions" TargetMode="External"/><Relationship Id="rId42" Type="http://schemas.openxmlformats.org/officeDocument/2006/relationships/hyperlink" Target="https://educationendowmentfoundation.org.uk/education-evidence/teaching-learning-toolkit/extending-school-time" TargetMode="External"/><Relationship Id="rId47" Type="http://schemas.openxmlformats.org/officeDocument/2006/relationships/hyperlink" Target="https://educationendowmentfoundation.org.uk/education-evidence/teaching-learning-toolkit/social-and-emotional-learning" TargetMode="External"/><Relationship Id="rId50" Type="http://schemas.openxmlformats.org/officeDocument/2006/relationships/hyperlink" Target="https://educationendowmentfoundation.org.uk/education-evidence/teaching-learning-toolkit/behaviour-interventions" TargetMode="External"/><Relationship Id="rId55" Type="http://schemas.openxmlformats.org/officeDocument/2006/relationships/hyperlink" Target="https://educationendowmentfoundation.org.uk/education-evidence/guidance-reports/supporting-parents" TargetMode="External"/><Relationship Id="rId7" Type="http://schemas.openxmlformats.org/officeDocument/2006/relationships/hyperlink" Target="https://educationendowmentfoundation.org.uk/support-for-schools/school-planning-support/1-high-quality-teaching" TargetMode="External"/><Relationship Id="rId2" Type="http://schemas.openxmlformats.org/officeDocument/2006/relationships/styles" Target="styles.xml"/><Relationship Id="rId16" Type="http://schemas.openxmlformats.org/officeDocument/2006/relationships/hyperlink" Target="https://educationendowmentfoundation.org.uk/early-years/toolkit/communication-and-language-approaches" TargetMode="External"/><Relationship Id="rId20" Type="http://schemas.openxmlformats.org/officeDocument/2006/relationships/hyperlink" Target="https://educationendowmentfoundation.org.uk/early-years/evidence-store/early-literacy" TargetMode="External"/><Relationship Id="rId29" Type="http://schemas.openxmlformats.org/officeDocument/2006/relationships/hyperlink" Target="https://educationendowmentfoundation.org.uk/news/teaching-children-self-awarness-of-their-feelings-and-actions-supports-early-development" TargetMode="External"/><Relationship Id="rId41" Type="http://schemas.openxmlformats.org/officeDocument/2006/relationships/hyperlink" Target="https://educationendowmentfoundation.org.uk/news/new-eef-guide-making-a-difference-with-effective-tutoring" TargetMode="External"/><Relationship Id="rId54" Type="http://schemas.openxmlformats.org/officeDocument/2006/relationships/hyperlink" Target="https://educationendowmentfoundation.org.uk/news/department-for-education-launches-new-initiatives-to-tackle-attendance"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news/eef-blog-a-balanced-approach-to-professional-development" TargetMode="External"/><Relationship Id="rId24" Type="http://schemas.openxmlformats.org/officeDocument/2006/relationships/hyperlink" Target="https://educationendowmentfoundation.org.uk/projects-and-evaluation/projects/grammar-for-writing-effectiveness-trial" TargetMode="External"/><Relationship Id="rId32" Type="http://schemas.openxmlformats.org/officeDocument/2006/relationships/hyperlink" Target="https://educationendowmentfoundation.org.uk/projects-and-evaluation/projects/nuffield-early-language-intervention-neli" TargetMode="External"/><Relationship Id="rId37" Type="http://schemas.openxmlformats.org/officeDocument/2006/relationships/hyperlink" Target="https://educationendowmentfoundation.org.uk/education-evidence/teaching-learning-toolkit/teaching-assistant-interventions" TargetMode="External"/><Relationship Id="rId40" Type="http://schemas.openxmlformats.org/officeDocument/2006/relationships/hyperlink" Target="https://educationendowmentfoundation.org.uk/education-evidence/effective-tutoring" TargetMode="External"/><Relationship Id="rId45" Type="http://schemas.openxmlformats.org/officeDocument/2006/relationships/hyperlink" Target="https://educationendowmentfoundation.org.uk/education-evidence/teaching-learning-toolkit/behaviour-interventions" TargetMode="External"/><Relationship Id="rId53" Type="http://schemas.openxmlformats.org/officeDocument/2006/relationships/hyperlink" Target="https://educationendowmentfoundation.org.uk/news/evidence-brief-on-improving-attendance-and-support-for-disadvantaged-pupils" TargetMode="External"/><Relationship Id="rId58" Type="http://schemas.openxmlformats.org/officeDocument/2006/relationships/hyperlink" Target="https://educationendowmentfoundation.org.uk/support-for-schools/school-planning-support/3-wider-strategies" TargetMode="External"/><Relationship Id="rId5" Type="http://schemas.openxmlformats.org/officeDocument/2006/relationships/footnotes" Target="footnotes.xml"/><Relationship Id="rId15" Type="http://schemas.openxmlformats.org/officeDocument/2006/relationships/hyperlink" Target="https://educationendowmentfoundation.org.uk/early-years/literacy/developing-vocabulary-in-early-years-education" TargetMode="External"/><Relationship Id="rId23" Type="http://schemas.openxmlformats.org/officeDocument/2006/relationships/hyperlink" Target="https://educationendowmentfoundation.org.uk/education-evidence/guidance-reports/literacy-ks2" TargetMode="External"/><Relationship Id="rId28" Type="http://schemas.openxmlformats.org/officeDocument/2006/relationships/hyperlink" Target="https://educationendowmentfoundation.org.uk/support-for-schools/school-planning-support/3-wider-strategies" TargetMode="External"/><Relationship Id="rId36" Type="http://schemas.openxmlformats.org/officeDocument/2006/relationships/hyperlink" Target="https://educationendowmentfoundation.org.uk/support-for-schools/school-planning-support/2-targeted-academic-support" TargetMode="External"/><Relationship Id="rId49" Type="http://schemas.openxmlformats.org/officeDocument/2006/relationships/hyperlink" Target="https://educationendowmentfoundation.org.uk/education-evidence/guidance-reports/behaviour" TargetMode="External"/><Relationship Id="rId57" Type="http://schemas.openxmlformats.org/officeDocument/2006/relationships/hyperlink" Target="https://educationendowmentfoundation.org.uk/education-evidence/teaching-learning-toolkit/parental-engagement" TargetMode="External"/><Relationship Id="rId61" Type="http://schemas.openxmlformats.org/officeDocument/2006/relationships/fontTable" Target="fontTable.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ducationendowmentfoundation.org.uk/education-evidence/teaching-learning-toolkit/within-class-attainment-grouping" TargetMode="External"/><Relationship Id="rId31" Type="http://schemas.openxmlformats.org/officeDocument/2006/relationships/hyperlink" Target="https://educationendowmentfoundation.org.uk/education-evidence/guidance-reports/primary-sel" TargetMode="External"/><Relationship Id="rId44" Type="http://schemas.openxmlformats.org/officeDocument/2006/relationships/hyperlink" Target="https://educationendowmentfoundation.org.uk/support-for-schools/school-planning-support/3-wider-strategies" TargetMode="External"/><Relationship Id="rId52" Type="http://schemas.openxmlformats.org/officeDocument/2006/relationships/hyperlink" Target="https://educationendowmentfoundation.org.uk/news/eef-blog-supporting-school-attendance-a-new-tool-for-reflection-and-planning"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news/eef-blog-the-five-a-day-approach-how-the-eef-can-support" TargetMode="Externa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hyperlink" Target="https://educationendowmentfoundation.org.uk/news/eef-blog-key-stage-1-literacy" TargetMode="External"/><Relationship Id="rId27" Type="http://schemas.openxmlformats.org/officeDocument/2006/relationships/hyperlink" Target="https://educationendowmentfoundation.org.uk/early-years/mental-health-wellbeing" TargetMode="External"/><Relationship Id="rId30" Type="http://schemas.openxmlformats.org/officeDocument/2006/relationships/hyperlink" Target="https://educationendowmentfoundation.org.uk/education-evidence/teaching-learning-toolkit/behaviour-interventions" TargetMode="External"/><Relationship Id="rId35" Type="http://schemas.openxmlformats.org/officeDocument/2006/relationships/hyperlink" Target="https://educationendowmentfoundation.org.uk/education-evidence/teaching-learning-toolkit/small-group-tuition" TargetMode="External"/><Relationship Id="rId43" Type="http://schemas.openxmlformats.org/officeDocument/2006/relationships/hyperlink" Target="https://educationendowmentfoundation.org.uk/education-evidence/teaching-learning-toolkit/outdoor-adventure-learning" TargetMode="External"/><Relationship Id="rId48" Type="http://schemas.openxmlformats.org/officeDocument/2006/relationships/hyperlink" Target="https://educationendowmentfoundation.org.uk/early-years/mental-health-wellbeing" TargetMode="External"/><Relationship Id="rId56" Type="http://schemas.openxmlformats.org/officeDocument/2006/relationships/hyperlink" Target="https://educationendowmentfoundation.org.uk/support-for-schools/school-planning-support/3-wider-strategies" TargetMode="External"/><Relationship Id="rId8" Type="http://schemas.openxmlformats.org/officeDocument/2006/relationships/hyperlink" Target="https://schoolleaders.thekeysupport.com/curriculum-and-learning/curriculum-guidance-all-phases/structuring-curriculum/high-quality-teaching-guidance-support-send/" TargetMode="External"/><Relationship Id="rId51" Type="http://schemas.openxmlformats.org/officeDocument/2006/relationships/hyperlink" Target="https://educationendowmentfoundation.org.uk/education-evidence/leadership-and-planning/supporting-attendance" TargetMode="External"/><Relationship Id="rId3" Type="http://schemas.openxmlformats.org/officeDocument/2006/relationships/settings" Target="settings.xml"/><Relationship Id="rId12" Type="http://schemas.openxmlformats.org/officeDocument/2006/relationships/hyperlink" Target="https://educationendowmentfoundation.org.uk/news/new-eef-guide-to-effective-professional-development-in-the-early-years" TargetMode="External"/><Relationship Id="rId17" Type="http://schemas.openxmlformats.org/officeDocument/2006/relationships/hyperlink" Target="https://educationendowmentfoundation.org.uk/early-years/evidence-store/communication-and-language" TargetMode="External"/><Relationship Id="rId25" Type="http://schemas.openxmlformats.org/officeDocument/2006/relationships/hyperlink" Target="https://educationendowmentfoundation.org.uk/news/speed-and-fluency-as-important-as-accuracy-for-good-writing" TargetMode="External"/><Relationship Id="rId33" Type="http://schemas.openxmlformats.org/officeDocument/2006/relationships/hyperlink" Target="https://educationendowmentfoundation.org.uk/early-years/evidence-store/communication-and-language" TargetMode="External"/><Relationship Id="rId38" Type="http://schemas.openxmlformats.org/officeDocument/2006/relationships/hyperlink" Target="https://educationendowmentfoundation.org.uk/education-evidence/teaching-learning-toolkit/one-to-one-tuition" TargetMode="External"/><Relationship Id="rId46" Type="http://schemas.openxmlformats.org/officeDocument/2006/relationships/hyperlink" Target="https://educationendowmentfoundation.org.uk/news/modelling-social-and-emotional-learning-promoting-protective-factors-to-support-pupil-wellbeing" TargetMode="External"/><Relationship Id="rId59" Type="http://schemas.openxmlformats.org/officeDocument/2006/relationships/hyperlink" Target="https://educationendowmentfoundation.org.uk/education-evidence/teaching-learning-toolkit/outdoor-adventur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7437</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 Powell</cp:lastModifiedBy>
  <cp:revision>2</cp:revision>
  <cp:lastPrinted>2014-09-18T05:26:00Z</cp:lastPrinted>
  <dcterms:created xsi:type="dcterms:W3CDTF">2026-01-05T18:15:00Z</dcterms:created>
  <dcterms:modified xsi:type="dcterms:W3CDTF">2026-01-05T18:15:00Z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