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Default="00705835" w:rsidP="00D30444">
      <w:pPr>
        <w:pStyle w:val="aLCPHeading"/>
        <w:rPr>
          <w:sz w:val="96"/>
          <w:szCs w:val="96"/>
        </w:rPr>
      </w:pPr>
      <w:r>
        <w:rPr>
          <w:sz w:val="96"/>
          <w:szCs w:val="96"/>
        </w:rPr>
        <w:t>Exclusion</w:t>
      </w:r>
    </w:p>
    <w:p w:rsidR="00136628" w:rsidRPr="00D30444" w:rsidRDefault="00136628" w:rsidP="00D30444">
      <w:pPr>
        <w:pStyle w:val="aLCPHeading"/>
        <w:rPr>
          <w:sz w:val="96"/>
          <w:szCs w:val="96"/>
        </w:rPr>
      </w:pPr>
      <w:r w:rsidRPr="00D30444">
        <w:rPr>
          <w:sz w:val="96"/>
          <w:szCs w:val="96"/>
        </w:rPr>
        <w:t>Policy</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F90ED2" w:rsidRDefault="00F90ED2" w:rsidP="00F90ED2">
      <w:pPr>
        <w:rPr>
          <w:sz w:val="26"/>
          <w:szCs w:val="26"/>
        </w:rPr>
      </w:pPr>
      <w:r>
        <w:rPr>
          <w:sz w:val="26"/>
          <w:szCs w:val="26"/>
        </w:rPr>
        <w:t xml:space="preserve">IM, </w:t>
      </w:r>
      <w:r w:rsidR="00225018">
        <w:rPr>
          <w:sz w:val="26"/>
          <w:szCs w:val="26"/>
        </w:rPr>
        <w:t>Re</w:t>
      </w:r>
      <w:r w:rsidR="00500C3A">
        <w:rPr>
          <w:sz w:val="26"/>
          <w:szCs w:val="26"/>
        </w:rPr>
        <w:t>viewed</w:t>
      </w:r>
      <w:r>
        <w:rPr>
          <w:sz w:val="26"/>
          <w:szCs w:val="26"/>
        </w:rPr>
        <w:t xml:space="preserve">: </w:t>
      </w:r>
      <w:r w:rsidR="004957B3">
        <w:rPr>
          <w:sz w:val="26"/>
          <w:szCs w:val="26"/>
        </w:rPr>
        <w:t>July 2025</w:t>
      </w:r>
    </w:p>
    <w:p w:rsidR="00F90ED2" w:rsidRDefault="00F90ED2" w:rsidP="00F90ED2">
      <w:pPr>
        <w:rPr>
          <w:sz w:val="26"/>
          <w:szCs w:val="26"/>
        </w:rPr>
      </w:pPr>
      <w:r>
        <w:rPr>
          <w:sz w:val="26"/>
          <w:szCs w:val="26"/>
        </w:rPr>
        <w:t xml:space="preserve">Staff: </w:t>
      </w:r>
      <w:r w:rsidR="004957B3">
        <w:rPr>
          <w:sz w:val="26"/>
          <w:szCs w:val="26"/>
        </w:rPr>
        <w:t>Sept 2025</w:t>
      </w:r>
    </w:p>
    <w:p w:rsidR="00F90ED2" w:rsidRDefault="00F90ED2" w:rsidP="00F90ED2">
      <w:pPr>
        <w:rPr>
          <w:sz w:val="26"/>
          <w:szCs w:val="26"/>
        </w:rPr>
      </w:pPr>
      <w:r>
        <w:rPr>
          <w:sz w:val="26"/>
          <w:szCs w:val="26"/>
        </w:rPr>
        <w:t xml:space="preserve">Approved by Governors: </w:t>
      </w:r>
      <w:r w:rsidR="004957B3">
        <w:rPr>
          <w:sz w:val="26"/>
          <w:szCs w:val="26"/>
        </w:rPr>
        <w:t>Sept 2025</w:t>
      </w:r>
    </w:p>
    <w:p w:rsidR="00F90ED2" w:rsidRDefault="00F90ED2" w:rsidP="00F90ED2">
      <w:pPr>
        <w:rPr>
          <w:sz w:val="26"/>
          <w:szCs w:val="26"/>
        </w:rPr>
      </w:pPr>
      <w:r>
        <w:rPr>
          <w:sz w:val="26"/>
          <w:szCs w:val="26"/>
        </w:rPr>
        <w:t xml:space="preserve">Review date: </w:t>
      </w:r>
      <w:r w:rsidR="004957B3">
        <w:rPr>
          <w:sz w:val="26"/>
          <w:szCs w:val="26"/>
        </w:rPr>
        <w:t>Sept 2026</w:t>
      </w:r>
    </w:p>
    <w:p w:rsidR="00136628" w:rsidRDefault="00136628" w:rsidP="00A0243D">
      <w:pPr>
        <w:jc w:val="center"/>
        <w:rPr>
          <w:b/>
          <w:bCs/>
          <w:sz w:val="44"/>
          <w:szCs w:val="44"/>
          <w:u w:val="single"/>
        </w:rPr>
      </w:pP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E542EB" w:rsidRDefault="00E542EB" w:rsidP="00E74E0C">
      <w:pPr>
        <w:rPr>
          <w:sz w:val="22"/>
          <w:szCs w:val="22"/>
        </w:rPr>
      </w:pPr>
    </w:p>
    <w:p w:rsidR="00705835" w:rsidRPr="00705835" w:rsidRDefault="00705835" w:rsidP="00705835">
      <w:pPr>
        <w:spacing w:before="100" w:beforeAutospacing="1" w:after="100" w:afterAutospacing="1"/>
        <w:outlineLvl w:val="2"/>
        <w:rPr>
          <w:rFonts w:cs="Times New Roman"/>
          <w:b/>
          <w:bCs/>
          <w:lang w:eastAsia="en-GB"/>
        </w:rPr>
      </w:pPr>
      <w:r w:rsidRPr="00705835">
        <w:rPr>
          <w:rFonts w:cs="Times New Roman"/>
          <w:b/>
          <w:bCs/>
          <w:lang w:eastAsia="en-GB"/>
        </w:rPr>
        <w:t>Ashleigh Primary School: Exclusion Policy</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1. Introduction and Aims</w:t>
      </w:r>
    </w:p>
    <w:p w:rsidR="00705835" w:rsidRPr="00705835" w:rsidRDefault="00705835" w:rsidP="00705835">
      <w:pPr>
        <w:spacing w:before="100" w:beforeAutospacing="1" w:after="100" w:afterAutospacing="1"/>
        <w:rPr>
          <w:rFonts w:cs="Times New Roman"/>
          <w:lang w:eastAsia="en-GB"/>
        </w:rPr>
      </w:pPr>
      <w:r w:rsidRPr="00705835">
        <w:rPr>
          <w:rFonts w:cs="Times New Roman"/>
          <w:lang w:eastAsia="en-GB"/>
        </w:rPr>
        <w:t>At Ashleigh Primary School, our motto is "Together we Learn, Grow and Achieve". This vision is central to our commitment to creating an inclusive culture where every child is known, valued, and supported. We have high expectations for the behaviour and conduct of all pupils and work to maintain a calm, purposeful, and safe learning environment.</w:t>
      </w:r>
    </w:p>
    <w:p w:rsidR="00705835" w:rsidRPr="00705835" w:rsidRDefault="00705835" w:rsidP="00705835">
      <w:pPr>
        <w:spacing w:before="100" w:beforeAutospacing="1" w:after="100" w:afterAutospacing="1"/>
        <w:rPr>
          <w:rFonts w:cs="Times New Roman"/>
          <w:lang w:eastAsia="en-GB"/>
        </w:rPr>
      </w:pPr>
      <w:r w:rsidRPr="00705835">
        <w:rPr>
          <w:rFonts w:cs="Times New Roman"/>
          <w:lang w:eastAsia="en-GB"/>
        </w:rPr>
        <w:t>This policy outlines the procedures the school will follow for suspensions and permanent exclusions. The decision to exclude a pupil is a serious one and will only be taken as a last resort, following a thorough investigation and after a range of other strategies have been tried and failed, or in response to a single, serious incident.</w:t>
      </w:r>
    </w:p>
    <w:p w:rsidR="00705835" w:rsidRPr="00705835" w:rsidRDefault="00705835" w:rsidP="00705835">
      <w:pPr>
        <w:spacing w:before="100" w:beforeAutospacing="1" w:after="100" w:afterAutospacing="1"/>
        <w:rPr>
          <w:rFonts w:cs="Times New Roman"/>
          <w:lang w:eastAsia="en-GB"/>
        </w:rPr>
      </w:pPr>
      <w:r w:rsidRPr="00705835">
        <w:rPr>
          <w:rFonts w:cs="Times New Roman"/>
          <w:lang w:eastAsia="en-GB"/>
        </w:rPr>
        <w:t>Our aims are:</w:t>
      </w:r>
    </w:p>
    <w:p w:rsidR="00705835" w:rsidRPr="00705835" w:rsidRDefault="00705835" w:rsidP="00705835">
      <w:pPr>
        <w:numPr>
          <w:ilvl w:val="0"/>
          <w:numId w:val="37"/>
        </w:numPr>
        <w:spacing w:before="100" w:beforeAutospacing="1" w:after="100" w:afterAutospacing="1"/>
        <w:rPr>
          <w:rFonts w:cs="Times New Roman"/>
          <w:lang w:eastAsia="en-GB"/>
        </w:rPr>
      </w:pPr>
      <w:r w:rsidRPr="00705835">
        <w:rPr>
          <w:rFonts w:cs="Times New Roman"/>
          <w:lang w:eastAsia="en-GB"/>
        </w:rPr>
        <w:t>To ensure fairness, consistency, and transparency in the application of exclusion procedures.</w:t>
      </w:r>
    </w:p>
    <w:p w:rsidR="00705835" w:rsidRPr="00705835" w:rsidRDefault="00705835" w:rsidP="00705835">
      <w:pPr>
        <w:numPr>
          <w:ilvl w:val="0"/>
          <w:numId w:val="37"/>
        </w:numPr>
        <w:spacing w:before="100" w:beforeAutospacing="1" w:after="100" w:afterAutospacing="1"/>
        <w:rPr>
          <w:rFonts w:cs="Times New Roman"/>
          <w:lang w:eastAsia="en-GB"/>
        </w:rPr>
      </w:pPr>
      <w:r w:rsidRPr="00705835">
        <w:rPr>
          <w:rFonts w:cs="Times New Roman"/>
          <w:lang w:eastAsia="en-GB"/>
        </w:rPr>
        <w:t>To outline the steps the school takes to support pupils and prevent exclusions.</w:t>
      </w:r>
    </w:p>
    <w:p w:rsidR="00705835" w:rsidRPr="00705835" w:rsidRDefault="00705835" w:rsidP="00705835">
      <w:pPr>
        <w:numPr>
          <w:ilvl w:val="0"/>
          <w:numId w:val="37"/>
        </w:numPr>
        <w:spacing w:before="100" w:beforeAutospacing="1" w:after="100" w:afterAutospacing="1"/>
        <w:rPr>
          <w:rFonts w:cs="Times New Roman"/>
          <w:lang w:eastAsia="en-GB"/>
        </w:rPr>
      </w:pPr>
      <w:r w:rsidRPr="00705835">
        <w:rPr>
          <w:rFonts w:cs="Times New Roman"/>
          <w:lang w:eastAsia="en-GB"/>
        </w:rPr>
        <w:t>To ensure all procedures comply with relevant legislation and statutory guidance.</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2. Legal Framework</w:t>
      </w:r>
    </w:p>
    <w:p w:rsidR="00705835" w:rsidRDefault="00705835" w:rsidP="00705835">
      <w:pPr>
        <w:spacing w:before="100" w:beforeAutospacing="1" w:after="100" w:afterAutospacing="1"/>
        <w:rPr>
          <w:rFonts w:cs="Times New Roman"/>
          <w:lang w:eastAsia="en-GB"/>
        </w:rPr>
      </w:pPr>
      <w:r w:rsidRPr="00705835">
        <w:rPr>
          <w:rFonts w:cs="Times New Roman"/>
          <w:lang w:eastAsia="en-GB"/>
        </w:rPr>
        <w:t>This policy is based on the Department for Education's statutory guidance "Suspension and Permanent Exclusion," the Education Act 2002, and our duties under the Equality Act 2010. The welfare of the child is paramount in all decisions made.</w:t>
      </w:r>
    </w:p>
    <w:p w:rsidR="00325240" w:rsidRDefault="00325240" w:rsidP="00705835">
      <w:pPr>
        <w:spacing w:before="100" w:beforeAutospacing="1" w:after="100" w:afterAutospacing="1"/>
        <w:rPr>
          <w:rFonts w:cs="Times New Roman"/>
          <w:lang w:eastAsia="en-GB"/>
        </w:rPr>
      </w:pPr>
    </w:p>
    <w:p w:rsidR="00325240" w:rsidRPr="00705835" w:rsidRDefault="00325240" w:rsidP="00705835">
      <w:pPr>
        <w:spacing w:before="100" w:beforeAutospacing="1" w:after="100" w:afterAutospacing="1"/>
        <w:rPr>
          <w:rFonts w:cs="Times New Roman"/>
          <w:lang w:eastAsia="en-GB"/>
        </w:rPr>
      </w:pP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lastRenderedPageBreak/>
        <w:t>3. Roles and Responsibilities</w:t>
      </w:r>
    </w:p>
    <w:p w:rsidR="00705835" w:rsidRPr="00705835" w:rsidRDefault="00705835" w:rsidP="00705835">
      <w:pPr>
        <w:numPr>
          <w:ilvl w:val="0"/>
          <w:numId w:val="38"/>
        </w:numPr>
        <w:spacing w:before="100" w:beforeAutospacing="1" w:after="100" w:afterAutospacing="1"/>
        <w:rPr>
          <w:rFonts w:cs="Times New Roman"/>
          <w:lang w:eastAsia="en-GB"/>
        </w:rPr>
      </w:pPr>
      <w:r w:rsidRPr="00705835">
        <w:rPr>
          <w:rFonts w:cs="Times New Roman"/>
          <w:lang w:eastAsia="en-GB"/>
        </w:rPr>
        <w:t xml:space="preserve">The Headteacher (Mr. I. </w:t>
      </w:r>
      <w:proofErr w:type="gramStart"/>
      <w:r w:rsidRPr="00705835">
        <w:rPr>
          <w:rFonts w:cs="Times New Roman"/>
          <w:lang w:eastAsia="en-GB"/>
        </w:rPr>
        <w:t>Matthews )</w:t>
      </w:r>
      <w:proofErr w:type="gramEnd"/>
      <w:r w:rsidRPr="00705835">
        <w:rPr>
          <w:rFonts w:cs="Times New Roman"/>
          <w:lang w:eastAsia="en-GB"/>
        </w:rPr>
        <w:t>:</w:t>
      </w:r>
    </w:p>
    <w:p w:rsidR="00705835" w:rsidRPr="00705835" w:rsidRDefault="00705835" w:rsidP="00705835">
      <w:pPr>
        <w:spacing w:before="100" w:beforeAutospacing="1" w:after="100" w:afterAutospacing="1"/>
        <w:ind w:left="720"/>
        <w:rPr>
          <w:rFonts w:cs="Times New Roman"/>
          <w:lang w:eastAsia="en-GB"/>
        </w:rPr>
      </w:pPr>
      <w:r w:rsidRPr="00705835">
        <w:rPr>
          <w:rFonts w:cs="Times New Roman"/>
          <w:lang w:eastAsia="en-GB"/>
        </w:rPr>
        <w:t>The Headteacher is the only person in the school with the authority to exclude a pupil. He is responsible for ensuring a fair and objective investigation is carried out and that all legal procedures are followed.</w:t>
      </w:r>
    </w:p>
    <w:p w:rsidR="00705835" w:rsidRPr="00705835" w:rsidRDefault="00705835" w:rsidP="00705835">
      <w:pPr>
        <w:numPr>
          <w:ilvl w:val="0"/>
          <w:numId w:val="38"/>
        </w:numPr>
        <w:spacing w:before="100" w:beforeAutospacing="1" w:after="100" w:afterAutospacing="1"/>
        <w:rPr>
          <w:rFonts w:cs="Times New Roman"/>
          <w:lang w:eastAsia="en-GB"/>
        </w:rPr>
      </w:pPr>
      <w:r w:rsidRPr="00705835">
        <w:rPr>
          <w:rFonts w:cs="Times New Roman"/>
          <w:b/>
          <w:bCs/>
          <w:lang w:eastAsia="en-GB"/>
        </w:rPr>
        <w:t>The Governing Body:</w:t>
      </w:r>
      <w:r w:rsidRPr="00705835">
        <w:rPr>
          <w:rFonts w:cs="Times New Roman"/>
          <w:lang w:eastAsia="en-GB"/>
        </w:rPr>
        <w:t xml:space="preserve"> The Governing Body is responsible for reviewing the Headteacher's decisions on exclusion. A committee will be formed to consider any representations made by parents. The Designated Governor for Child Protection is Les Campbell.</w:t>
      </w:r>
    </w:p>
    <w:p w:rsidR="00705835" w:rsidRPr="00705835" w:rsidRDefault="00705835" w:rsidP="00705835">
      <w:pPr>
        <w:numPr>
          <w:ilvl w:val="0"/>
          <w:numId w:val="38"/>
        </w:numPr>
        <w:spacing w:before="100" w:beforeAutospacing="1" w:after="100" w:afterAutospacing="1"/>
        <w:rPr>
          <w:rFonts w:cs="Times New Roman"/>
          <w:lang w:eastAsia="en-GB"/>
        </w:rPr>
      </w:pPr>
      <w:r w:rsidRPr="00705835">
        <w:rPr>
          <w:rFonts w:cs="Times New Roman"/>
          <w:lang w:eastAsia="en-GB"/>
        </w:rPr>
        <w:t xml:space="preserve">The SENCO (Miss N. </w:t>
      </w:r>
      <w:proofErr w:type="gramStart"/>
      <w:r w:rsidRPr="00705835">
        <w:rPr>
          <w:rFonts w:cs="Times New Roman"/>
          <w:lang w:eastAsia="en-GB"/>
        </w:rPr>
        <w:t>Youd )</w:t>
      </w:r>
      <w:proofErr w:type="gramEnd"/>
      <w:r w:rsidRPr="00705835">
        <w:rPr>
          <w:rFonts w:cs="Times New Roman"/>
          <w:lang w:eastAsia="en-GB"/>
        </w:rPr>
        <w:t>:</w:t>
      </w:r>
    </w:p>
    <w:p w:rsidR="00705835" w:rsidRPr="00705835" w:rsidRDefault="00705835" w:rsidP="00705835">
      <w:pPr>
        <w:spacing w:before="100" w:beforeAutospacing="1" w:after="100" w:afterAutospacing="1"/>
        <w:ind w:left="720"/>
        <w:rPr>
          <w:rFonts w:cs="Times New Roman"/>
          <w:lang w:eastAsia="en-GB"/>
        </w:rPr>
      </w:pPr>
      <w:r w:rsidRPr="00705835">
        <w:rPr>
          <w:rFonts w:cs="Times New Roman"/>
          <w:lang w:eastAsia="en-GB"/>
        </w:rPr>
        <w:t>The SENCO must be consulted regarding any pupil with Special Educational Needs and Disabilities (SEND) who is at risk of exclusion. This is to ensure all possible support has been implemented and to consider whether the behaviour is linked to the pupil's specific needs.</w:t>
      </w:r>
    </w:p>
    <w:p w:rsidR="00705835" w:rsidRPr="00705835" w:rsidRDefault="00705835" w:rsidP="00705835">
      <w:pPr>
        <w:numPr>
          <w:ilvl w:val="0"/>
          <w:numId w:val="38"/>
        </w:numPr>
        <w:spacing w:before="100" w:beforeAutospacing="1" w:after="100" w:afterAutospacing="1"/>
        <w:rPr>
          <w:rFonts w:cs="Times New Roman"/>
          <w:lang w:eastAsia="en-GB"/>
        </w:rPr>
      </w:pPr>
      <w:r w:rsidRPr="00705835">
        <w:rPr>
          <w:rFonts w:cs="Times New Roman"/>
          <w:b/>
          <w:bCs/>
          <w:lang w:eastAsia="en-GB"/>
        </w:rPr>
        <w:t>Staff:</w:t>
      </w:r>
      <w:r w:rsidRPr="00705835">
        <w:rPr>
          <w:rFonts w:cs="Times New Roman"/>
          <w:lang w:eastAsia="en-GB"/>
        </w:rPr>
        <w:t xml:space="preserve"> All staff are responsible for consistently applying the school's behaviour policy and modelling positive relationships. Any safeguarding concerns relating to a pupil's behaviour must be reported to the Designated Safeguarding Lead (DSL), Mr. Ian Matthews, or the Deputy DSL, Mr. Matt Harty.</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4. Alternatives to Exclusion</w:t>
      </w:r>
    </w:p>
    <w:p w:rsidR="00705835" w:rsidRPr="00705835" w:rsidRDefault="00705835" w:rsidP="00705835">
      <w:pPr>
        <w:spacing w:before="100" w:beforeAutospacing="1" w:after="100" w:afterAutospacing="1"/>
        <w:rPr>
          <w:rFonts w:cs="Times New Roman"/>
          <w:lang w:eastAsia="en-GB"/>
        </w:rPr>
      </w:pPr>
      <w:r w:rsidRPr="00705835">
        <w:rPr>
          <w:rFonts w:cs="Times New Roman"/>
          <w:lang w:eastAsia="en-GB"/>
        </w:rPr>
        <w:t>Ashleigh Primary School is committed to providing high-quality pastoral support to help pupils manage their behaviour and avoid exclusion. Strategies include:</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Targeted support from our Pupil Well Being Mentor, Mrs. K. Donnelly.</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Utilising tools such as the "Worry Box" to help pupils raise concerns.</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A well-planned PSHE curriculum that supports pupils with essential life skills.</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Well-planned and targeted support for pupils with SEND.</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Celebrating positive behaviour to foster a purposeful learning environment.</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Working in partnership with parents to address concerns at an early stage.</w:t>
      </w:r>
    </w:p>
    <w:p w:rsidR="00705835" w:rsidRPr="00705835" w:rsidRDefault="00705835" w:rsidP="00705835">
      <w:pPr>
        <w:numPr>
          <w:ilvl w:val="0"/>
          <w:numId w:val="39"/>
        </w:numPr>
        <w:spacing w:before="100" w:beforeAutospacing="1" w:after="100" w:afterAutospacing="1"/>
        <w:rPr>
          <w:rFonts w:cs="Times New Roman"/>
          <w:lang w:eastAsia="en-GB"/>
        </w:rPr>
      </w:pPr>
      <w:r w:rsidRPr="00705835">
        <w:rPr>
          <w:rFonts w:cs="Times New Roman"/>
          <w:lang w:eastAsia="en-GB"/>
        </w:rPr>
        <w:t>Internal school sanctions, such as loss of playtime or removal from the classroom for a short period.</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5. Reasons for Exclusion</w:t>
      </w:r>
    </w:p>
    <w:p w:rsidR="00705835" w:rsidRPr="00705835" w:rsidRDefault="00705835" w:rsidP="00705835">
      <w:pPr>
        <w:spacing w:before="100" w:beforeAutospacing="1" w:after="100" w:afterAutospacing="1"/>
        <w:rPr>
          <w:rFonts w:cs="Times New Roman"/>
          <w:lang w:eastAsia="en-GB"/>
        </w:rPr>
      </w:pPr>
      <w:r w:rsidRPr="00705835">
        <w:rPr>
          <w:rFonts w:cs="Times New Roman"/>
          <w:lang w:eastAsia="en-GB"/>
        </w:rPr>
        <w:t>Exclusion will only be used for serious or persistent breaches of the school's Behaviour Policy. While not an exhaustive list, the following behaviours may lead to exclusion:</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t>Serious physical assault against another pupil or an adult.</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lastRenderedPageBreak/>
        <w:t>Verbal abuse or threatening behaviour against a pupil or adult.</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t>Possession of an offensive weapon or illegal substance.</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t>Serious and deliberate damage to school property.</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t>Persistent, defiant misbehaviour which disrupts the learning of others and undermines the authority of staff.</w:t>
      </w:r>
    </w:p>
    <w:p w:rsidR="00705835" w:rsidRPr="00705835" w:rsidRDefault="00705835" w:rsidP="00705835">
      <w:pPr>
        <w:numPr>
          <w:ilvl w:val="0"/>
          <w:numId w:val="40"/>
        </w:numPr>
        <w:spacing w:before="100" w:beforeAutospacing="1" w:after="100" w:afterAutospacing="1"/>
        <w:rPr>
          <w:rFonts w:cs="Times New Roman"/>
          <w:lang w:eastAsia="en-GB"/>
        </w:rPr>
      </w:pPr>
      <w:r w:rsidRPr="00705835">
        <w:rPr>
          <w:rFonts w:cs="Times New Roman"/>
          <w:lang w:eastAsia="en-GB"/>
        </w:rPr>
        <w:t>Bullying, which is not tolerated at our school.</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6. Types of Exclusion</w:t>
      </w:r>
    </w:p>
    <w:p w:rsidR="00705835" w:rsidRPr="00705835" w:rsidRDefault="00705835" w:rsidP="00705835">
      <w:pPr>
        <w:numPr>
          <w:ilvl w:val="0"/>
          <w:numId w:val="41"/>
        </w:numPr>
        <w:spacing w:before="100" w:beforeAutospacing="1" w:after="100" w:afterAutospacing="1"/>
        <w:rPr>
          <w:rFonts w:cs="Times New Roman"/>
          <w:lang w:eastAsia="en-GB"/>
        </w:rPr>
      </w:pPr>
      <w:r w:rsidRPr="00705835">
        <w:rPr>
          <w:rFonts w:cs="Times New Roman"/>
          <w:b/>
          <w:bCs/>
          <w:lang w:eastAsia="en-GB"/>
        </w:rPr>
        <w:t>Suspension (Fixed-Period Exclusion):</w:t>
      </w:r>
      <w:r w:rsidRPr="00705835">
        <w:rPr>
          <w:rFonts w:cs="Times New Roman"/>
          <w:lang w:eastAsia="en-GB"/>
        </w:rPr>
        <w:t xml:space="preserve"> A pupil is removed from the school site for a fixed number of days. A pupil cannot be suspended for more than 45 school days in a single academic year.</w:t>
      </w:r>
    </w:p>
    <w:p w:rsidR="00705835" w:rsidRPr="00705835" w:rsidRDefault="00705835" w:rsidP="00705835">
      <w:pPr>
        <w:numPr>
          <w:ilvl w:val="0"/>
          <w:numId w:val="41"/>
        </w:numPr>
        <w:spacing w:before="100" w:beforeAutospacing="1" w:after="100" w:afterAutospacing="1"/>
        <w:rPr>
          <w:rFonts w:cs="Times New Roman"/>
          <w:lang w:eastAsia="en-GB"/>
        </w:rPr>
      </w:pPr>
      <w:r w:rsidRPr="00705835">
        <w:rPr>
          <w:rFonts w:cs="Times New Roman"/>
          <w:b/>
          <w:bCs/>
          <w:lang w:eastAsia="en-GB"/>
        </w:rPr>
        <w:t>Permanent Exclusion:</w:t>
      </w:r>
      <w:r w:rsidRPr="00705835">
        <w:rPr>
          <w:rFonts w:cs="Times New Roman"/>
          <w:lang w:eastAsia="en-GB"/>
        </w:rPr>
        <w:t xml:space="preserve"> A pupil is permanently removed from the school roll. This is an extremely serious step taken only when the Headteacher believes the pupil's presence at the school poses a significant risk to the welfare of others or that the pupil's behaviour has made the situation unmanageable.</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7. The Exclusion Process</w:t>
      </w:r>
    </w:p>
    <w:p w:rsidR="00705835" w:rsidRPr="00705835" w:rsidRDefault="00705835" w:rsidP="00705835">
      <w:pPr>
        <w:numPr>
          <w:ilvl w:val="0"/>
          <w:numId w:val="42"/>
        </w:numPr>
        <w:spacing w:before="100" w:beforeAutospacing="1" w:after="100" w:afterAutospacing="1"/>
        <w:rPr>
          <w:rFonts w:cs="Times New Roman"/>
          <w:lang w:eastAsia="en-GB"/>
        </w:rPr>
      </w:pPr>
      <w:r w:rsidRPr="00705835">
        <w:rPr>
          <w:rFonts w:cs="Times New Roman"/>
          <w:b/>
          <w:bCs/>
          <w:lang w:eastAsia="en-GB"/>
        </w:rPr>
        <w:t>Investigation:</w:t>
      </w:r>
      <w:r w:rsidRPr="00705835">
        <w:rPr>
          <w:rFonts w:cs="Times New Roman"/>
          <w:lang w:eastAsia="en-GB"/>
        </w:rPr>
        <w:t xml:space="preserve"> The Headteacher (or a senior leader delegated by him) will conduct a full and fair investigation, gathering statements from the pupil concerned, any victims, and any witnesses.</w:t>
      </w:r>
    </w:p>
    <w:p w:rsidR="00705835" w:rsidRPr="00705835" w:rsidRDefault="00705835" w:rsidP="00705835">
      <w:pPr>
        <w:numPr>
          <w:ilvl w:val="0"/>
          <w:numId w:val="42"/>
        </w:numPr>
        <w:spacing w:before="100" w:beforeAutospacing="1" w:after="100" w:afterAutospacing="1"/>
        <w:rPr>
          <w:rFonts w:cs="Times New Roman"/>
          <w:lang w:eastAsia="en-GB"/>
        </w:rPr>
      </w:pPr>
      <w:r w:rsidRPr="00705835">
        <w:rPr>
          <w:rFonts w:cs="Times New Roman"/>
          <w:b/>
          <w:bCs/>
          <w:lang w:eastAsia="en-GB"/>
        </w:rPr>
        <w:t>Decision:</w:t>
      </w:r>
      <w:r w:rsidRPr="00705835">
        <w:rPr>
          <w:rFonts w:cs="Times New Roman"/>
          <w:lang w:eastAsia="en-GB"/>
        </w:rPr>
        <w:t xml:space="preserve"> The Headteacher will review the evidence and consider all factors, including any mitigating circumstances and the views of the SENCO where appropriate, before </w:t>
      </w:r>
      <w:proofErr w:type="gramStart"/>
      <w:r w:rsidRPr="00705835">
        <w:rPr>
          <w:rFonts w:cs="Times New Roman"/>
          <w:lang w:eastAsia="en-GB"/>
        </w:rPr>
        <w:t>making a decision</w:t>
      </w:r>
      <w:proofErr w:type="gramEnd"/>
      <w:r w:rsidRPr="00705835">
        <w:rPr>
          <w:rFonts w:cs="Times New Roman"/>
          <w:lang w:eastAsia="en-GB"/>
        </w:rPr>
        <w:t>.</w:t>
      </w:r>
    </w:p>
    <w:p w:rsidR="00705835" w:rsidRPr="00705835" w:rsidRDefault="00705835" w:rsidP="00705835">
      <w:pPr>
        <w:numPr>
          <w:ilvl w:val="0"/>
          <w:numId w:val="42"/>
        </w:numPr>
        <w:spacing w:before="100" w:beforeAutospacing="1" w:after="100" w:afterAutospacing="1"/>
        <w:rPr>
          <w:rFonts w:cs="Times New Roman"/>
          <w:lang w:eastAsia="en-GB"/>
        </w:rPr>
      </w:pPr>
      <w:r w:rsidRPr="00705835">
        <w:rPr>
          <w:rFonts w:cs="Times New Roman"/>
          <w:b/>
          <w:bCs/>
          <w:lang w:eastAsia="en-GB"/>
        </w:rPr>
        <w:t>Notification:</w:t>
      </w:r>
      <w:r w:rsidRPr="00705835">
        <w:rPr>
          <w:rFonts w:cs="Times New Roman"/>
          <w:lang w:eastAsia="en-GB"/>
        </w:rPr>
        <w:t xml:space="preserve"> Parents/carers will be notified by telephone on the day of the decision. This will be followed by a formal letter stating the reason for the exclusion, the length of the exclusion, arrangements for continuing education, and the parents' right to make representations to the Governing Body.</w:t>
      </w:r>
    </w:p>
    <w:p w:rsidR="00705835" w:rsidRPr="00705835" w:rsidRDefault="00705835" w:rsidP="00705835">
      <w:pPr>
        <w:numPr>
          <w:ilvl w:val="0"/>
          <w:numId w:val="42"/>
        </w:numPr>
        <w:spacing w:before="100" w:beforeAutospacing="1" w:after="100" w:afterAutospacing="1"/>
        <w:rPr>
          <w:rFonts w:cs="Times New Roman"/>
          <w:lang w:eastAsia="en-GB"/>
        </w:rPr>
      </w:pPr>
      <w:r w:rsidRPr="00705835">
        <w:rPr>
          <w:rFonts w:cs="Times New Roman"/>
          <w:b/>
          <w:bCs/>
          <w:lang w:eastAsia="en-GB"/>
        </w:rPr>
        <w:t>Education During Exclusion:</w:t>
      </w:r>
      <w:r w:rsidRPr="00705835">
        <w:rPr>
          <w:rFonts w:cs="Times New Roman"/>
          <w:lang w:eastAsia="en-GB"/>
        </w:rPr>
        <w:t xml:space="preserve"> The school will provide work for the pupil to complete at home for the first five days of any exclusion.</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8. Reintegration after Suspension</w:t>
      </w:r>
    </w:p>
    <w:p w:rsidR="00705835" w:rsidRDefault="00705835" w:rsidP="00705835">
      <w:pPr>
        <w:spacing w:before="100" w:beforeAutospacing="1" w:after="100" w:afterAutospacing="1"/>
        <w:rPr>
          <w:rFonts w:cs="Times New Roman"/>
          <w:lang w:eastAsia="en-GB"/>
        </w:rPr>
      </w:pPr>
      <w:r w:rsidRPr="00705835">
        <w:rPr>
          <w:rFonts w:cs="Times New Roman"/>
          <w:lang w:eastAsia="en-GB"/>
        </w:rPr>
        <w:t xml:space="preserve">A reintegration meeting will be held upon the pupil's return to school, involving the pupil, parents/carers, and a senior member of staff (such as Mr. Harty or Miss </w:t>
      </w:r>
      <w:proofErr w:type="gramStart"/>
      <w:r w:rsidRPr="00705835">
        <w:rPr>
          <w:rFonts w:cs="Times New Roman"/>
          <w:lang w:eastAsia="en-GB"/>
        </w:rPr>
        <w:t>Youd )</w:t>
      </w:r>
      <w:proofErr w:type="gramEnd"/>
      <w:r w:rsidRPr="00705835">
        <w:rPr>
          <w:rFonts w:cs="Times New Roman"/>
          <w:lang w:eastAsia="en-GB"/>
        </w:rPr>
        <w:t>. The purpose of this meeting is to review the incident, reinforce expectations, and agree on a plan to ensure a successful and positive return to school life.</w:t>
      </w:r>
    </w:p>
    <w:p w:rsidR="00325240" w:rsidRDefault="00325240" w:rsidP="00705835">
      <w:pPr>
        <w:spacing w:before="100" w:beforeAutospacing="1" w:after="100" w:afterAutospacing="1"/>
        <w:rPr>
          <w:rFonts w:cs="Times New Roman"/>
          <w:lang w:eastAsia="en-GB"/>
        </w:rPr>
      </w:pPr>
    </w:p>
    <w:p w:rsidR="00325240" w:rsidRDefault="00325240" w:rsidP="00705835">
      <w:pPr>
        <w:spacing w:before="100" w:beforeAutospacing="1" w:after="100" w:afterAutospacing="1"/>
        <w:rPr>
          <w:rFonts w:cs="Times New Roman"/>
          <w:lang w:eastAsia="en-GB"/>
        </w:rPr>
      </w:pPr>
    </w:p>
    <w:p w:rsidR="00325240" w:rsidRPr="00705835" w:rsidRDefault="00325240" w:rsidP="00705835">
      <w:pPr>
        <w:spacing w:before="100" w:beforeAutospacing="1" w:after="100" w:afterAutospacing="1"/>
        <w:rPr>
          <w:rFonts w:cs="Times New Roman"/>
          <w:lang w:eastAsia="en-GB"/>
        </w:rPr>
      </w:pPr>
      <w:bookmarkStart w:id="0" w:name="_GoBack"/>
      <w:bookmarkEnd w:id="0"/>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lastRenderedPageBreak/>
        <w:t>9. Links to other Policies</w:t>
      </w:r>
      <w:r w:rsidRPr="00705835">
        <w:rPr>
          <w:rFonts w:cs="Times New Roman"/>
          <w:lang w:eastAsia="en-GB"/>
        </w:rPr>
        <w:t xml:space="preserve"> This policy should be read in conjunction with:</w:t>
      </w:r>
    </w:p>
    <w:p w:rsidR="00705835" w:rsidRPr="00705835" w:rsidRDefault="00705835" w:rsidP="00705835">
      <w:pPr>
        <w:numPr>
          <w:ilvl w:val="0"/>
          <w:numId w:val="43"/>
        </w:numPr>
        <w:spacing w:before="100" w:beforeAutospacing="1" w:after="100" w:afterAutospacing="1"/>
        <w:rPr>
          <w:rFonts w:cs="Times New Roman"/>
          <w:lang w:eastAsia="en-GB"/>
        </w:rPr>
      </w:pPr>
      <w:r w:rsidRPr="00705835">
        <w:rPr>
          <w:rFonts w:cs="Times New Roman"/>
          <w:lang w:eastAsia="en-GB"/>
        </w:rPr>
        <w:t>Behaviour and Attitudes Policy</w:t>
      </w:r>
    </w:p>
    <w:p w:rsidR="00705835" w:rsidRPr="00705835" w:rsidRDefault="00705835" w:rsidP="00705835">
      <w:pPr>
        <w:numPr>
          <w:ilvl w:val="0"/>
          <w:numId w:val="43"/>
        </w:numPr>
        <w:spacing w:before="100" w:beforeAutospacing="1" w:after="100" w:afterAutospacing="1"/>
        <w:rPr>
          <w:rFonts w:cs="Times New Roman"/>
          <w:lang w:eastAsia="en-GB"/>
        </w:rPr>
      </w:pPr>
      <w:r w:rsidRPr="00705835">
        <w:rPr>
          <w:rFonts w:cs="Times New Roman"/>
          <w:lang w:eastAsia="en-GB"/>
        </w:rPr>
        <w:t>Safeguarding and Child Protection Policy</w:t>
      </w:r>
    </w:p>
    <w:p w:rsidR="00705835" w:rsidRPr="00705835" w:rsidRDefault="00705835" w:rsidP="00705835">
      <w:pPr>
        <w:numPr>
          <w:ilvl w:val="0"/>
          <w:numId w:val="43"/>
        </w:numPr>
        <w:spacing w:before="100" w:beforeAutospacing="1" w:after="100" w:afterAutospacing="1"/>
        <w:rPr>
          <w:rFonts w:cs="Times New Roman"/>
          <w:lang w:eastAsia="en-GB"/>
        </w:rPr>
      </w:pPr>
      <w:r w:rsidRPr="00705835">
        <w:rPr>
          <w:rFonts w:cs="Times New Roman"/>
          <w:lang w:eastAsia="en-GB"/>
        </w:rPr>
        <w:t>Special Educational Needs and Disabilities (SEND) Policy</w:t>
      </w:r>
    </w:p>
    <w:p w:rsidR="00705835" w:rsidRPr="00705835" w:rsidRDefault="00705835" w:rsidP="00705835">
      <w:pPr>
        <w:numPr>
          <w:ilvl w:val="0"/>
          <w:numId w:val="43"/>
        </w:numPr>
        <w:spacing w:before="100" w:beforeAutospacing="1" w:after="100" w:afterAutospacing="1"/>
        <w:rPr>
          <w:rFonts w:cs="Times New Roman"/>
          <w:lang w:eastAsia="en-GB"/>
        </w:rPr>
      </w:pPr>
      <w:r w:rsidRPr="00705835">
        <w:rPr>
          <w:rFonts w:cs="Times New Roman"/>
          <w:lang w:eastAsia="en-GB"/>
        </w:rPr>
        <w:t>Anti-Bullying Policy</w:t>
      </w:r>
    </w:p>
    <w:p w:rsidR="00705835" w:rsidRPr="00705835" w:rsidRDefault="00705835" w:rsidP="00705835">
      <w:pPr>
        <w:numPr>
          <w:ilvl w:val="0"/>
          <w:numId w:val="43"/>
        </w:numPr>
        <w:spacing w:before="100" w:beforeAutospacing="1" w:after="100" w:afterAutospacing="1"/>
        <w:rPr>
          <w:rFonts w:cs="Times New Roman"/>
          <w:lang w:eastAsia="en-GB"/>
        </w:rPr>
      </w:pPr>
      <w:r w:rsidRPr="00705835">
        <w:rPr>
          <w:rFonts w:cs="Times New Roman"/>
          <w:lang w:eastAsia="en-GB"/>
        </w:rPr>
        <w:t>Medical Conditions Policy</w:t>
      </w:r>
    </w:p>
    <w:p w:rsidR="00705835" w:rsidRPr="00705835" w:rsidRDefault="00705835" w:rsidP="00705835">
      <w:pPr>
        <w:spacing w:before="100" w:beforeAutospacing="1" w:after="100" w:afterAutospacing="1"/>
        <w:rPr>
          <w:rFonts w:cs="Times New Roman"/>
          <w:lang w:eastAsia="en-GB"/>
        </w:rPr>
      </w:pPr>
      <w:r w:rsidRPr="00705835">
        <w:rPr>
          <w:rFonts w:cs="Times New Roman"/>
          <w:b/>
          <w:bCs/>
          <w:lang w:eastAsia="en-GB"/>
        </w:rPr>
        <w:t>Policy Approved:</w:t>
      </w:r>
      <w:r w:rsidRPr="00705835">
        <w:rPr>
          <w:rFonts w:cs="Times New Roman"/>
          <w:lang w:eastAsia="en-GB"/>
        </w:rPr>
        <w:t xml:space="preserve"> September 2025 </w:t>
      </w:r>
      <w:r w:rsidRPr="00705835">
        <w:rPr>
          <w:rFonts w:cs="Times New Roman"/>
          <w:b/>
          <w:bCs/>
          <w:lang w:eastAsia="en-GB"/>
        </w:rPr>
        <w:t>Next Review Date:</w:t>
      </w:r>
      <w:r w:rsidRPr="00705835">
        <w:rPr>
          <w:rFonts w:cs="Times New Roman"/>
          <w:lang w:eastAsia="en-GB"/>
        </w:rPr>
        <w:t xml:space="preserve"> September 2026</w:t>
      </w:r>
    </w:p>
    <w:p w:rsidR="00136628" w:rsidRPr="00EE2886" w:rsidRDefault="00136628" w:rsidP="00640AE4">
      <w:pPr>
        <w:pStyle w:val="aLCPBodytext"/>
        <w:ind w:left="0"/>
        <w:rPr>
          <w:sz w:val="26"/>
          <w:szCs w:val="26"/>
        </w:rPr>
      </w:pPr>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5C" w:rsidRDefault="007E255C">
      <w:r>
        <w:separator/>
      </w:r>
    </w:p>
  </w:endnote>
  <w:endnote w:type="continuationSeparator" w:id="0">
    <w:p w:rsidR="007E255C" w:rsidRDefault="007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Default="00136628" w:rsidP="00004C36">
    <w:pPr>
      <w:pStyle w:val="Footer"/>
      <w:jc w:val="center"/>
    </w:pPr>
    <w:r>
      <w:t xml:space="preserve">Page </w:t>
    </w:r>
    <w:r w:rsidR="00DD1E1D">
      <w:fldChar w:fldCharType="begin"/>
    </w:r>
    <w:r w:rsidR="00004C36">
      <w:instrText xml:space="preserve"> PAGE </w:instrText>
    </w:r>
    <w:r w:rsidR="00DD1E1D">
      <w:fldChar w:fldCharType="separate"/>
    </w:r>
    <w:r w:rsidR="00D22C20">
      <w:rPr>
        <w:noProof/>
      </w:rPr>
      <w:t>1</w:t>
    </w:r>
    <w:r w:rsidR="00DD1E1D">
      <w:rPr>
        <w:noProof/>
      </w:rPr>
      <w:fldChar w:fldCharType="end"/>
    </w:r>
    <w:r>
      <w:t xml:space="preserve"> of </w:t>
    </w:r>
    <w:r w:rsidR="00DD1E1D">
      <w:fldChar w:fldCharType="begin"/>
    </w:r>
    <w:r w:rsidR="00004C36">
      <w:instrText xml:space="preserve"> NUMPAGES </w:instrText>
    </w:r>
    <w:r w:rsidR="00DD1E1D">
      <w:fldChar w:fldCharType="separate"/>
    </w:r>
    <w:r w:rsidR="00D22C20">
      <w:rPr>
        <w:noProof/>
      </w:rPr>
      <w:t>3</w:t>
    </w:r>
    <w:r w:rsidR="00DD1E1D">
      <w:rPr>
        <w:noProof/>
      </w:rPr>
      <w:fldChar w:fldCharType="end"/>
    </w:r>
  </w:p>
  <w:p w:rsidR="00004C36" w:rsidRPr="00325240" w:rsidRDefault="00325240" w:rsidP="00004C36">
    <w:pPr>
      <w:pStyle w:val="Footer"/>
      <w:jc w:val="center"/>
      <w:rPr>
        <w:sz w:val="16"/>
        <w:szCs w:val="16"/>
      </w:rPr>
    </w:pPr>
    <w:r w:rsidRPr="00325240">
      <w:rPr>
        <w:sz w:val="16"/>
        <w:szCs w:val="16"/>
      </w:rPr>
      <w:fldChar w:fldCharType="begin"/>
    </w:r>
    <w:r w:rsidRPr="00325240">
      <w:rPr>
        <w:sz w:val="16"/>
        <w:szCs w:val="16"/>
      </w:rPr>
      <w:instrText xml:space="preserve"> FILENAME  \p  \* MERGEFORMAT </w:instrText>
    </w:r>
    <w:r w:rsidRPr="00325240">
      <w:rPr>
        <w:sz w:val="16"/>
        <w:szCs w:val="16"/>
      </w:rPr>
      <w:fldChar w:fldCharType="separate"/>
    </w:r>
    <w:r w:rsidRPr="00325240">
      <w:rPr>
        <w:noProof/>
        <w:sz w:val="16"/>
        <w:szCs w:val="16"/>
      </w:rPr>
      <w:t>T:\Policies\Exclusion Policy Sept 2025.docx</w:t>
    </w:r>
    <w:r w:rsidRPr="0032524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5C" w:rsidRDefault="007E255C">
      <w:r>
        <w:separator/>
      </w:r>
    </w:p>
  </w:footnote>
  <w:footnote w:type="continuationSeparator" w:id="0">
    <w:p w:rsidR="007E255C" w:rsidRDefault="007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anchor>
      </w:drawing>
    </w:r>
    <w:r w:rsidR="00136628" w:rsidRPr="00705835">
      <w:rPr>
        <w:sz w:val="18"/>
        <w:szCs w:val="18"/>
      </w:rPr>
      <w:t>Ashleigh Primary School</w:t>
    </w:r>
  </w:p>
  <w:p w:rsidR="00136628" w:rsidRPr="00705835" w:rsidRDefault="004A404F">
    <w:pPr>
      <w:pStyle w:val="Header"/>
      <w:jc w:val="center"/>
      <w:rPr>
        <w:sz w:val="18"/>
        <w:szCs w:val="18"/>
      </w:rPr>
    </w:pPr>
    <w:r w:rsidRPr="00705835">
      <w:rPr>
        <w:noProof/>
        <w:sz w:val="18"/>
        <w:szCs w:val="18"/>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anchor>
      </w:drawing>
    </w:r>
    <w:r w:rsidR="00705835" w:rsidRPr="00705835">
      <w:rPr>
        <w:noProof/>
        <w:sz w:val="18"/>
        <w:szCs w:val="18"/>
        <w:lang w:eastAsia="en-GB"/>
      </w:rPr>
      <w:t>Exclusion</w:t>
    </w:r>
    <w:r w:rsidR="00F90ED2" w:rsidRPr="00705835">
      <w:rPr>
        <w:noProof/>
        <w:sz w:val="18"/>
        <w:szCs w:val="18"/>
        <w:lang w:eastAsia="en-GB"/>
      </w:rPr>
      <w:t xml:space="preserve"> </w:t>
    </w:r>
    <w:r w:rsidR="00136628" w:rsidRPr="00705835">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723A"/>
    <w:multiLevelType w:val="multilevel"/>
    <w:tmpl w:val="E65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 w15:restartNumberingAfterBreak="0">
    <w:nsid w:val="0E520D85"/>
    <w:multiLevelType w:val="multilevel"/>
    <w:tmpl w:val="9BC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5"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6D52668"/>
    <w:multiLevelType w:val="multilevel"/>
    <w:tmpl w:val="4A64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9" w15:restartNumberingAfterBreak="0">
    <w:nsid w:val="1E92700F"/>
    <w:multiLevelType w:val="multilevel"/>
    <w:tmpl w:val="83E8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E52D41"/>
    <w:multiLevelType w:val="hybridMultilevel"/>
    <w:tmpl w:val="995E5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4CE01EF"/>
    <w:multiLevelType w:val="hybridMultilevel"/>
    <w:tmpl w:val="D548D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4" w15:restartNumberingAfterBreak="0">
    <w:nsid w:val="3D483D2A"/>
    <w:multiLevelType w:val="multilevel"/>
    <w:tmpl w:val="8A8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E7AB4"/>
    <w:multiLevelType w:val="multilevel"/>
    <w:tmpl w:val="404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488560ED"/>
    <w:multiLevelType w:val="multilevel"/>
    <w:tmpl w:val="3EBA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3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9"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41"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33"/>
  </w:num>
  <w:num w:numId="2">
    <w:abstractNumId w:val="36"/>
  </w:num>
  <w:num w:numId="3">
    <w:abstractNumId w:val="5"/>
  </w:num>
  <w:num w:numId="4">
    <w:abstractNumId w:val="31"/>
  </w:num>
  <w:num w:numId="5">
    <w:abstractNumId w:val="32"/>
  </w:num>
  <w:num w:numId="6">
    <w:abstractNumId w:val="16"/>
  </w:num>
  <w:num w:numId="7">
    <w:abstractNumId w:val="15"/>
  </w:num>
  <w:num w:numId="8">
    <w:abstractNumId w:val="37"/>
  </w:num>
  <w:num w:numId="9">
    <w:abstractNumId w:val="6"/>
  </w:num>
  <w:num w:numId="10">
    <w:abstractNumId w:val="19"/>
  </w:num>
  <w:num w:numId="11">
    <w:abstractNumId w:val="35"/>
  </w:num>
  <w:num w:numId="12">
    <w:abstractNumId w:val="2"/>
  </w:num>
  <w:num w:numId="13">
    <w:abstractNumId w:val="4"/>
  </w:num>
  <w:num w:numId="14">
    <w:abstractNumId w:val="38"/>
  </w:num>
  <w:num w:numId="15">
    <w:abstractNumId w:val="40"/>
  </w:num>
  <w:num w:numId="16">
    <w:abstractNumId w:val="8"/>
  </w:num>
  <w:num w:numId="17">
    <w:abstractNumId w:val="17"/>
  </w:num>
  <w:num w:numId="18">
    <w:abstractNumId w:val="1"/>
  </w:num>
  <w:num w:numId="19">
    <w:abstractNumId w:val="23"/>
  </w:num>
  <w:num w:numId="20">
    <w:abstractNumId w:val="28"/>
  </w:num>
  <w:num w:numId="21">
    <w:abstractNumId w:val="11"/>
  </w:num>
  <w:num w:numId="22">
    <w:abstractNumId w:val="18"/>
  </w:num>
  <w:num w:numId="23">
    <w:abstractNumId w:val="27"/>
  </w:num>
  <w:num w:numId="24">
    <w:abstractNumId w:val="42"/>
  </w:num>
  <w:num w:numId="25">
    <w:abstractNumId w:val="29"/>
  </w:num>
  <w:num w:numId="26">
    <w:abstractNumId w:val="10"/>
  </w:num>
  <w:num w:numId="27">
    <w:abstractNumId w:val="21"/>
  </w:num>
  <w:num w:numId="28">
    <w:abstractNumId w:val="13"/>
  </w:num>
  <w:num w:numId="29">
    <w:abstractNumId w:val="20"/>
  </w:num>
  <w:num w:numId="30">
    <w:abstractNumId w:val="41"/>
  </w:num>
  <w:num w:numId="31">
    <w:abstractNumId w:val="39"/>
  </w:num>
  <w:num w:numId="32">
    <w:abstractNumId w:val="26"/>
  </w:num>
  <w:num w:numId="33">
    <w:abstractNumId w:val="12"/>
  </w:num>
  <w:num w:numId="34">
    <w:abstractNumId w:val="34"/>
  </w:num>
  <w:num w:numId="35">
    <w:abstractNumId w:val="14"/>
  </w:num>
  <w:num w:numId="36">
    <w:abstractNumId w:val="22"/>
  </w:num>
  <w:num w:numId="37">
    <w:abstractNumId w:val="24"/>
  </w:num>
  <w:num w:numId="38">
    <w:abstractNumId w:val="25"/>
  </w:num>
  <w:num w:numId="39">
    <w:abstractNumId w:val="3"/>
  </w:num>
  <w:num w:numId="40">
    <w:abstractNumId w:val="0"/>
  </w:num>
  <w:num w:numId="41">
    <w:abstractNumId w:val="9"/>
  </w:num>
  <w:num w:numId="42">
    <w:abstractNumId w:val="3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2146F"/>
    <w:rsid w:val="00136628"/>
    <w:rsid w:val="00167BB4"/>
    <w:rsid w:val="001815E9"/>
    <w:rsid w:val="001D66DC"/>
    <w:rsid w:val="001E7A0D"/>
    <w:rsid w:val="00225018"/>
    <w:rsid w:val="0023358D"/>
    <w:rsid w:val="0029793A"/>
    <w:rsid w:val="002C26CC"/>
    <w:rsid w:val="002D5D38"/>
    <w:rsid w:val="002E38C4"/>
    <w:rsid w:val="002E4F9C"/>
    <w:rsid w:val="002E62A1"/>
    <w:rsid w:val="00325240"/>
    <w:rsid w:val="00332540"/>
    <w:rsid w:val="00375322"/>
    <w:rsid w:val="00383042"/>
    <w:rsid w:val="003A5C3F"/>
    <w:rsid w:val="00402D91"/>
    <w:rsid w:val="004333EA"/>
    <w:rsid w:val="0045051C"/>
    <w:rsid w:val="004776F1"/>
    <w:rsid w:val="004957B3"/>
    <w:rsid w:val="004A1642"/>
    <w:rsid w:val="004A404F"/>
    <w:rsid w:val="004D02B8"/>
    <w:rsid w:val="00500C3A"/>
    <w:rsid w:val="00517716"/>
    <w:rsid w:val="00517D62"/>
    <w:rsid w:val="00525D3B"/>
    <w:rsid w:val="005330FC"/>
    <w:rsid w:val="00597D46"/>
    <w:rsid w:val="005F2CB7"/>
    <w:rsid w:val="0063026A"/>
    <w:rsid w:val="00640AE4"/>
    <w:rsid w:val="00673FC0"/>
    <w:rsid w:val="00692D17"/>
    <w:rsid w:val="006A4C5A"/>
    <w:rsid w:val="006A6F16"/>
    <w:rsid w:val="006C391C"/>
    <w:rsid w:val="006D11D4"/>
    <w:rsid w:val="006D1319"/>
    <w:rsid w:val="006F5449"/>
    <w:rsid w:val="006F717A"/>
    <w:rsid w:val="00705835"/>
    <w:rsid w:val="00711BCF"/>
    <w:rsid w:val="0071755D"/>
    <w:rsid w:val="007C670C"/>
    <w:rsid w:val="007D3167"/>
    <w:rsid w:val="007E255C"/>
    <w:rsid w:val="00806BAE"/>
    <w:rsid w:val="00810824"/>
    <w:rsid w:val="00865694"/>
    <w:rsid w:val="00872658"/>
    <w:rsid w:val="008D363A"/>
    <w:rsid w:val="009067EA"/>
    <w:rsid w:val="00960C34"/>
    <w:rsid w:val="00984396"/>
    <w:rsid w:val="009A0771"/>
    <w:rsid w:val="009B3BCB"/>
    <w:rsid w:val="009B6EA2"/>
    <w:rsid w:val="009D56BC"/>
    <w:rsid w:val="00A0243D"/>
    <w:rsid w:val="00A06BBD"/>
    <w:rsid w:val="00A12F19"/>
    <w:rsid w:val="00A3096D"/>
    <w:rsid w:val="00A65760"/>
    <w:rsid w:val="00A6797C"/>
    <w:rsid w:val="00A7420F"/>
    <w:rsid w:val="00AA5D2A"/>
    <w:rsid w:val="00AB2701"/>
    <w:rsid w:val="00AC1C6E"/>
    <w:rsid w:val="00AD4BF1"/>
    <w:rsid w:val="00AE6939"/>
    <w:rsid w:val="00B42647"/>
    <w:rsid w:val="00B431B5"/>
    <w:rsid w:val="00B80F28"/>
    <w:rsid w:val="00B85083"/>
    <w:rsid w:val="00BB12E1"/>
    <w:rsid w:val="00BE69BF"/>
    <w:rsid w:val="00C41D42"/>
    <w:rsid w:val="00C71BCB"/>
    <w:rsid w:val="00CA13EC"/>
    <w:rsid w:val="00CB0424"/>
    <w:rsid w:val="00CF6FFB"/>
    <w:rsid w:val="00D22C20"/>
    <w:rsid w:val="00D2698D"/>
    <w:rsid w:val="00D30444"/>
    <w:rsid w:val="00D44E63"/>
    <w:rsid w:val="00D75B64"/>
    <w:rsid w:val="00DA64C6"/>
    <w:rsid w:val="00DB1788"/>
    <w:rsid w:val="00DD1E1D"/>
    <w:rsid w:val="00DF7AC3"/>
    <w:rsid w:val="00E10E15"/>
    <w:rsid w:val="00E23D76"/>
    <w:rsid w:val="00E44505"/>
    <w:rsid w:val="00E542EB"/>
    <w:rsid w:val="00E74E0C"/>
    <w:rsid w:val="00EE2886"/>
    <w:rsid w:val="00EE2E79"/>
    <w:rsid w:val="00EF1EEA"/>
    <w:rsid w:val="00F00443"/>
    <w:rsid w:val="00F24A9A"/>
    <w:rsid w:val="00F57D9B"/>
    <w:rsid w:val="00F67990"/>
    <w:rsid w:val="00F72D2F"/>
    <w:rsid w:val="00F90ED2"/>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39EB5F88"/>
  <w15:docId w15:val="{F466C78F-2EEE-45D8-96D9-B566C26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2016-01-27T16:53:00Z</cp:lastPrinted>
  <dcterms:created xsi:type="dcterms:W3CDTF">2025-09-15T13:43:00Z</dcterms:created>
  <dcterms:modified xsi:type="dcterms:W3CDTF">2025-09-15T13:44:00Z</dcterms:modified>
</cp:coreProperties>
</file>