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C4C" w:rsidRPr="00185C4C" w:rsidRDefault="00185C4C" w:rsidP="00185C4C">
      <w:pPr>
        <w:spacing w:before="100" w:beforeAutospacing="1" w:after="100" w:afterAutospacing="1" w:line="240" w:lineRule="auto"/>
        <w:outlineLvl w:val="2"/>
        <w:rPr>
          <w:rFonts w:eastAsia="Times New Roman" w:cstheme="minorHAnsi"/>
          <w:b/>
          <w:bCs/>
          <w:sz w:val="32"/>
          <w:u w:val="single"/>
          <w:lang w:eastAsia="en-GB"/>
        </w:rPr>
      </w:pPr>
      <w:r w:rsidRPr="00185C4C">
        <w:rPr>
          <w:rFonts w:eastAsia="Times New Roman" w:cstheme="minorHAnsi"/>
          <w:b/>
          <w:bCs/>
          <w:sz w:val="32"/>
          <w:u w:val="single"/>
          <w:lang w:eastAsia="en-GB"/>
        </w:rPr>
        <w:t>SEND Information Report</w:t>
      </w:r>
      <w:bookmarkStart w:id="0" w:name="_GoBack"/>
      <w:bookmarkEnd w:id="0"/>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Brierley CE (VC) Primary School is committed to providing a fully inclusive education in which all pupils are valued, respected and supported to achieve their full potential. We ensure that high-quality teaching, alongside appropriate additional support where required, enables every child to make progress in line with their individual starting points.</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In order to fulfil our responsibility to provide a broad and balanced curriculum for all pupils, we aim to give every pupil the opportunity to experience success in learning and to achieve their maximum potential through a flexible and adapted programme.</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The school works with due regard to the SEND Code of Practice (2015) and the Equality Act (2010).</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The 2015 SEND Code of Practice states, 'A child or young person has SEN if they have a learning difficulty or disability which calls for special educational provision to be made for him or her and/or has a significantly greater difficulty in learning than the majority of others of the same age, or has a disability which prevents or hinders him or her from making use of facilities of a kind generally provided for others of the same age in mainstream schools.'</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The 2015 SEND Code of Practice also details, a disability under the Equality Act 2010 – that is ‘…a physical or mental impairment which has a long-term and substantial adverse effect on their ability to carry out normal day-to-day activities’.</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This report outlines the provision and arrangements in place for pupils with Special Educational Needs and/or Disabilities (SEND), in accordance with the SEND Code of Practice (2015), the Equality Act (2010), and associated statutory guidance.</w:t>
      </w:r>
    </w:p>
    <w:p w:rsidR="00185C4C" w:rsidRPr="00185C4C" w:rsidRDefault="00185C4C" w:rsidP="00185C4C">
      <w:pPr>
        <w:pStyle w:val="Heading3"/>
        <w:rPr>
          <w:rFonts w:asciiTheme="minorHAnsi" w:hAnsiTheme="minorHAnsi" w:cstheme="minorHAnsi"/>
          <w:sz w:val="22"/>
          <w:szCs w:val="22"/>
          <w:u w:val="single"/>
        </w:rPr>
      </w:pPr>
      <w:r w:rsidRPr="00185C4C">
        <w:rPr>
          <w:rFonts w:asciiTheme="minorHAnsi" w:hAnsiTheme="minorHAnsi" w:cstheme="minorHAnsi"/>
          <w:sz w:val="22"/>
          <w:szCs w:val="22"/>
          <w:u w:val="single"/>
        </w:rPr>
        <w:t>Definition of SEND</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In line with the SEND Code of Practice (2015), a pupil has SEND if they:</w:t>
      </w:r>
    </w:p>
    <w:p w:rsidR="00185C4C" w:rsidRPr="00185C4C" w:rsidRDefault="00185C4C" w:rsidP="00185C4C">
      <w:pPr>
        <w:pStyle w:val="NormalWeb"/>
        <w:numPr>
          <w:ilvl w:val="0"/>
          <w:numId w:val="1"/>
        </w:numPr>
        <w:rPr>
          <w:rFonts w:asciiTheme="minorHAnsi" w:hAnsiTheme="minorHAnsi" w:cstheme="minorHAnsi"/>
          <w:sz w:val="22"/>
          <w:szCs w:val="22"/>
        </w:rPr>
      </w:pPr>
      <w:r w:rsidRPr="00185C4C">
        <w:rPr>
          <w:rFonts w:asciiTheme="minorHAnsi" w:hAnsiTheme="minorHAnsi" w:cstheme="minorHAnsi"/>
          <w:sz w:val="22"/>
          <w:szCs w:val="22"/>
        </w:rPr>
        <w:t>Have a learning difficulty or disability which calls for special educational provision to be made for them; and/or</w:t>
      </w:r>
    </w:p>
    <w:p w:rsidR="00185C4C" w:rsidRPr="00185C4C" w:rsidRDefault="00185C4C" w:rsidP="00185C4C">
      <w:pPr>
        <w:pStyle w:val="NormalWeb"/>
        <w:numPr>
          <w:ilvl w:val="0"/>
          <w:numId w:val="1"/>
        </w:numPr>
        <w:rPr>
          <w:rFonts w:asciiTheme="minorHAnsi" w:hAnsiTheme="minorHAnsi" w:cstheme="minorHAnsi"/>
          <w:sz w:val="22"/>
          <w:szCs w:val="22"/>
        </w:rPr>
      </w:pPr>
      <w:r w:rsidRPr="00185C4C">
        <w:rPr>
          <w:rFonts w:asciiTheme="minorHAnsi" w:hAnsiTheme="minorHAnsi" w:cstheme="minorHAnsi"/>
          <w:sz w:val="22"/>
          <w:szCs w:val="22"/>
        </w:rPr>
        <w:t>Have significantly greater difficulty in learning than the majority of others of the same age; or</w:t>
      </w:r>
    </w:p>
    <w:p w:rsidR="00185C4C" w:rsidRPr="00185C4C" w:rsidRDefault="00185C4C" w:rsidP="00185C4C">
      <w:pPr>
        <w:pStyle w:val="NormalWeb"/>
        <w:numPr>
          <w:ilvl w:val="0"/>
          <w:numId w:val="1"/>
        </w:numPr>
        <w:rPr>
          <w:rFonts w:asciiTheme="minorHAnsi" w:hAnsiTheme="minorHAnsi" w:cstheme="minorHAnsi"/>
          <w:sz w:val="22"/>
          <w:szCs w:val="22"/>
        </w:rPr>
      </w:pPr>
      <w:r w:rsidRPr="00185C4C">
        <w:rPr>
          <w:rFonts w:asciiTheme="minorHAnsi" w:hAnsiTheme="minorHAnsi" w:cstheme="minorHAnsi"/>
          <w:sz w:val="22"/>
          <w:szCs w:val="22"/>
        </w:rPr>
        <w:t>Have a disability which prevents or hinders them from making use of facilities of a kind generally provided for others of the same age in mainstream schools.</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Under the Equality Act (2010), a disability is defined as a physical or mental impairment that has a long-term and substantial adverse effect on a person’s ability to carry out normal day-to-day activities.</w:t>
      </w:r>
    </w:p>
    <w:p w:rsidR="00185C4C" w:rsidRPr="00185C4C" w:rsidRDefault="00185C4C" w:rsidP="00185C4C">
      <w:pPr>
        <w:pStyle w:val="Heading3"/>
        <w:rPr>
          <w:rFonts w:asciiTheme="minorHAnsi" w:hAnsiTheme="minorHAnsi" w:cstheme="minorHAnsi"/>
          <w:sz w:val="22"/>
          <w:szCs w:val="22"/>
          <w:u w:val="single"/>
        </w:rPr>
      </w:pPr>
      <w:r w:rsidRPr="00185C4C">
        <w:rPr>
          <w:rFonts w:asciiTheme="minorHAnsi" w:hAnsiTheme="minorHAnsi" w:cstheme="minorHAnsi"/>
          <w:sz w:val="22"/>
          <w:szCs w:val="22"/>
          <w:u w:val="single"/>
        </w:rPr>
        <w:t>Principles of Our SEND Provision</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Our school:</w:t>
      </w:r>
    </w:p>
    <w:p w:rsidR="00185C4C" w:rsidRPr="00185C4C" w:rsidRDefault="00185C4C" w:rsidP="00185C4C">
      <w:pPr>
        <w:pStyle w:val="NormalWeb"/>
        <w:numPr>
          <w:ilvl w:val="0"/>
          <w:numId w:val="2"/>
        </w:numPr>
        <w:rPr>
          <w:rFonts w:asciiTheme="minorHAnsi" w:hAnsiTheme="minorHAnsi" w:cstheme="minorHAnsi"/>
          <w:sz w:val="22"/>
          <w:szCs w:val="22"/>
        </w:rPr>
      </w:pPr>
      <w:r w:rsidRPr="00185C4C">
        <w:rPr>
          <w:rFonts w:asciiTheme="minorHAnsi" w:hAnsiTheme="minorHAnsi" w:cstheme="minorHAnsi"/>
          <w:sz w:val="22"/>
          <w:szCs w:val="22"/>
        </w:rPr>
        <w:t>Promotes inclusive practice across all areas of the curriculum.</w:t>
      </w:r>
    </w:p>
    <w:p w:rsidR="00185C4C" w:rsidRPr="00185C4C" w:rsidRDefault="00185C4C" w:rsidP="00185C4C">
      <w:pPr>
        <w:pStyle w:val="NormalWeb"/>
        <w:numPr>
          <w:ilvl w:val="0"/>
          <w:numId w:val="2"/>
        </w:numPr>
        <w:rPr>
          <w:rFonts w:asciiTheme="minorHAnsi" w:hAnsiTheme="minorHAnsi" w:cstheme="minorHAnsi"/>
          <w:sz w:val="22"/>
          <w:szCs w:val="22"/>
        </w:rPr>
      </w:pPr>
      <w:r w:rsidRPr="00185C4C">
        <w:rPr>
          <w:rFonts w:asciiTheme="minorHAnsi" w:hAnsiTheme="minorHAnsi" w:cstheme="minorHAnsi"/>
          <w:sz w:val="22"/>
          <w:szCs w:val="22"/>
        </w:rPr>
        <w:t>Maintains high expectations for all pupils.</w:t>
      </w:r>
    </w:p>
    <w:p w:rsidR="00185C4C" w:rsidRPr="00185C4C" w:rsidRDefault="00185C4C" w:rsidP="00185C4C">
      <w:pPr>
        <w:pStyle w:val="NormalWeb"/>
        <w:numPr>
          <w:ilvl w:val="0"/>
          <w:numId w:val="2"/>
        </w:numPr>
        <w:rPr>
          <w:rFonts w:asciiTheme="minorHAnsi" w:hAnsiTheme="minorHAnsi" w:cstheme="minorHAnsi"/>
          <w:sz w:val="22"/>
          <w:szCs w:val="22"/>
        </w:rPr>
      </w:pPr>
      <w:r w:rsidRPr="00185C4C">
        <w:rPr>
          <w:rFonts w:asciiTheme="minorHAnsi" w:hAnsiTheme="minorHAnsi" w:cstheme="minorHAnsi"/>
          <w:sz w:val="22"/>
          <w:szCs w:val="22"/>
        </w:rPr>
        <w:t>Ensures early identification of need through robust assessment and monitoring procedures.</w:t>
      </w:r>
    </w:p>
    <w:p w:rsidR="00185C4C" w:rsidRPr="00185C4C" w:rsidRDefault="00185C4C" w:rsidP="00185C4C">
      <w:pPr>
        <w:pStyle w:val="NormalWeb"/>
        <w:numPr>
          <w:ilvl w:val="0"/>
          <w:numId w:val="2"/>
        </w:numPr>
        <w:rPr>
          <w:rFonts w:asciiTheme="minorHAnsi" w:hAnsiTheme="minorHAnsi" w:cstheme="minorHAnsi"/>
          <w:sz w:val="22"/>
          <w:szCs w:val="22"/>
        </w:rPr>
      </w:pPr>
      <w:r w:rsidRPr="00185C4C">
        <w:rPr>
          <w:rFonts w:asciiTheme="minorHAnsi" w:hAnsiTheme="minorHAnsi" w:cstheme="minorHAnsi"/>
          <w:sz w:val="22"/>
          <w:szCs w:val="22"/>
        </w:rPr>
        <w:t>Implements graduated responses to support (Assess, Plan, Do, Review).</w:t>
      </w:r>
    </w:p>
    <w:p w:rsidR="00185C4C" w:rsidRPr="00185C4C" w:rsidRDefault="00185C4C" w:rsidP="00185C4C">
      <w:pPr>
        <w:pStyle w:val="NormalWeb"/>
        <w:numPr>
          <w:ilvl w:val="0"/>
          <w:numId w:val="2"/>
        </w:numPr>
        <w:rPr>
          <w:rFonts w:asciiTheme="minorHAnsi" w:hAnsiTheme="minorHAnsi" w:cstheme="minorHAnsi"/>
          <w:sz w:val="22"/>
          <w:szCs w:val="22"/>
        </w:rPr>
      </w:pPr>
      <w:r w:rsidRPr="00185C4C">
        <w:rPr>
          <w:rFonts w:asciiTheme="minorHAnsi" w:hAnsiTheme="minorHAnsi" w:cstheme="minorHAnsi"/>
          <w:sz w:val="22"/>
          <w:szCs w:val="22"/>
        </w:rPr>
        <w:lastRenderedPageBreak/>
        <w:t>Works in partnership with parents/carers and external agencies.</w:t>
      </w:r>
    </w:p>
    <w:p w:rsidR="00185C4C" w:rsidRPr="00185C4C" w:rsidRDefault="00185C4C" w:rsidP="00185C4C">
      <w:pPr>
        <w:pStyle w:val="NormalWeb"/>
        <w:numPr>
          <w:ilvl w:val="0"/>
          <w:numId w:val="2"/>
        </w:numPr>
        <w:rPr>
          <w:rFonts w:asciiTheme="minorHAnsi" w:hAnsiTheme="minorHAnsi" w:cstheme="minorHAnsi"/>
          <w:sz w:val="22"/>
          <w:szCs w:val="22"/>
        </w:rPr>
      </w:pPr>
      <w:r w:rsidRPr="00185C4C">
        <w:rPr>
          <w:rFonts w:asciiTheme="minorHAnsi" w:hAnsiTheme="minorHAnsi" w:cstheme="minorHAnsi"/>
          <w:sz w:val="22"/>
          <w:szCs w:val="22"/>
        </w:rPr>
        <w:t>Monitors progress closely to ensure effective intervention and impact.</w:t>
      </w:r>
    </w:p>
    <w:p w:rsidR="00185C4C" w:rsidRPr="00185C4C" w:rsidRDefault="00185C4C" w:rsidP="00185C4C">
      <w:pPr>
        <w:pStyle w:val="NormalWeb"/>
        <w:numPr>
          <w:ilvl w:val="0"/>
          <w:numId w:val="2"/>
        </w:numPr>
        <w:rPr>
          <w:rFonts w:asciiTheme="minorHAnsi" w:hAnsiTheme="minorHAnsi" w:cstheme="minorHAnsi"/>
          <w:sz w:val="22"/>
          <w:szCs w:val="22"/>
        </w:rPr>
      </w:pPr>
      <w:r w:rsidRPr="00185C4C">
        <w:rPr>
          <w:rFonts w:asciiTheme="minorHAnsi" w:hAnsiTheme="minorHAnsi" w:cstheme="minorHAnsi"/>
          <w:sz w:val="22"/>
          <w:szCs w:val="22"/>
        </w:rPr>
        <w:t>Aims to narrow gaps in attainment and progress between pupils with SEND and their peers.</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Provision is personalised according to individual need and is reviewed regularly to ensure effectiveness.</w:t>
      </w:r>
    </w:p>
    <w:p w:rsidR="00185C4C" w:rsidRPr="00185C4C" w:rsidRDefault="00185C4C" w:rsidP="00185C4C">
      <w:pPr>
        <w:pStyle w:val="Heading3"/>
        <w:rPr>
          <w:rFonts w:asciiTheme="minorHAnsi" w:hAnsiTheme="minorHAnsi" w:cstheme="minorHAnsi"/>
          <w:sz w:val="22"/>
          <w:szCs w:val="22"/>
          <w:u w:val="single"/>
        </w:rPr>
      </w:pPr>
      <w:r w:rsidRPr="00185C4C">
        <w:rPr>
          <w:rFonts w:asciiTheme="minorHAnsi" w:hAnsiTheme="minorHAnsi" w:cstheme="minorHAnsi"/>
          <w:sz w:val="22"/>
          <w:szCs w:val="22"/>
          <w:u w:val="single"/>
        </w:rPr>
        <w:t>Identification of Need</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Pupils’ needs may be identified through:</w:t>
      </w:r>
    </w:p>
    <w:p w:rsidR="00185C4C" w:rsidRPr="00185C4C" w:rsidRDefault="00185C4C" w:rsidP="00185C4C">
      <w:pPr>
        <w:pStyle w:val="NormalWeb"/>
        <w:numPr>
          <w:ilvl w:val="0"/>
          <w:numId w:val="3"/>
        </w:numPr>
        <w:rPr>
          <w:rFonts w:asciiTheme="minorHAnsi" w:hAnsiTheme="minorHAnsi" w:cstheme="minorHAnsi"/>
          <w:sz w:val="22"/>
          <w:szCs w:val="22"/>
        </w:rPr>
      </w:pPr>
      <w:r w:rsidRPr="00185C4C">
        <w:rPr>
          <w:rFonts w:asciiTheme="minorHAnsi" w:hAnsiTheme="minorHAnsi" w:cstheme="minorHAnsi"/>
          <w:sz w:val="22"/>
          <w:szCs w:val="22"/>
        </w:rPr>
        <w:t>Ongoing teacher assessment and monitoring of progress</w:t>
      </w:r>
    </w:p>
    <w:p w:rsidR="00185C4C" w:rsidRPr="00185C4C" w:rsidRDefault="00185C4C" w:rsidP="00185C4C">
      <w:pPr>
        <w:pStyle w:val="NormalWeb"/>
        <w:numPr>
          <w:ilvl w:val="0"/>
          <w:numId w:val="3"/>
        </w:numPr>
        <w:rPr>
          <w:rFonts w:asciiTheme="minorHAnsi" w:hAnsiTheme="minorHAnsi" w:cstheme="minorHAnsi"/>
          <w:sz w:val="22"/>
          <w:szCs w:val="22"/>
        </w:rPr>
      </w:pPr>
      <w:r w:rsidRPr="00185C4C">
        <w:rPr>
          <w:rFonts w:asciiTheme="minorHAnsi" w:hAnsiTheme="minorHAnsi" w:cstheme="minorHAnsi"/>
          <w:sz w:val="22"/>
          <w:szCs w:val="22"/>
        </w:rPr>
        <w:t>Pupil progress meetings</w:t>
      </w:r>
    </w:p>
    <w:p w:rsidR="00185C4C" w:rsidRPr="00185C4C" w:rsidRDefault="00185C4C" w:rsidP="00185C4C">
      <w:pPr>
        <w:pStyle w:val="NormalWeb"/>
        <w:numPr>
          <w:ilvl w:val="0"/>
          <w:numId w:val="3"/>
        </w:numPr>
        <w:rPr>
          <w:rFonts w:asciiTheme="minorHAnsi" w:hAnsiTheme="minorHAnsi" w:cstheme="minorHAnsi"/>
          <w:sz w:val="22"/>
          <w:szCs w:val="22"/>
        </w:rPr>
      </w:pPr>
      <w:r w:rsidRPr="00185C4C">
        <w:rPr>
          <w:rFonts w:asciiTheme="minorHAnsi" w:hAnsiTheme="minorHAnsi" w:cstheme="minorHAnsi"/>
          <w:sz w:val="22"/>
          <w:szCs w:val="22"/>
        </w:rPr>
        <w:t>Observation of learning and behaviour</w:t>
      </w:r>
    </w:p>
    <w:p w:rsidR="00185C4C" w:rsidRPr="00185C4C" w:rsidRDefault="00185C4C" w:rsidP="00185C4C">
      <w:pPr>
        <w:pStyle w:val="NormalWeb"/>
        <w:numPr>
          <w:ilvl w:val="0"/>
          <w:numId w:val="3"/>
        </w:numPr>
        <w:rPr>
          <w:rFonts w:asciiTheme="minorHAnsi" w:hAnsiTheme="minorHAnsi" w:cstheme="minorHAnsi"/>
          <w:sz w:val="22"/>
          <w:szCs w:val="22"/>
        </w:rPr>
      </w:pPr>
      <w:r w:rsidRPr="00185C4C">
        <w:rPr>
          <w:rFonts w:asciiTheme="minorHAnsi" w:hAnsiTheme="minorHAnsi" w:cstheme="minorHAnsi"/>
          <w:sz w:val="22"/>
          <w:szCs w:val="22"/>
        </w:rPr>
        <w:t>Parental concerns</w:t>
      </w:r>
    </w:p>
    <w:p w:rsidR="00185C4C" w:rsidRPr="00185C4C" w:rsidRDefault="00185C4C" w:rsidP="00185C4C">
      <w:pPr>
        <w:pStyle w:val="NormalWeb"/>
        <w:numPr>
          <w:ilvl w:val="0"/>
          <w:numId w:val="3"/>
        </w:numPr>
        <w:rPr>
          <w:rFonts w:asciiTheme="minorHAnsi" w:hAnsiTheme="minorHAnsi" w:cstheme="minorHAnsi"/>
          <w:sz w:val="22"/>
          <w:szCs w:val="22"/>
        </w:rPr>
      </w:pPr>
      <w:r w:rsidRPr="00185C4C">
        <w:rPr>
          <w:rFonts w:asciiTheme="minorHAnsi" w:hAnsiTheme="minorHAnsi" w:cstheme="minorHAnsi"/>
          <w:sz w:val="22"/>
          <w:szCs w:val="22"/>
        </w:rPr>
        <w:t>External professional advice</w:t>
      </w:r>
    </w:p>
    <w:p w:rsidR="00185C4C" w:rsidRPr="00185C4C" w:rsidRDefault="00185C4C" w:rsidP="00185C4C">
      <w:pPr>
        <w:pStyle w:val="NormalWeb"/>
        <w:numPr>
          <w:ilvl w:val="0"/>
          <w:numId w:val="3"/>
        </w:numPr>
        <w:rPr>
          <w:rFonts w:asciiTheme="minorHAnsi" w:hAnsiTheme="minorHAnsi" w:cstheme="minorHAnsi"/>
          <w:sz w:val="22"/>
          <w:szCs w:val="22"/>
        </w:rPr>
      </w:pPr>
      <w:r w:rsidRPr="00185C4C">
        <w:rPr>
          <w:rFonts w:asciiTheme="minorHAnsi" w:hAnsiTheme="minorHAnsi" w:cstheme="minorHAnsi"/>
          <w:sz w:val="22"/>
          <w:szCs w:val="22"/>
        </w:rPr>
        <w:t>Standardised assessments</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Parents and carers are encouraged to share any concerns with the school at the earliest opportunity.</w:t>
      </w:r>
    </w:p>
    <w:p w:rsidR="00185C4C" w:rsidRPr="00185C4C" w:rsidRDefault="00185C4C" w:rsidP="00185C4C">
      <w:pPr>
        <w:pStyle w:val="Heading3"/>
        <w:rPr>
          <w:rFonts w:asciiTheme="minorHAnsi" w:hAnsiTheme="minorHAnsi" w:cstheme="minorHAnsi"/>
          <w:sz w:val="22"/>
          <w:szCs w:val="22"/>
          <w:u w:val="single"/>
        </w:rPr>
      </w:pPr>
      <w:r w:rsidRPr="00185C4C">
        <w:rPr>
          <w:rFonts w:asciiTheme="minorHAnsi" w:hAnsiTheme="minorHAnsi" w:cstheme="minorHAnsi"/>
          <w:sz w:val="22"/>
          <w:szCs w:val="22"/>
          <w:u w:val="single"/>
        </w:rPr>
        <w:t>Areas of Need</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Support may be provided across the following areas, as defined in the SEND Code of Practice:</w:t>
      </w:r>
    </w:p>
    <w:p w:rsidR="00185C4C" w:rsidRPr="00185C4C" w:rsidRDefault="00185C4C" w:rsidP="00185C4C">
      <w:pPr>
        <w:pStyle w:val="NormalWeb"/>
        <w:numPr>
          <w:ilvl w:val="0"/>
          <w:numId w:val="4"/>
        </w:numPr>
        <w:rPr>
          <w:rFonts w:asciiTheme="minorHAnsi" w:hAnsiTheme="minorHAnsi" w:cstheme="minorHAnsi"/>
          <w:sz w:val="22"/>
          <w:szCs w:val="22"/>
        </w:rPr>
      </w:pPr>
      <w:r w:rsidRPr="00185C4C">
        <w:rPr>
          <w:rFonts w:asciiTheme="minorHAnsi" w:hAnsiTheme="minorHAnsi" w:cstheme="minorHAnsi"/>
          <w:sz w:val="22"/>
          <w:szCs w:val="22"/>
        </w:rPr>
        <w:t>Communication and interaction</w:t>
      </w:r>
    </w:p>
    <w:p w:rsidR="00185C4C" w:rsidRPr="00185C4C" w:rsidRDefault="00185C4C" w:rsidP="00185C4C">
      <w:pPr>
        <w:pStyle w:val="NormalWeb"/>
        <w:numPr>
          <w:ilvl w:val="0"/>
          <w:numId w:val="4"/>
        </w:numPr>
        <w:rPr>
          <w:rFonts w:asciiTheme="minorHAnsi" w:hAnsiTheme="minorHAnsi" w:cstheme="minorHAnsi"/>
          <w:sz w:val="22"/>
          <w:szCs w:val="22"/>
        </w:rPr>
      </w:pPr>
      <w:r w:rsidRPr="00185C4C">
        <w:rPr>
          <w:rFonts w:asciiTheme="minorHAnsi" w:hAnsiTheme="minorHAnsi" w:cstheme="minorHAnsi"/>
          <w:sz w:val="22"/>
          <w:szCs w:val="22"/>
        </w:rPr>
        <w:t>Cognition and learning</w:t>
      </w:r>
    </w:p>
    <w:p w:rsidR="00185C4C" w:rsidRPr="00185C4C" w:rsidRDefault="00185C4C" w:rsidP="00185C4C">
      <w:pPr>
        <w:pStyle w:val="NormalWeb"/>
        <w:numPr>
          <w:ilvl w:val="0"/>
          <w:numId w:val="4"/>
        </w:numPr>
        <w:rPr>
          <w:rFonts w:asciiTheme="minorHAnsi" w:hAnsiTheme="minorHAnsi" w:cstheme="minorHAnsi"/>
          <w:sz w:val="22"/>
          <w:szCs w:val="22"/>
        </w:rPr>
      </w:pPr>
      <w:r w:rsidRPr="00185C4C">
        <w:rPr>
          <w:rFonts w:asciiTheme="minorHAnsi" w:hAnsiTheme="minorHAnsi" w:cstheme="minorHAnsi"/>
          <w:sz w:val="22"/>
          <w:szCs w:val="22"/>
        </w:rPr>
        <w:t>Social, emotional and mental health needs</w:t>
      </w:r>
    </w:p>
    <w:p w:rsidR="00185C4C" w:rsidRPr="00185C4C" w:rsidRDefault="00185C4C" w:rsidP="00185C4C">
      <w:pPr>
        <w:pStyle w:val="NormalWeb"/>
        <w:numPr>
          <w:ilvl w:val="0"/>
          <w:numId w:val="4"/>
        </w:numPr>
        <w:rPr>
          <w:rFonts w:asciiTheme="minorHAnsi" w:hAnsiTheme="minorHAnsi" w:cstheme="minorHAnsi"/>
          <w:sz w:val="22"/>
          <w:szCs w:val="22"/>
        </w:rPr>
      </w:pPr>
      <w:r w:rsidRPr="00185C4C">
        <w:rPr>
          <w:rFonts w:asciiTheme="minorHAnsi" w:hAnsiTheme="minorHAnsi" w:cstheme="minorHAnsi"/>
          <w:sz w:val="22"/>
          <w:szCs w:val="22"/>
        </w:rPr>
        <w:t>Sensory and/or physical needs</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Interventions are tailored to individual requirements and may include in-class support, targeted interventions, personalised learning strategies, and specialist input where appropriate.</w:t>
      </w:r>
    </w:p>
    <w:p w:rsidR="00185C4C" w:rsidRPr="00185C4C" w:rsidRDefault="00185C4C" w:rsidP="00185C4C">
      <w:pPr>
        <w:pStyle w:val="Heading3"/>
        <w:rPr>
          <w:rFonts w:asciiTheme="minorHAnsi" w:hAnsiTheme="minorHAnsi" w:cstheme="minorHAnsi"/>
          <w:sz w:val="22"/>
          <w:szCs w:val="22"/>
          <w:u w:val="single"/>
        </w:rPr>
      </w:pPr>
      <w:r w:rsidRPr="00185C4C">
        <w:rPr>
          <w:rFonts w:asciiTheme="minorHAnsi" w:hAnsiTheme="minorHAnsi" w:cstheme="minorHAnsi"/>
          <w:sz w:val="22"/>
          <w:szCs w:val="22"/>
          <w:u w:val="single"/>
        </w:rPr>
        <w:t>Curriculum Access and Adaptation</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The school ensures that all pupils have access to a broad and balanced curriculum. Teaching is adapted to meet individual needs, and reasonable adjustments are made in accordance with the Equality Act (2010).</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Staff maintain high expectations and make adaptations to teaching and learning to enable pupils with SEND to participate fully in school life.</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Pupils with SEND have full and equal access to extracurricular activities. Participation is actively encouraged as part of our inclusive approach, supporting personal development, independence, confidence and social interaction. These opportunities enhance pupils’ wider experiences and contribute to their overall progress and wellbeing.</w:t>
      </w:r>
    </w:p>
    <w:p w:rsid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 </w:t>
      </w:r>
    </w:p>
    <w:p w:rsidR="00185C4C" w:rsidRDefault="00185C4C" w:rsidP="00185C4C">
      <w:pPr>
        <w:pStyle w:val="NormalWeb"/>
        <w:rPr>
          <w:rFonts w:asciiTheme="minorHAnsi" w:hAnsiTheme="minorHAnsi" w:cstheme="minorHAnsi"/>
          <w:sz w:val="22"/>
          <w:szCs w:val="22"/>
        </w:rPr>
      </w:pPr>
    </w:p>
    <w:p w:rsidR="00185C4C" w:rsidRPr="00185C4C" w:rsidRDefault="00185C4C" w:rsidP="00185C4C">
      <w:pPr>
        <w:pStyle w:val="NormalWeb"/>
        <w:rPr>
          <w:rFonts w:asciiTheme="minorHAnsi" w:hAnsiTheme="minorHAnsi" w:cstheme="minorHAnsi"/>
          <w:sz w:val="22"/>
          <w:szCs w:val="22"/>
        </w:rPr>
      </w:pPr>
    </w:p>
    <w:p w:rsidR="00185C4C" w:rsidRPr="00185C4C" w:rsidRDefault="00185C4C" w:rsidP="00185C4C">
      <w:pPr>
        <w:pStyle w:val="NormalWeb"/>
        <w:rPr>
          <w:rFonts w:asciiTheme="minorHAnsi" w:hAnsiTheme="minorHAnsi" w:cstheme="minorHAnsi"/>
          <w:sz w:val="22"/>
          <w:szCs w:val="22"/>
          <w:u w:val="single"/>
        </w:rPr>
      </w:pPr>
      <w:r w:rsidRPr="00185C4C">
        <w:rPr>
          <w:rStyle w:val="Strong"/>
          <w:rFonts w:asciiTheme="minorHAnsi" w:hAnsiTheme="minorHAnsi" w:cstheme="minorHAnsi"/>
          <w:sz w:val="22"/>
          <w:szCs w:val="22"/>
          <w:u w:val="single"/>
        </w:rPr>
        <w:lastRenderedPageBreak/>
        <w:t>Transition</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Some children with Special Educational Needs and Disabilities need extra transition during their time at school. This could be from class to class, when moving to a different key stage or at the end of Year 6, when they are moving on to a different setting. Additional transition opportunities are put in place for these children so that they feel more at ease about the changes about to take place.  Arrangements are carefully planned around the individual child's needs, so that the t</w:t>
      </w:r>
      <w:r w:rsidRPr="00185C4C">
        <w:rPr>
          <w:rFonts w:asciiTheme="minorHAnsi" w:hAnsiTheme="minorHAnsi" w:cstheme="minorHAnsi"/>
          <w:sz w:val="22"/>
          <w:szCs w:val="22"/>
        </w:rPr>
        <w:t>r</w:t>
      </w:r>
      <w:r w:rsidRPr="00185C4C">
        <w:rPr>
          <w:rFonts w:asciiTheme="minorHAnsi" w:hAnsiTheme="minorHAnsi" w:cstheme="minorHAnsi"/>
          <w:sz w:val="22"/>
          <w:szCs w:val="22"/>
        </w:rPr>
        <w:t>ansition is smooth and worry free for the child and their family. Additional visits to the class or school are made so that the child can become familiar with the school, classroom,</w:t>
      </w:r>
      <w:r w:rsidRPr="00185C4C">
        <w:rPr>
          <w:rFonts w:asciiTheme="minorHAnsi" w:hAnsiTheme="minorHAnsi" w:cstheme="minorHAnsi"/>
          <w:sz w:val="22"/>
          <w:szCs w:val="22"/>
        </w:rPr>
        <w:t xml:space="preserve"> </w:t>
      </w:r>
      <w:r w:rsidRPr="00185C4C">
        <w:rPr>
          <w:rFonts w:asciiTheme="minorHAnsi" w:hAnsiTheme="minorHAnsi" w:cstheme="minorHAnsi"/>
          <w:sz w:val="22"/>
          <w:szCs w:val="22"/>
        </w:rPr>
        <w:t>staff and routines. Transition takes place over a long period of time to ensure the process is successful for all.</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 xml:space="preserve">If you or your child have any questions about an upcoming transition, or need reassurance regarding your child's next class or school, please speak to the class teacher or </w:t>
      </w:r>
      <w:proofErr w:type="spellStart"/>
      <w:r w:rsidRPr="00185C4C">
        <w:rPr>
          <w:rFonts w:asciiTheme="minorHAnsi" w:hAnsiTheme="minorHAnsi" w:cstheme="minorHAnsi"/>
          <w:sz w:val="22"/>
          <w:szCs w:val="22"/>
        </w:rPr>
        <w:t>SENDCo</w:t>
      </w:r>
      <w:proofErr w:type="spellEnd"/>
      <w:r w:rsidRPr="00185C4C">
        <w:rPr>
          <w:rFonts w:asciiTheme="minorHAnsi" w:hAnsiTheme="minorHAnsi" w:cstheme="minorHAnsi"/>
          <w:sz w:val="22"/>
          <w:szCs w:val="22"/>
        </w:rPr>
        <w:t>.</w:t>
      </w:r>
    </w:p>
    <w:p w:rsidR="00185C4C" w:rsidRPr="00185C4C" w:rsidRDefault="00185C4C" w:rsidP="00185C4C">
      <w:pPr>
        <w:pStyle w:val="Heading3"/>
        <w:rPr>
          <w:rFonts w:asciiTheme="minorHAnsi" w:hAnsiTheme="minorHAnsi" w:cstheme="minorHAnsi"/>
          <w:sz w:val="22"/>
          <w:szCs w:val="22"/>
          <w:u w:val="single"/>
        </w:rPr>
      </w:pPr>
      <w:r w:rsidRPr="00185C4C">
        <w:rPr>
          <w:rFonts w:asciiTheme="minorHAnsi" w:hAnsiTheme="minorHAnsi" w:cstheme="minorHAnsi"/>
          <w:sz w:val="22"/>
          <w:szCs w:val="22"/>
          <w:u w:val="single"/>
        </w:rPr>
        <w:t>Partnership with Parents and External Agencies</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 xml:space="preserve">The school recognises the importance of strong partnerships with parents and carers. Regular communication and review meetings </w:t>
      </w:r>
      <w:proofErr w:type="gramStart"/>
      <w:r w:rsidRPr="00185C4C">
        <w:rPr>
          <w:rFonts w:asciiTheme="minorHAnsi" w:hAnsiTheme="minorHAnsi" w:cstheme="minorHAnsi"/>
          <w:sz w:val="22"/>
          <w:szCs w:val="22"/>
        </w:rPr>
        <w:t>support</w:t>
      </w:r>
      <w:proofErr w:type="gramEnd"/>
      <w:r w:rsidRPr="00185C4C">
        <w:rPr>
          <w:rFonts w:asciiTheme="minorHAnsi" w:hAnsiTheme="minorHAnsi" w:cstheme="minorHAnsi"/>
          <w:sz w:val="22"/>
          <w:szCs w:val="22"/>
        </w:rPr>
        <w:t xml:space="preserve"> collaborative planning.</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Where necessary, the school works with external professionals, including educational psychologists, health professionals, and specialist advisory services, to ensure that provision meets identified needs.</w:t>
      </w:r>
    </w:p>
    <w:p w:rsidR="00185C4C" w:rsidRPr="00185C4C" w:rsidRDefault="00185C4C" w:rsidP="00185C4C">
      <w:pPr>
        <w:pStyle w:val="Heading3"/>
        <w:rPr>
          <w:rFonts w:asciiTheme="minorHAnsi" w:hAnsiTheme="minorHAnsi" w:cstheme="minorHAnsi"/>
          <w:sz w:val="22"/>
          <w:szCs w:val="22"/>
          <w:u w:val="single"/>
        </w:rPr>
      </w:pPr>
      <w:r w:rsidRPr="00185C4C">
        <w:rPr>
          <w:rFonts w:asciiTheme="minorHAnsi" w:hAnsiTheme="minorHAnsi" w:cstheme="minorHAnsi"/>
          <w:sz w:val="22"/>
          <w:szCs w:val="22"/>
          <w:u w:val="single"/>
        </w:rPr>
        <w:t>Monitoring and Review</w:t>
      </w:r>
    </w:p>
    <w:p w:rsidR="00185C4C" w:rsidRPr="00185C4C" w:rsidRDefault="00185C4C" w:rsidP="00185C4C">
      <w:pPr>
        <w:pStyle w:val="NormalWeb"/>
        <w:rPr>
          <w:rFonts w:asciiTheme="minorHAnsi" w:hAnsiTheme="minorHAnsi" w:cstheme="minorHAnsi"/>
          <w:sz w:val="22"/>
          <w:szCs w:val="22"/>
        </w:rPr>
      </w:pPr>
      <w:r w:rsidRPr="00185C4C">
        <w:rPr>
          <w:rFonts w:asciiTheme="minorHAnsi" w:hAnsiTheme="minorHAnsi" w:cstheme="minorHAnsi"/>
          <w:sz w:val="22"/>
          <w:szCs w:val="22"/>
        </w:rPr>
        <w:t>The progress of pupils with SEND is closely monitored. Support is reviewed regularly using the Assess–Plan–Do–Review cycle to ensure impact and effectiveness. Adjustments are made where required to secure continued progress.</w:t>
      </w:r>
    </w:p>
    <w:p w:rsidR="00185C4C" w:rsidRPr="00185C4C" w:rsidRDefault="00185C4C" w:rsidP="00185C4C">
      <w:pPr>
        <w:pStyle w:val="NormalWeb"/>
        <w:rPr>
          <w:sz w:val="22"/>
          <w:szCs w:val="22"/>
        </w:rPr>
      </w:pPr>
      <w:r w:rsidRPr="00185C4C">
        <w:rPr>
          <w:rFonts w:asciiTheme="minorHAnsi" w:hAnsiTheme="minorHAnsi" w:cstheme="minorHAnsi"/>
          <w:sz w:val="22"/>
          <w:szCs w:val="22"/>
        </w:rPr>
        <w:t> Further information regarding disability and equality at Brierley CE Primary School can be found on the Public Sector Equality Duty pages of our website</w:t>
      </w:r>
      <w:r w:rsidRPr="00185C4C">
        <w:rPr>
          <w:sz w:val="22"/>
          <w:szCs w:val="22"/>
        </w:rPr>
        <w:t>.</w:t>
      </w:r>
    </w:p>
    <w:p w:rsidR="00185C4C" w:rsidRDefault="00185C4C" w:rsidP="00185C4C">
      <w:pPr>
        <w:pStyle w:val="NormalWeb"/>
      </w:pPr>
      <w:r>
        <w:t> </w:t>
      </w:r>
    </w:p>
    <w:p w:rsidR="00185C4C" w:rsidRPr="00185C4C" w:rsidRDefault="00185C4C" w:rsidP="00185C4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185C4C" w:rsidRDefault="00185C4C"/>
    <w:sectPr w:rsidR="00185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21299"/>
    <w:multiLevelType w:val="multilevel"/>
    <w:tmpl w:val="72E8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C6C78"/>
    <w:multiLevelType w:val="multilevel"/>
    <w:tmpl w:val="1EA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B5CBF"/>
    <w:multiLevelType w:val="multilevel"/>
    <w:tmpl w:val="8F9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A4A22"/>
    <w:multiLevelType w:val="multilevel"/>
    <w:tmpl w:val="6AE2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4C"/>
    <w:rsid w:val="00185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8ED7"/>
  <w15:chartTrackingRefBased/>
  <w15:docId w15:val="{2B12A379-48BB-43CE-A6AE-1BE4EC72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85C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5C4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85C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90510">
      <w:bodyDiv w:val="1"/>
      <w:marLeft w:val="0"/>
      <w:marRight w:val="0"/>
      <w:marTop w:val="0"/>
      <w:marBottom w:val="0"/>
      <w:divBdr>
        <w:top w:val="none" w:sz="0" w:space="0" w:color="auto"/>
        <w:left w:val="none" w:sz="0" w:space="0" w:color="auto"/>
        <w:bottom w:val="none" w:sz="0" w:space="0" w:color="auto"/>
        <w:right w:val="none" w:sz="0" w:space="0" w:color="auto"/>
      </w:divBdr>
    </w:div>
    <w:div w:id="6862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Gough</dc:creator>
  <cp:keywords/>
  <dc:description/>
  <cp:lastModifiedBy>S Gough</cp:lastModifiedBy>
  <cp:revision>1</cp:revision>
  <dcterms:created xsi:type="dcterms:W3CDTF">2026-04-16T13:11:00Z</dcterms:created>
  <dcterms:modified xsi:type="dcterms:W3CDTF">2026-04-16T13:14:00Z</dcterms:modified>
</cp:coreProperties>
</file>