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1B6" w:rsidRDefault="00CD01B6" w:rsidP="006D63DE">
      <w:pPr>
        <w:jc w:val="center"/>
        <w:rPr>
          <w:sz w:val="28"/>
        </w:rPr>
      </w:pPr>
      <w:bookmarkStart w:id="0" w:name="_GoBack"/>
      <w:bookmarkEnd w:id="0"/>
      <w:r>
        <w:rPr>
          <w:noProof/>
          <w:lang w:eastAsia="en-GB"/>
        </w:rPr>
        <w:drawing>
          <wp:anchor distT="0" distB="0" distL="114300" distR="114300" simplePos="0" relativeHeight="251659264" behindDoc="1" locked="0" layoutInCell="1" allowOverlap="1" wp14:anchorId="0D991E08" wp14:editId="4621DBE4">
            <wp:simplePos x="0" y="0"/>
            <wp:positionH relativeFrom="margin">
              <wp:align>center</wp:align>
            </wp:positionH>
            <wp:positionV relativeFrom="paragraph">
              <wp:posOffset>322</wp:posOffset>
            </wp:positionV>
            <wp:extent cx="971550" cy="684530"/>
            <wp:effectExtent l="0" t="0" r="0" b="1270"/>
            <wp:wrapTight wrapText="bothSides">
              <wp:wrapPolygon edited="0">
                <wp:start x="11012" y="0"/>
                <wp:lineTo x="8047" y="601"/>
                <wp:lineTo x="7200" y="4208"/>
                <wp:lineTo x="8471" y="9618"/>
                <wp:lineTo x="0" y="10820"/>
                <wp:lineTo x="0" y="13826"/>
                <wp:lineTo x="847" y="21039"/>
                <wp:lineTo x="21176" y="21039"/>
                <wp:lineTo x="21176" y="11421"/>
                <wp:lineTo x="16094" y="8416"/>
                <wp:lineTo x="16094" y="1803"/>
                <wp:lineTo x="13553" y="0"/>
                <wp:lineTo x="11012" y="0"/>
              </wp:wrapPolygon>
            </wp:wrapTight>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684530"/>
                    </a:xfrm>
                    <a:prstGeom prst="rect">
                      <a:avLst/>
                    </a:prstGeom>
                    <a:noFill/>
                  </pic:spPr>
                </pic:pic>
              </a:graphicData>
            </a:graphic>
            <wp14:sizeRelH relativeFrom="margin">
              <wp14:pctWidth>0</wp14:pctWidth>
            </wp14:sizeRelH>
            <wp14:sizeRelV relativeFrom="margin">
              <wp14:pctHeight>0</wp14:pctHeight>
            </wp14:sizeRelV>
          </wp:anchor>
        </w:drawing>
      </w:r>
    </w:p>
    <w:p w:rsidR="00F743AD" w:rsidRDefault="00F743AD" w:rsidP="00B65EEB">
      <w:pPr>
        <w:rPr>
          <w:sz w:val="28"/>
        </w:rPr>
      </w:pPr>
    </w:p>
    <w:p w:rsidR="001D0006" w:rsidRDefault="006D63DE" w:rsidP="006D63DE">
      <w:pPr>
        <w:jc w:val="center"/>
        <w:rPr>
          <w:sz w:val="28"/>
        </w:rPr>
      </w:pPr>
      <w:r>
        <w:rPr>
          <w:sz w:val="28"/>
        </w:rPr>
        <w:t xml:space="preserve">Tonacliffe Primary School </w:t>
      </w:r>
      <w:r>
        <w:rPr>
          <w:sz w:val="28"/>
        </w:rPr>
        <w:tab/>
      </w:r>
      <w:r>
        <w:rPr>
          <w:sz w:val="28"/>
        </w:rPr>
        <w:tab/>
      </w:r>
      <w:r w:rsidR="00B43754">
        <w:rPr>
          <w:sz w:val="28"/>
        </w:rPr>
        <w:t>Art and Design</w:t>
      </w:r>
      <w:r>
        <w:rPr>
          <w:sz w:val="28"/>
        </w:rPr>
        <w:tab/>
      </w:r>
      <w:r>
        <w:rPr>
          <w:sz w:val="28"/>
        </w:rPr>
        <w:tab/>
      </w:r>
      <w:r>
        <w:rPr>
          <w:sz w:val="28"/>
        </w:rPr>
        <w:tab/>
      </w:r>
      <w:r>
        <w:rPr>
          <w:sz w:val="28"/>
        </w:rPr>
        <w:tab/>
      </w:r>
      <w:r w:rsidR="00EF07A4">
        <w:rPr>
          <w:sz w:val="28"/>
        </w:rPr>
        <w:t>EYFS</w:t>
      </w:r>
    </w:p>
    <w:tbl>
      <w:tblPr>
        <w:tblStyle w:val="TableGrid"/>
        <w:tblW w:w="5000" w:type="pct"/>
        <w:tblLook w:val="04A0" w:firstRow="1" w:lastRow="0" w:firstColumn="1" w:lastColumn="0" w:noHBand="0" w:noVBand="1"/>
      </w:tblPr>
      <w:tblGrid>
        <w:gridCol w:w="2201"/>
        <w:gridCol w:w="2201"/>
        <w:gridCol w:w="2198"/>
        <w:gridCol w:w="2197"/>
        <w:gridCol w:w="2197"/>
        <w:gridCol w:w="2197"/>
        <w:gridCol w:w="2197"/>
      </w:tblGrid>
      <w:tr w:rsidR="00C218F7" w:rsidTr="00C218F7">
        <w:tc>
          <w:tcPr>
            <w:tcW w:w="715" w:type="pct"/>
          </w:tcPr>
          <w:p w:rsidR="00C218F7" w:rsidRDefault="00C218F7">
            <w:pPr>
              <w:jc w:val="center"/>
              <w:rPr>
                <w:sz w:val="28"/>
              </w:rPr>
            </w:pPr>
          </w:p>
        </w:tc>
        <w:tc>
          <w:tcPr>
            <w:tcW w:w="715" w:type="pct"/>
          </w:tcPr>
          <w:p w:rsidR="00C218F7" w:rsidRDefault="00C218F7">
            <w:pPr>
              <w:jc w:val="center"/>
              <w:rPr>
                <w:sz w:val="28"/>
              </w:rPr>
            </w:pPr>
            <w:r>
              <w:rPr>
                <w:sz w:val="28"/>
              </w:rPr>
              <w:t>Autumn 1</w:t>
            </w:r>
          </w:p>
        </w:tc>
        <w:tc>
          <w:tcPr>
            <w:tcW w:w="714" w:type="pct"/>
          </w:tcPr>
          <w:p w:rsidR="00C218F7" w:rsidRDefault="00C218F7">
            <w:pPr>
              <w:jc w:val="center"/>
              <w:rPr>
                <w:sz w:val="28"/>
              </w:rPr>
            </w:pPr>
            <w:r>
              <w:rPr>
                <w:sz w:val="28"/>
              </w:rPr>
              <w:t>Autumn 2</w:t>
            </w:r>
          </w:p>
        </w:tc>
        <w:tc>
          <w:tcPr>
            <w:tcW w:w="714" w:type="pct"/>
          </w:tcPr>
          <w:p w:rsidR="00C218F7" w:rsidRDefault="00C218F7">
            <w:pPr>
              <w:jc w:val="center"/>
              <w:rPr>
                <w:sz w:val="28"/>
              </w:rPr>
            </w:pPr>
            <w:r>
              <w:rPr>
                <w:sz w:val="28"/>
              </w:rPr>
              <w:t xml:space="preserve">Spring 1 </w:t>
            </w:r>
          </w:p>
        </w:tc>
        <w:tc>
          <w:tcPr>
            <w:tcW w:w="714" w:type="pct"/>
          </w:tcPr>
          <w:p w:rsidR="00C218F7" w:rsidRDefault="00C218F7">
            <w:pPr>
              <w:jc w:val="center"/>
              <w:rPr>
                <w:sz w:val="28"/>
              </w:rPr>
            </w:pPr>
            <w:r>
              <w:rPr>
                <w:sz w:val="28"/>
              </w:rPr>
              <w:t>Spring 2</w:t>
            </w:r>
          </w:p>
        </w:tc>
        <w:tc>
          <w:tcPr>
            <w:tcW w:w="714" w:type="pct"/>
          </w:tcPr>
          <w:p w:rsidR="00C218F7" w:rsidRDefault="00C218F7">
            <w:pPr>
              <w:jc w:val="center"/>
              <w:rPr>
                <w:sz w:val="28"/>
              </w:rPr>
            </w:pPr>
            <w:r>
              <w:rPr>
                <w:sz w:val="28"/>
              </w:rPr>
              <w:t>Summer 1</w:t>
            </w:r>
          </w:p>
        </w:tc>
        <w:tc>
          <w:tcPr>
            <w:tcW w:w="714" w:type="pct"/>
          </w:tcPr>
          <w:p w:rsidR="00C218F7" w:rsidRDefault="00C218F7">
            <w:pPr>
              <w:jc w:val="center"/>
              <w:rPr>
                <w:sz w:val="28"/>
              </w:rPr>
            </w:pPr>
            <w:r>
              <w:rPr>
                <w:sz w:val="28"/>
              </w:rPr>
              <w:t>Summer 2</w:t>
            </w:r>
          </w:p>
        </w:tc>
      </w:tr>
      <w:tr w:rsidR="00C218F7" w:rsidTr="00C218F7">
        <w:tc>
          <w:tcPr>
            <w:tcW w:w="715" w:type="pct"/>
            <w:shd w:val="clear" w:color="auto" w:fill="F7CAAC" w:themeFill="accent2" w:themeFillTint="66"/>
          </w:tcPr>
          <w:p w:rsidR="00C218F7" w:rsidRDefault="00C218F7" w:rsidP="00C218F7">
            <w:pPr>
              <w:jc w:val="center"/>
              <w:rPr>
                <w:sz w:val="28"/>
              </w:rPr>
            </w:pPr>
            <w:r>
              <w:rPr>
                <w:sz w:val="28"/>
              </w:rPr>
              <w:t>Drawing</w:t>
            </w:r>
          </w:p>
        </w:tc>
        <w:tc>
          <w:tcPr>
            <w:tcW w:w="715" w:type="pct"/>
            <w:shd w:val="clear" w:color="auto" w:fill="F7CAAC" w:themeFill="accent2" w:themeFillTint="66"/>
          </w:tcPr>
          <w:p w:rsidR="00C218F7" w:rsidRDefault="00C218F7" w:rsidP="00C218F7">
            <w:pPr>
              <w:jc w:val="center"/>
              <w:rPr>
                <w:sz w:val="28"/>
              </w:rPr>
            </w:pPr>
            <w:r>
              <w:rPr>
                <w:sz w:val="28"/>
              </w:rPr>
              <w:t>Finding circles</w:t>
            </w:r>
          </w:p>
        </w:tc>
        <w:tc>
          <w:tcPr>
            <w:tcW w:w="714" w:type="pct"/>
            <w:shd w:val="clear" w:color="auto" w:fill="F7CAAC" w:themeFill="accent2" w:themeFillTint="66"/>
          </w:tcPr>
          <w:p w:rsidR="00C218F7" w:rsidRDefault="00C218F7" w:rsidP="00C218F7">
            <w:pPr>
              <w:jc w:val="center"/>
              <w:rPr>
                <w:sz w:val="28"/>
              </w:rPr>
            </w:pPr>
            <w:r>
              <w:rPr>
                <w:sz w:val="28"/>
              </w:rPr>
              <w:t>Autumn Floor textiles</w:t>
            </w:r>
          </w:p>
        </w:tc>
        <w:tc>
          <w:tcPr>
            <w:tcW w:w="714" w:type="pct"/>
            <w:shd w:val="clear" w:color="auto" w:fill="F7CAAC" w:themeFill="accent2" w:themeFillTint="66"/>
          </w:tcPr>
          <w:p w:rsidR="00C218F7" w:rsidRDefault="00C218F7" w:rsidP="00C218F7">
            <w:pPr>
              <w:jc w:val="center"/>
              <w:rPr>
                <w:sz w:val="28"/>
              </w:rPr>
            </w:pPr>
            <w:r>
              <w:rPr>
                <w:sz w:val="28"/>
              </w:rPr>
              <w:t>Collaging with wax crayons</w:t>
            </w:r>
          </w:p>
        </w:tc>
        <w:tc>
          <w:tcPr>
            <w:tcW w:w="714" w:type="pct"/>
            <w:shd w:val="clear" w:color="auto" w:fill="F7CAAC" w:themeFill="accent2" w:themeFillTint="66"/>
          </w:tcPr>
          <w:p w:rsidR="00C218F7" w:rsidRDefault="00C218F7" w:rsidP="00C218F7">
            <w:pPr>
              <w:jc w:val="center"/>
              <w:rPr>
                <w:sz w:val="28"/>
              </w:rPr>
            </w:pPr>
            <w:r>
              <w:rPr>
                <w:sz w:val="28"/>
              </w:rPr>
              <w:t>Marbled hole punch sketchbook</w:t>
            </w:r>
          </w:p>
        </w:tc>
        <w:tc>
          <w:tcPr>
            <w:tcW w:w="714" w:type="pct"/>
            <w:shd w:val="clear" w:color="auto" w:fill="F7CAAC" w:themeFill="accent2" w:themeFillTint="66"/>
          </w:tcPr>
          <w:p w:rsidR="00C218F7" w:rsidRDefault="00C218F7" w:rsidP="00C218F7">
            <w:pPr>
              <w:jc w:val="center"/>
              <w:rPr>
                <w:sz w:val="28"/>
              </w:rPr>
            </w:pPr>
            <w:r>
              <w:rPr>
                <w:sz w:val="28"/>
              </w:rPr>
              <w:t>Drawing on Pebbles</w:t>
            </w:r>
          </w:p>
        </w:tc>
        <w:tc>
          <w:tcPr>
            <w:tcW w:w="714" w:type="pct"/>
            <w:shd w:val="clear" w:color="auto" w:fill="F7CAAC" w:themeFill="accent2" w:themeFillTint="66"/>
          </w:tcPr>
          <w:p w:rsidR="00C218F7" w:rsidRDefault="00C218F7" w:rsidP="00C218F7">
            <w:pPr>
              <w:jc w:val="center"/>
              <w:rPr>
                <w:sz w:val="28"/>
              </w:rPr>
            </w:pPr>
            <w:r>
              <w:rPr>
                <w:sz w:val="28"/>
              </w:rPr>
              <w:t>Dressing up as fossils</w:t>
            </w:r>
          </w:p>
        </w:tc>
      </w:tr>
      <w:tr w:rsidR="00C218F7" w:rsidTr="00C218F7">
        <w:tc>
          <w:tcPr>
            <w:tcW w:w="715" w:type="pct"/>
            <w:shd w:val="clear" w:color="auto" w:fill="A8D08D" w:themeFill="accent6" w:themeFillTint="99"/>
          </w:tcPr>
          <w:p w:rsidR="00C218F7" w:rsidRDefault="00C218F7" w:rsidP="00C218F7">
            <w:pPr>
              <w:jc w:val="center"/>
              <w:rPr>
                <w:sz w:val="28"/>
              </w:rPr>
            </w:pPr>
            <w:r>
              <w:rPr>
                <w:sz w:val="28"/>
              </w:rPr>
              <w:t>Painting</w:t>
            </w:r>
          </w:p>
        </w:tc>
        <w:tc>
          <w:tcPr>
            <w:tcW w:w="715" w:type="pct"/>
            <w:shd w:val="clear" w:color="auto" w:fill="A8D08D" w:themeFill="accent6" w:themeFillTint="99"/>
          </w:tcPr>
          <w:p w:rsidR="00C218F7" w:rsidRDefault="00C218F7" w:rsidP="00C218F7">
            <w:pPr>
              <w:jc w:val="right"/>
              <w:rPr>
                <w:sz w:val="28"/>
              </w:rPr>
            </w:pPr>
            <w:r>
              <w:rPr>
                <w:sz w:val="28"/>
              </w:rPr>
              <w:t>Hand, feet and flowers</w:t>
            </w:r>
          </w:p>
        </w:tc>
        <w:tc>
          <w:tcPr>
            <w:tcW w:w="714" w:type="pct"/>
            <w:shd w:val="clear" w:color="auto" w:fill="A8D08D" w:themeFill="accent6" w:themeFillTint="99"/>
          </w:tcPr>
          <w:p w:rsidR="00C218F7" w:rsidRDefault="00C218F7" w:rsidP="00C218F7">
            <w:pPr>
              <w:jc w:val="center"/>
              <w:rPr>
                <w:sz w:val="28"/>
              </w:rPr>
            </w:pPr>
            <w:r>
              <w:rPr>
                <w:sz w:val="28"/>
              </w:rPr>
              <w:t>Explorer’s Book: Collecting Colour</w:t>
            </w:r>
          </w:p>
        </w:tc>
        <w:tc>
          <w:tcPr>
            <w:tcW w:w="714" w:type="pct"/>
            <w:shd w:val="clear" w:color="auto" w:fill="A8D08D" w:themeFill="accent6" w:themeFillTint="99"/>
          </w:tcPr>
          <w:p w:rsidR="00C218F7" w:rsidRDefault="00C218F7" w:rsidP="00C218F7">
            <w:pPr>
              <w:jc w:val="center"/>
              <w:rPr>
                <w:sz w:val="28"/>
              </w:rPr>
            </w:pPr>
            <w:r>
              <w:rPr>
                <w:sz w:val="28"/>
              </w:rPr>
              <w:t>T Shirt Painting</w:t>
            </w:r>
          </w:p>
        </w:tc>
        <w:tc>
          <w:tcPr>
            <w:tcW w:w="714" w:type="pct"/>
            <w:shd w:val="clear" w:color="auto" w:fill="A8D08D" w:themeFill="accent6" w:themeFillTint="99"/>
          </w:tcPr>
          <w:p w:rsidR="00C218F7" w:rsidRDefault="00C218F7" w:rsidP="00C218F7">
            <w:pPr>
              <w:jc w:val="center"/>
              <w:rPr>
                <w:sz w:val="28"/>
              </w:rPr>
            </w:pPr>
            <w:r>
              <w:rPr>
                <w:sz w:val="28"/>
              </w:rPr>
              <w:t>Repeat pattern printing roller</w:t>
            </w:r>
          </w:p>
        </w:tc>
        <w:tc>
          <w:tcPr>
            <w:tcW w:w="714" w:type="pct"/>
            <w:shd w:val="clear" w:color="auto" w:fill="A8D08D" w:themeFill="accent6" w:themeFillTint="99"/>
          </w:tcPr>
          <w:p w:rsidR="00C218F7" w:rsidRDefault="00C218F7" w:rsidP="00C218F7">
            <w:pPr>
              <w:jc w:val="center"/>
              <w:rPr>
                <w:sz w:val="28"/>
              </w:rPr>
            </w:pPr>
            <w:r>
              <w:rPr>
                <w:sz w:val="28"/>
              </w:rPr>
              <w:t>Printing with string</w:t>
            </w:r>
          </w:p>
        </w:tc>
        <w:tc>
          <w:tcPr>
            <w:tcW w:w="714" w:type="pct"/>
            <w:shd w:val="clear" w:color="auto" w:fill="A8D08D" w:themeFill="accent6" w:themeFillTint="99"/>
          </w:tcPr>
          <w:p w:rsidR="00C218F7" w:rsidRDefault="00C218F7" w:rsidP="00C218F7">
            <w:pPr>
              <w:jc w:val="center"/>
              <w:rPr>
                <w:sz w:val="28"/>
              </w:rPr>
            </w:pPr>
            <w:r>
              <w:rPr>
                <w:sz w:val="28"/>
              </w:rPr>
              <w:t>Explorer’s book: collecting colour</w:t>
            </w:r>
          </w:p>
        </w:tc>
      </w:tr>
      <w:tr w:rsidR="00C218F7" w:rsidTr="00C218F7">
        <w:tc>
          <w:tcPr>
            <w:tcW w:w="715" w:type="pct"/>
            <w:shd w:val="clear" w:color="auto" w:fill="9CC2E5" w:themeFill="accent5" w:themeFillTint="99"/>
          </w:tcPr>
          <w:p w:rsidR="00C218F7" w:rsidRDefault="00C218F7" w:rsidP="00C218F7">
            <w:pPr>
              <w:jc w:val="center"/>
              <w:rPr>
                <w:sz w:val="28"/>
              </w:rPr>
            </w:pPr>
            <w:r>
              <w:rPr>
                <w:sz w:val="28"/>
              </w:rPr>
              <w:t>Sculpting</w:t>
            </w:r>
          </w:p>
        </w:tc>
        <w:tc>
          <w:tcPr>
            <w:tcW w:w="715" w:type="pct"/>
            <w:shd w:val="clear" w:color="auto" w:fill="9CC2E5" w:themeFill="accent5" w:themeFillTint="99"/>
          </w:tcPr>
          <w:p w:rsidR="00C218F7" w:rsidRDefault="00C218F7" w:rsidP="00C218F7">
            <w:pPr>
              <w:jc w:val="center"/>
              <w:rPr>
                <w:sz w:val="28"/>
              </w:rPr>
            </w:pPr>
          </w:p>
        </w:tc>
        <w:tc>
          <w:tcPr>
            <w:tcW w:w="714" w:type="pct"/>
            <w:shd w:val="clear" w:color="auto" w:fill="9CC2E5" w:themeFill="accent5" w:themeFillTint="99"/>
          </w:tcPr>
          <w:p w:rsidR="00C218F7" w:rsidRDefault="00C218F7" w:rsidP="00C218F7">
            <w:pPr>
              <w:jc w:val="center"/>
              <w:rPr>
                <w:sz w:val="28"/>
              </w:rPr>
            </w:pPr>
          </w:p>
        </w:tc>
        <w:tc>
          <w:tcPr>
            <w:tcW w:w="714" w:type="pct"/>
            <w:shd w:val="clear" w:color="auto" w:fill="9CC2E5" w:themeFill="accent5" w:themeFillTint="99"/>
          </w:tcPr>
          <w:p w:rsidR="00C218F7" w:rsidRDefault="00C218F7" w:rsidP="00C218F7">
            <w:pPr>
              <w:jc w:val="center"/>
              <w:rPr>
                <w:sz w:val="28"/>
              </w:rPr>
            </w:pPr>
          </w:p>
        </w:tc>
        <w:tc>
          <w:tcPr>
            <w:tcW w:w="714" w:type="pct"/>
            <w:shd w:val="clear" w:color="auto" w:fill="9CC2E5" w:themeFill="accent5" w:themeFillTint="99"/>
          </w:tcPr>
          <w:p w:rsidR="00C218F7" w:rsidRDefault="00C218F7" w:rsidP="00C218F7">
            <w:pPr>
              <w:jc w:val="center"/>
              <w:rPr>
                <w:sz w:val="28"/>
              </w:rPr>
            </w:pPr>
            <w:r>
              <w:rPr>
                <w:sz w:val="28"/>
              </w:rPr>
              <w:t xml:space="preserve">Burton </w:t>
            </w:r>
            <w:proofErr w:type="spellStart"/>
            <w:r>
              <w:rPr>
                <w:sz w:val="28"/>
              </w:rPr>
              <w:t>Hathow</w:t>
            </w:r>
            <w:proofErr w:type="spellEnd"/>
            <w:r>
              <w:rPr>
                <w:sz w:val="28"/>
              </w:rPr>
              <w:t>: Ducklings</w:t>
            </w:r>
          </w:p>
        </w:tc>
        <w:tc>
          <w:tcPr>
            <w:tcW w:w="714" w:type="pct"/>
            <w:shd w:val="clear" w:color="auto" w:fill="9CC2E5" w:themeFill="accent5" w:themeFillTint="99"/>
          </w:tcPr>
          <w:p w:rsidR="00C218F7" w:rsidRDefault="00C218F7" w:rsidP="00C218F7">
            <w:pPr>
              <w:jc w:val="center"/>
              <w:rPr>
                <w:sz w:val="28"/>
              </w:rPr>
            </w:pPr>
            <w:r>
              <w:rPr>
                <w:sz w:val="28"/>
              </w:rPr>
              <w:t>Insect Hotels</w:t>
            </w:r>
          </w:p>
        </w:tc>
        <w:tc>
          <w:tcPr>
            <w:tcW w:w="714" w:type="pct"/>
            <w:shd w:val="clear" w:color="auto" w:fill="9CC2E5" w:themeFill="accent5" w:themeFillTint="99"/>
          </w:tcPr>
          <w:p w:rsidR="00C218F7" w:rsidRDefault="00C218F7" w:rsidP="00C218F7">
            <w:pPr>
              <w:jc w:val="center"/>
              <w:rPr>
                <w:sz w:val="28"/>
              </w:rPr>
            </w:pPr>
            <w:r>
              <w:rPr>
                <w:sz w:val="28"/>
              </w:rPr>
              <w:t>Shells: Observational and imaginative</w:t>
            </w:r>
          </w:p>
        </w:tc>
      </w:tr>
      <w:tr w:rsidR="004B77DA" w:rsidTr="004B77DA">
        <w:tc>
          <w:tcPr>
            <w:tcW w:w="715" w:type="pct"/>
            <w:shd w:val="clear" w:color="auto" w:fill="FFFFFF" w:themeFill="background1"/>
          </w:tcPr>
          <w:p w:rsidR="004B77DA" w:rsidRDefault="004B77DA" w:rsidP="00C218F7">
            <w:pPr>
              <w:jc w:val="center"/>
              <w:rPr>
                <w:sz w:val="28"/>
              </w:rPr>
            </w:pPr>
            <w:r>
              <w:rPr>
                <w:sz w:val="28"/>
              </w:rPr>
              <w:t>Other focus’s throughout the year</w:t>
            </w:r>
          </w:p>
        </w:tc>
        <w:tc>
          <w:tcPr>
            <w:tcW w:w="715" w:type="pct"/>
            <w:shd w:val="clear" w:color="auto" w:fill="FFFFFF" w:themeFill="background1"/>
          </w:tcPr>
          <w:p w:rsidR="004B77DA" w:rsidRDefault="004B77DA" w:rsidP="00C218F7">
            <w:pPr>
              <w:jc w:val="center"/>
              <w:rPr>
                <w:sz w:val="28"/>
              </w:rPr>
            </w:pPr>
            <w:r>
              <w:t xml:space="preserve">Kandinsky: Concentric circles. Beginning to mix primary colours to make secondary colours. Join in with familiar songs. Joins in with role play games and uses resources available for props; build models using construction equipment. Sings call-and-response songs, echoing phrases adults sing. Self-portraits- Look at artist </w:t>
            </w:r>
            <w:proofErr w:type="spellStart"/>
            <w:r>
              <w:t>selfportraits</w:t>
            </w:r>
            <w:proofErr w:type="spellEnd"/>
            <w:r>
              <w:t xml:space="preserve">. junk modelling, take picture pf children’s creations and record </w:t>
            </w:r>
            <w:r>
              <w:lastRenderedPageBreak/>
              <w:t>them explaining what they did. Exploring sounds (body percussion and instruments) and how they can be changed, tapping out of simple rhythms. Provide opportunities to work together to develop and realise creative ideas. Woodwork: Hammer and nails.</w:t>
            </w:r>
          </w:p>
        </w:tc>
        <w:tc>
          <w:tcPr>
            <w:tcW w:w="714" w:type="pct"/>
            <w:shd w:val="clear" w:color="auto" w:fill="FFFFFF" w:themeFill="background1"/>
          </w:tcPr>
          <w:p w:rsidR="004B77DA" w:rsidRDefault="004B77DA" w:rsidP="00C218F7">
            <w:pPr>
              <w:jc w:val="center"/>
              <w:rPr>
                <w:sz w:val="28"/>
              </w:rPr>
            </w:pPr>
            <w:r>
              <w:lastRenderedPageBreak/>
              <w:t xml:space="preserve">Andy Goldsworthy: Transient art in the forest. Listen to music and make their own dances in response. Poppy artwork. Collage Clay diva lamps/ salt dough Christmas decorations. Firework paintings, Christmas cards/decorations. Christmas songs and poems. The use of story maps, props, puppets and story bags will encourage children to retell, invent and adapt stories. Role play parties and </w:t>
            </w:r>
            <w:r>
              <w:lastRenderedPageBreak/>
              <w:t>Celebrations. Woodwork: Drilling holes using hand drills. Drilling conkers and connecting.</w:t>
            </w:r>
          </w:p>
        </w:tc>
        <w:tc>
          <w:tcPr>
            <w:tcW w:w="714" w:type="pct"/>
            <w:shd w:val="clear" w:color="auto" w:fill="FFFFFF" w:themeFill="background1"/>
          </w:tcPr>
          <w:p w:rsidR="004B77DA" w:rsidRDefault="004B77DA" w:rsidP="00C218F7">
            <w:pPr>
              <w:jc w:val="center"/>
              <w:rPr>
                <w:sz w:val="28"/>
              </w:rPr>
            </w:pPr>
            <w:r>
              <w:lastRenderedPageBreak/>
              <w:t>Use different textures and materials to make houses for the little pigs. Cutting and folding to create Chinese lanterns. Chinese writing, puppet making, Chinese Music and composition. Shadow puppets, teach children different techniques for joining materials such as how to use adhesive tape, treasury tags, paper clips and different types of glue. Woodwork: Glue gun to attach and join.</w:t>
            </w:r>
          </w:p>
        </w:tc>
        <w:tc>
          <w:tcPr>
            <w:tcW w:w="714" w:type="pct"/>
            <w:shd w:val="clear" w:color="auto" w:fill="FFFFFF" w:themeFill="background1"/>
          </w:tcPr>
          <w:p w:rsidR="004B77DA" w:rsidRDefault="004B77DA" w:rsidP="00C218F7">
            <w:pPr>
              <w:jc w:val="center"/>
              <w:rPr>
                <w:sz w:val="28"/>
              </w:rPr>
            </w:pPr>
            <w:r>
              <w:t xml:space="preserve">Jackson Pollock Marble rolling, paint splatting on small and large scale. Easter egg paint splat. Observational drawings of spring flowers. Make different textures: make patterns using different colours. Explore ways to protect the growing of plants by designing scarecrows and light catchers using old CDs. Collage animals/ making houses. Pastel drawings and wax crayons tree rubbings, printing </w:t>
            </w:r>
            <w:r>
              <w:lastRenderedPageBreak/>
              <w:t xml:space="preserve">patterns on Easter eggs, flowers- sun flowers. Mother’s Day crafts. Provide a wide variety of props for play which encourage imagination dressing </w:t>
            </w:r>
            <w:proofErr w:type="spellStart"/>
            <w:r>
              <w:t>upcostume</w:t>
            </w:r>
            <w:proofErr w:type="spellEnd"/>
            <w:r>
              <w:t xml:space="preserve"> making area in Deconstructed area, instruments, puppets etc. Woodwork: sawing</w:t>
            </w:r>
          </w:p>
        </w:tc>
        <w:tc>
          <w:tcPr>
            <w:tcW w:w="714" w:type="pct"/>
            <w:shd w:val="clear" w:color="auto" w:fill="FFFFFF" w:themeFill="background1"/>
          </w:tcPr>
          <w:p w:rsidR="004B77DA" w:rsidRDefault="004B77DA" w:rsidP="00C218F7">
            <w:pPr>
              <w:jc w:val="center"/>
              <w:rPr>
                <w:sz w:val="28"/>
              </w:rPr>
            </w:pPr>
            <w:r>
              <w:lastRenderedPageBreak/>
              <w:t>Encourage children to make their own music. Junk modelling, houses, bridges, boats and transport. Exploration of other countries wearing clothes from different cultures- Eid/ Ramadan. Retelling familiar stories. Woodwork: consolidate prior learning, build, connect and create applying taught skills.</w:t>
            </w:r>
          </w:p>
        </w:tc>
        <w:tc>
          <w:tcPr>
            <w:tcW w:w="714" w:type="pct"/>
            <w:shd w:val="clear" w:color="auto" w:fill="FFFFFF" w:themeFill="background1"/>
          </w:tcPr>
          <w:p w:rsidR="004B77DA" w:rsidRDefault="004B77DA" w:rsidP="00C218F7">
            <w:pPr>
              <w:jc w:val="center"/>
              <w:rPr>
                <w:sz w:val="28"/>
              </w:rPr>
            </w:pPr>
            <w:r>
              <w:t xml:space="preserve">Andy Goldsworthy: Transient art. Shading by adding black or white, continue exploring colour mixing. Adding texture such as sand to paint to crate different texture to artwork such as a beach scene or sea and sand etc. Salt dough fossils. Water colours Wax restrictions painting to create underwater pictures. Father’s Day crafts Woodwork: consolidate prior learning, build, </w:t>
            </w:r>
            <w:r>
              <w:lastRenderedPageBreak/>
              <w:t>connect and create applying taught skills</w:t>
            </w:r>
          </w:p>
        </w:tc>
      </w:tr>
    </w:tbl>
    <w:p w:rsidR="005F7B99" w:rsidRDefault="005F7B99">
      <w:pPr>
        <w:jc w:val="center"/>
        <w:rPr>
          <w:sz w:val="28"/>
        </w:rPr>
      </w:pPr>
    </w:p>
    <w:p w:rsidR="00C218F7" w:rsidRPr="006D63DE" w:rsidRDefault="00C218F7">
      <w:pPr>
        <w:jc w:val="center"/>
        <w:rPr>
          <w:sz w:val="28"/>
        </w:rPr>
      </w:pPr>
    </w:p>
    <w:sectPr w:rsidR="00C218F7" w:rsidRPr="006D63DE" w:rsidSect="00CD01B6">
      <w:footerReference w:type="default" r:id="rId9"/>
      <w:pgSz w:w="16838" w:h="11906"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1B6" w:rsidRDefault="00CD01B6" w:rsidP="00CD01B6">
      <w:pPr>
        <w:spacing w:after="0" w:line="240" w:lineRule="auto"/>
      </w:pPr>
      <w:r>
        <w:separator/>
      </w:r>
    </w:p>
  </w:endnote>
  <w:endnote w:type="continuationSeparator" w:id="0">
    <w:p w:rsidR="00CD01B6" w:rsidRDefault="00CD01B6" w:rsidP="00CD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1B6" w:rsidRDefault="00CD01B6">
    <w:pPr>
      <w:pStyle w:val="Footer"/>
    </w:pPr>
  </w:p>
  <w:p w:rsidR="00CD01B6" w:rsidRDefault="00CD01B6">
    <w:pPr>
      <w:pStyle w:val="Footer"/>
    </w:pPr>
    <w:r>
      <w:rPr>
        <w:noProof/>
        <w:lang w:eastAsia="en-GB"/>
      </w:rPr>
      <w:drawing>
        <wp:anchor distT="0" distB="0" distL="114300" distR="114300" simplePos="0" relativeHeight="251658240" behindDoc="1" locked="0" layoutInCell="1" allowOverlap="1">
          <wp:simplePos x="0" y="0"/>
          <wp:positionH relativeFrom="column">
            <wp:posOffset>6824</wp:posOffset>
          </wp:positionH>
          <wp:positionV relativeFrom="paragraph">
            <wp:posOffset>-2994916</wp:posOffset>
          </wp:positionV>
          <wp:extent cx="10059035" cy="315305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9035" cy="31530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1B6" w:rsidRDefault="00CD01B6" w:rsidP="00CD01B6">
      <w:pPr>
        <w:spacing w:after="0" w:line="240" w:lineRule="auto"/>
      </w:pPr>
      <w:r>
        <w:separator/>
      </w:r>
    </w:p>
  </w:footnote>
  <w:footnote w:type="continuationSeparator" w:id="0">
    <w:p w:rsidR="00CD01B6" w:rsidRDefault="00CD01B6" w:rsidP="00CD0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C24"/>
    <w:multiLevelType w:val="hybridMultilevel"/>
    <w:tmpl w:val="798E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82FD4"/>
    <w:multiLevelType w:val="hybridMultilevel"/>
    <w:tmpl w:val="E3A0F8DE"/>
    <w:lvl w:ilvl="0" w:tplc="685C26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B6202"/>
    <w:multiLevelType w:val="hybridMultilevel"/>
    <w:tmpl w:val="55F4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E2466"/>
    <w:multiLevelType w:val="hybridMultilevel"/>
    <w:tmpl w:val="6964BBF8"/>
    <w:lvl w:ilvl="0" w:tplc="4C9E9A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D3101"/>
    <w:multiLevelType w:val="hybridMultilevel"/>
    <w:tmpl w:val="5B0EAEDA"/>
    <w:lvl w:ilvl="0" w:tplc="C3F2D7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DE"/>
    <w:rsid w:val="0000698F"/>
    <w:rsid w:val="000616A7"/>
    <w:rsid w:val="00071AA7"/>
    <w:rsid w:val="00097BB1"/>
    <w:rsid w:val="000E4AFE"/>
    <w:rsid w:val="000F14E3"/>
    <w:rsid w:val="00164E96"/>
    <w:rsid w:val="00173A86"/>
    <w:rsid w:val="001D0006"/>
    <w:rsid w:val="001D1BC1"/>
    <w:rsid w:val="001E7EB1"/>
    <w:rsid w:val="001F5113"/>
    <w:rsid w:val="00213CFC"/>
    <w:rsid w:val="00225382"/>
    <w:rsid w:val="00277F64"/>
    <w:rsid w:val="002827BF"/>
    <w:rsid w:val="002A36C5"/>
    <w:rsid w:val="002A3AE9"/>
    <w:rsid w:val="002B0EA1"/>
    <w:rsid w:val="002C3860"/>
    <w:rsid w:val="00306DD7"/>
    <w:rsid w:val="00374767"/>
    <w:rsid w:val="003B7014"/>
    <w:rsid w:val="003F1A28"/>
    <w:rsid w:val="00415285"/>
    <w:rsid w:val="00422542"/>
    <w:rsid w:val="00445924"/>
    <w:rsid w:val="004616F2"/>
    <w:rsid w:val="004971D0"/>
    <w:rsid w:val="004B77DA"/>
    <w:rsid w:val="004D078C"/>
    <w:rsid w:val="004D4FB6"/>
    <w:rsid w:val="004E3797"/>
    <w:rsid w:val="004F1E3E"/>
    <w:rsid w:val="00575FC4"/>
    <w:rsid w:val="005B1826"/>
    <w:rsid w:val="005B412A"/>
    <w:rsid w:val="005C485C"/>
    <w:rsid w:val="005D1AC8"/>
    <w:rsid w:val="005F7B99"/>
    <w:rsid w:val="0060209C"/>
    <w:rsid w:val="006033E0"/>
    <w:rsid w:val="00612252"/>
    <w:rsid w:val="006275DD"/>
    <w:rsid w:val="00644F7A"/>
    <w:rsid w:val="006623E5"/>
    <w:rsid w:val="006C2EB4"/>
    <w:rsid w:val="006C6616"/>
    <w:rsid w:val="006D63DE"/>
    <w:rsid w:val="00701C17"/>
    <w:rsid w:val="00711111"/>
    <w:rsid w:val="00717C6F"/>
    <w:rsid w:val="0076428D"/>
    <w:rsid w:val="007657C9"/>
    <w:rsid w:val="007B549B"/>
    <w:rsid w:val="007B5F32"/>
    <w:rsid w:val="0081075C"/>
    <w:rsid w:val="00850ED0"/>
    <w:rsid w:val="00914C62"/>
    <w:rsid w:val="009208FE"/>
    <w:rsid w:val="00940680"/>
    <w:rsid w:val="00955A52"/>
    <w:rsid w:val="00956FDD"/>
    <w:rsid w:val="009717CF"/>
    <w:rsid w:val="00981B8F"/>
    <w:rsid w:val="009A7E7F"/>
    <w:rsid w:val="009C5DB2"/>
    <w:rsid w:val="009E0772"/>
    <w:rsid w:val="00A1375D"/>
    <w:rsid w:val="00A23F78"/>
    <w:rsid w:val="00AB1BFB"/>
    <w:rsid w:val="00AD77B6"/>
    <w:rsid w:val="00B12E7A"/>
    <w:rsid w:val="00B22322"/>
    <w:rsid w:val="00B26DEA"/>
    <w:rsid w:val="00B413DD"/>
    <w:rsid w:val="00B43754"/>
    <w:rsid w:val="00B470A0"/>
    <w:rsid w:val="00B52FE4"/>
    <w:rsid w:val="00B618D4"/>
    <w:rsid w:val="00B65EEB"/>
    <w:rsid w:val="00B735D5"/>
    <w:rsid w:val="00BF2CB1"/>
    <w:rsid w:val="00C019BE"/>
    <w:rsid w:val="00C102C2"/>
    <w:rsid w:val="00C218F7"/>
    <w:rsid w:val="00CD01B6"/>
    <w:rsid w:val="00CE5531"/>
    <w:rsid w:val="00D417E8"/>
    <w:rsid w:val="00D77F2E"/>
    <w:rsid w:val="00DC5F40"/>
    <w:rsid w:val="00DD0526"/>
    <w:rsid w:val="00DE1F91"/>
    <w:rsid w:val="00DE5E20"/>
    <w:rsid w:val="00E072C1"/>
    <w:rsid w:val="00E15BE8"/>
    <w:rsid w:val="00E854B5"/>
    <w:rsid w:val="00ED7915"/>
    <w:rsid w:val="00EF07A4"/>
    <w:rsid w:val="00EF3009"/>
    <w:rsid w:val="00F10D41"/>
    <w:rsid w:val="00F17690"/>
    <w:rsid w:val="00F36742"/>
    <w:rsid w:val="00F62595"/>
    <w:rsid w:val="00F743AD"/>
    <w:rsid w:val="00F7488F"/>
    <w:rsid w:val="00F93EDD"/>
    <w:rsid w:val="00FB4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8CA5A2B-C548-471F-9487-B02400FA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1A28"/>
    <w:pPr>
      <w:ind w:left="720"/>
      <w:contextualSpacing/>
    </w:pPr>
  </w:style>
  <w:style w:type="paragraph" w:styleId="Header">
    <w:name w:val="header"/>
    <w:basedOn w:val="Normal"/>
    <w:link w:val="HeaderChar"/>
    <w:uiPriority w:val="99"/>
    <w:unhideWhenUsed/>
    <w:rsid w:val="00CD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1B6"/>
  </w:style>
  <w:style w:type="paragraph" w:styleId="Footer">
    <w:name w:val="footer"/>
    <w:basedOn w:val="Normal"/>
    <w:link w:val="FooterChar"/>
    <w:uiPriority w:val="99"/>
    <w:unhideWhenUsed/>
    <w:rsid w:val="00CD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1B6"/>
  </w:style>
  <w:style w:type="table" w:customStyle="1" w:styleId="TableGrid1">
    <w:name w:val="Table Grid1"/>
    <w:basedOn w:val="TableNormal"/>
    <w:next w:val="TableGrid"/>
    <w:uiPriority w:val="39"/>
    <w:rsid w:val="00F7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68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4CA0-8FA0-4074-9138-20AFDB2A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Gould</dc:creator>
  <cp:keywords/>
  <dc:description/>
  <cp:lastModifiedBy>Miss Gould</cp:lastModifiedBy>
  <cp:revision>2</cp:revision>
  <cp:lastPrinted>2022-09-01T13:58:00Z</cp:lastPrinted>
  <dcterms:created xsi:type="dcterms:W3CDTF">2024-01-16T10:52:00Z</dcterms:created>
  <dcterms:modified xsi:type="dcterms:W3CDTF">2024-01-16T10:52:00Z</dcterms:modified>
</cp:coreProperties>
</file>