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E13F" w14:textId="298A1BFC" w:rsidR="0054223E" w:rsidRPr="00382385" w:rsidRDefault="004B351F" w:rsidP="004B351F">
      <w:pPr>
        <w:jc w:val="center"/>
        <w:rPr>
          <w:sz w:val="16"/>
          <w:szCs w:val="16"/>
        </w:rPr>
      </w:pPr>
      <w:r w:rsidRPr="00382385">
        <w:rPr>
          <w:sz w:val="16"/>
          <w:szCs w:val="16"/>
        </w:rPr>
        <w:t>Diversity</w:t>
      </w:r>
    </w:p>
    <w:p w14:paraId="4D2147FD" w14:textId="112FDA37" w:rsidR="0013428B" w:rsidRDefault="004B351F" w:rsidP="002D6C8C">
      <w:pPr>
        <w:rPr>
          <w:sz w:val="16"/>
          <w:szCs w:val="16"/>
        </w:rPr>
      </w:pPr>
      <w:r w:rsidRPr="00382385">
        <w:rPr>
          <w:b/>
          <w:bCs/>
          <w:sz w:val="16"/>
          <w:szCs w:val="16"/>
        </w:rPr>
        <w:t>Diversity </w:t>
      </w:r>
      <w:r w:rsidRPr="00382385">
        <w:rPr>
          <w:sz w:val="16"/>
          <w:szCs w:val="16"/>
        </w:rPr>
        <w:t xml:space="preserve">is a foundation of our history curriculum; the children are given the opportunity to make connections between local, regional, national and </w:t>
      </w:r>
      <w:r w:rsidRPr="00DB7D16">
        <w:rPr>
          <w:sz w:val="16"/>
          <w:szCs w:val="16"/>
        </w:rPr>
        <w:t xml:space="preserve">international history. </w:t>
      </w:r>
    </w:p>
    <w:p w14:paraId="574E6D41" w14:textId="1940CCD2" w:rsidR="002D6C8C" w:rsidRDefault="002D6C8C" w:rsidP="002D6C8C">
      <w:pPr>
        <w:rPr>
          <w:sz w:val="16"/>
          <w:szCs w:val="16"/>
        </w:rPr>
      </w:pPr>
      <w:r>
        <w:rPr>
          <w:sz w:val="16"/>
          <w:szCs w:val="16"/>
        </w:rPr>
        <w:t>We aim to</w:t>
      </w:r>
      <w:r w:rsidR="00F96F15">
        <w:rPr>
          <w:sz w:val="16"/>
          <w:szCs w:val="16"/>
        </w:rPr>
        <w:t>:</w:t>
      </w:r>
    </w:p>
    <w:p w14:paraId="5E0CDCAC" w14:textId="7A5FBCBE" w:rsidR="002D6C8C" w:rsidRPr="00DB7D16" w:rsidRDefault="00B864D5" w:rsidP="002D6C8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BF9B" wp14:editId="39D82994">
                <wp:simplePos x="0" y="0"/>
                <wp:positionH relativeFrom="column">
                  <wp:posOffset>868680</wp:posOffset>
                </wp:positionH>
                <wp:positionV relativeFrom="paragraph">
                  <wp:posOffset>8982075</wp:posOffset>
                </wp:positionV>
                <wp:extent cx="5128260" cy="213360"/>
                <wp:effectExtent l="0" t="0" r="15240" b="15240"/>
                <wp:wrapNone/>
                <wp:docPr id="15168694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2133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0C89060" w14:textId="58D12985" w:rsidR="00B864D5" w:rsidRPr="00B864D5" w:rsidRDefault="00B864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64D5">
                              <w:rPr>
                                <w:sz w:val="18"/>
                                <w:szCs w:val="18"/>
                              </w:rPr>
                              <w:t xml:space="preserve">The substantive key concept of equality runs throughout the curriculum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8B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4pt;margin-top:707.25pt;width:403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" fillcolor="#fae2d5 [661]" strokecolor="#fae2d5 [661]" strokeweight=".5pt">
                <v:textbox>
                  <w:txbxContent>
                    <w:p w14:paraId="20C89060" w14:textId="58D12985" w:rsidR="00B864D5" w:rsidRPr="00B864D5" w:rsidRDefault="00B864D5">
                      <w:pPr>
                        <w:rPr>
                          <w:sz w:val="18"/>
                          <w:szCs w:val="18"/>
                        </w:rPr>
                      </w:pPr>
                      <w:r w:rsidRPr="00B864D5">
                        <w:rPr>
                          <w:sz w:val="18"/>
                          <w:szCs w:val="18"/>
                        </w:rPr>
                        <w:t xml:space="preserve">The substantive key concept of equality runs throughout the curriculum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1CAB2" wp14:editId="60028614">
                <wp:simplePos x="0" y="0"/>
                <wp:positionH relativeFrom="column">
                  <wp:posOffset>-381000</wp:posOffset>
                </wp:positionH>
                <wp:positionV relativeFrom="paragraph">
                  <wp:posOffset>8749665</wp:posOffset>
                </wp:positionV>
                <wp:extent cx="7406640" cy="651510"/>
                <wp:effectExtent l="0" t="19050" r="41910" b="34290"/>
                <wp:wrapNone/>
                <wp:docPr id="213735013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65151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73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0pt;margin-top:688.95pt;width:583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" adj="20650" fillcolor="#fae2d5 [661]" strokecolor="#030e13 [484]" strokeweight="1pt"/>
            </w:pict>
          </mc:Fallback>
        </mc:AlternateContent>
      </w:r>
      <w:r w:rsidR="002D6C8C" w:rsidRPr="002D6C8C">
        <w:rPr>
          <w:sz w:val="16"/>
          <w:szCs w:val="16"/>
        </w:rPr>
        <w:t xml:space="preserve">Provide positive role models that every child can relate to </w:t>
      </w:r>
      <w:r w:rsidR="002D6C8C">
        <w:rPr>
          <w:sz w:val="16"/>
          <w:szCs w:val="16"/>
        </w:rPr>
        <w:t>, allow c</w:t>
      </w:r>
      <w:r w:rsidR="002D6C8C" w:rsidRPr="002D6C8C">
        <w:rPr>
          <w:sz w:val="16"/>
          <w:szCs w:val="16"/>
        </w:rPr>
        <w:t>hildren see their history and heritage represented</w:t>
      </w:r>
      <w:r w:rsidR="002D6C8C">
        <w:rPr>
          <w:sz w:val="16"/>
          <w:szCs w:val="16"/>
        </w:rPr>
        <w:t>, ensure diversity is embedded in a meaningful way</w:t>
      </w:r>
      <w:r w:rsidR="00D37357">
        <w:rPr>
          <w:sz w:val="16"/>
          <w:szCs w:val="16"/>
        </w:rPr>
        <w:t xml:space="preserve"> and to reflect history honestly.</w:t>
      </w:r>
    </w:p>
    <w:tbl>
      <w:tblPr>
        <w:tblStyle w:val="TableGrid"/>
        <w:tblW w:w="116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369"/>
        <w:gridCol w:w="1342"/>
        <w:gridCol w:w="1342"/>
        <w:gridCol w:w="1342"/>
        <w:gridCol w:w="1267"/>
        <w:gridCol w:w="1418"/>
      </w:tblGrid>
      <w:tr w:rsidR="00382385" w:rsidRPr="00DB7D16" w14:paraId="4DD2649B" w14:textId="77777777" w:rsidTr="00DB7D16">
        <w:tc>
          <w:tcPr>
            <w:tcW w:w="993" w:type="dxa"/>
          </w:tcPr>
          <w:p w14:paraId="37F8323D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4A35528" w14:textId="77777777" w:rsidR="00382385" w:rsidRDefault="00382385" w:rsidP="00382385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Whole school</w:t>
            </w:r>
          </w:p>
          <w:p w14:paraId="692E373C" w14:textId="035A50B5" w:rsidR="00891520" w:rsidRPr="00DB7D16" w:rsidRDefault="00891520" w:rsidP="00382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Assemblies</w:t>
            </w:r>
          </w:p>
        </w:tc>
        <w:tc>
          <w:tcPr>
            <w:tcW w:w="1276" w:type="dxa"/>
          </w:tcPr>
          <w:p w14:paraId="28DE3B9D" w14:textId="63E527A1" w:rsidR="00382385" w:rsidRPr="00DB7D16" w:rsidRDefault="00382385" w:rsidP="00382385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EYFS</w:t>
            </w:r>
          </w:p>
          <w:p w14:paraId="74E1EC55" w14:textId="2B8D8A7B" w:rsidR="00382385" w:rsidRPr="00DB7D16" w:rsidRDefault="00382385" w:rsidP="00090051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</w:tcPr>
          <w:p w14:paraId="1A3468AD" w14:textId="2E953936" w:rsidR="00382385" w:rsidRPr="00DB7D16" w:rsidRDefault="00382385" w:rsidP="0013428B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1</w:t>
            </w:r>
          </w:p>
        </w:tc>
        <w:tc>
          <w:tcPr>
            <w:tcW w:w="1342" w:type="dxa"/>
          </w:tcPr>
          <w:p w14:paraId="67A0689F" w14:textId="2DC0A243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2</w:t>
            </w:r>
          </w:p>
        </w:tc>
        <w:tc>
          <w:tcPr>
            <w:tcW w:w="1342" w:type="dxa"/>
          </w:tcPr>
          <w:p w14:paraId="5DC186F6" w14:textId="521DAF6B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3</w:t>
            </w:r>
          </w:p>
        </w:tc>
        <w:tc>
          <w:tcPr>
            <w:tcW w:w="1342" w:type="dxa"/>
          </w:tcPr>
          <w:p w14:paraId="39296482" w14:textId="57DF75DC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14:paraId="37B9CEE1" w14:textId="32B95888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FDA894F" w14:textId="0B862A8F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6</w:t>
            </w:r>
          </w:p>
        </w:tc>
      </w:tr>
      <w:tr w:rsidR="00891520" w:rsidRPr="00DB7D16" w14:paraId="792C7BA2" w14:textId="77777777" w:rsidTr="00891520">
        <w:tc>
          <w:tcPr>
            <w:tcW w:w="993" w:type="dxa"/>
            <w:shd w:val="clear" w:color="auto" w:fill="DAE9F7" w:themeFill="text2" w:themeFillTint="1A"/>
          </w:tcPr>
          <w:p w14:paraId="35339BA1" w14:textId="13495592" w:rsidR="00382385" w:rsidRPr="00DB7D16" w:rsidRDefault="00090051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BAME</w:t>
            </w:r>
          </w:p>
        </w:tc>
        <w:tc>
          <w:tcPr>
            <w:tcW w:w="1275" w:type="dxa"/>
            <w:shd w:val="clear" w:color="auto" w:fill="DAE9F7" w:themeFill="text2" w:themeFillTint="1A"/>
          </w:tcPr>
          <w:p w14:paraId="027A9C0E" w14:textId="77777777" w:rsidR="00382385" w:rsidRPr="00DB7D16" w:rsidRDefault="00382385" w:rsidP="00382385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Armistice signed to end World War 1</w:t>
            </w:r>
          </w:p>
          <w:p w14:paraId="6E07BBB1" w14:textId="34C16562" w:rsidR="00382385" w:rsidRPr="00DB7D16" w:rsidRDefault="00382385" w:rsidP="00382385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After the war, many came from the empire to help rebuild Britain and settled here. Some came from the Caribbean, India, Pakistan and all made their lives here today.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7E63C5F" w14:textId="2D09DA48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DAE9F7" w:themeFill="text2" w:themeFillTint="1A"/>
          </w:tcPr>
          <w:p w14:paraId="05A9CE5A" w14:textId="77777777" w:rsidR="00382385" w:rsidRDefault="00452476" w:rsidP="0013428B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Mary Seacole</w:t>
            </w:r>
          </w:p>
          <w:p w14:paraId="5944CA77" w14:textId="77777777" w:rsidR="002D6C8C" w:rsidRDefault="002D6C8C" w:rsidP="0013428B">
            <w:pPr>
              <w:jc w:val="center"/>
              <w:rPr>
                <w:sz w:val="16"/>
                <w:szCs w:val="16"/>
              </w:rPr>
            </w:pPr>
          </w:p>
          <w:p w14:paraId="76A6BA90" w14:textId="686165F6" w:rsidR="002D6C8C" w:rsidRPr="00DB7D16" w:rsidRDefault="002D6C8C" w:rsidP="00134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person and the impact</w:t>
            </w:r>
          </w:p>
        </w:tc>
        <w:tc>
          <w:tcPr>
            <w:tcW w:w="1342" w:type="dxa"/>
            <w:shd w:val="clear" w:color="auto" w:fill="DAE9F7" w:themeFill="text2" w:themeFillTint="1A"/>
          </w:tcPr>
          <w:p w14:paraId="19BB4CDA" w14:textId="77777777" w:rsidR="00382385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Rosa Parks</w:t>
            </w:r>
          </w:p>
          <w:p w14:paraId="6838CDB4" w14:textId="77777777" w:rsidR="002D6C8C" w:rsidRDefault="002D6C8C" w:rsidP="004B351F">
            <w:pPr>
              <w:jc w:val="center"/>
              <w:rPr>
                <w:sz w:val="16"/>
                <w:szCs w:val="16"/>
              </w:rPr>
            </w:pPr>
          </w:p>
          <w:p w14:paraId="75500D09" w14:textId="4442AF3C" w:rsidR="002D6C8C" w:rsidRPr="00DB7D16" w:rsidRDefault="002D6C8C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person and the impact.</w:t>
            </w:r>
          </w:p>
        </w:tc>
        <w:tc>
          <w:tcPr>
            <w:tcW w:w="1342" w:type="dxa"/>
            <w:shd w:val="clear" w:color="auto" w:fill="DAE9F7" w:themeFill="text2" w:themeFillTint="1A"/>
          </w:tcPr>
          <w:p w14:paraId="573C50BF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AE9F7" w:themeFill="text2" w:themeFillTint="1A"/>
          </w:tcPr>
          <w:p w14:paraId="4E836590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DAE9F7" w:themeFill="text2" w:themeFillTint="1A"/>
          </w:tcPr>
          <w:p w14:paraId="7DFF5813" w14:textId="77777777" w:rsidR="00382385" w:rsidRPr="00DB7D16" w:rsidRDefault="00090051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 non-European society that provides contrasts with British history</w:t>
            </w:r>
          </w:p>
          <w:p w14:paraId="2EC69118" w14:textId="77777777" w:rsidR="00090051" w:rsidRDefault="00090051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Benin</w:t>
            </w:r>
          </w:p>
          <w:p w14:paraId="3BC450C9" w14:textId="77777777" w:rsidR="002D6C8C" w:rsidRDefault="002D6C8C" w:rsidP="004B351F">
            <w:pPr>
              <w:jc w:val="center"/>
              <w:rPr>
                <w:sz w:val="16"/>
                <w:szCs w:val="16"/>
              </w:rPr>
            </w:pPr>
          </w:p>
          <w:p w14:paraId="656281E3" w14:textId="77777777" w:rsidR="002D6C8C" w:rsidRDefault="002D6C8C" w:rsidP="004B351F">
            <w:pPr>
              <w:jc w:val="center"/>
              <w:rPr>
                <w:sz w:val="16"/>
                <w:szCs w:val="16"/>
              </w:rPr>
            </w:pPr>
          </w:p>
          <w:p w14:paraId="6269E937" w14:textId="77777777" w:rsidR="00401C85" w:rsidRDefault="00401C85" w:rsidP="004B351F">
            <w:pPr>
              <w:jc w:val="center"/>
              <w:rPr>
                <w:sz w:val="16"/>
                <w:szCs w:val="16"/>
              </w:rPr>
            </w:pPr>
          </w:p>
          <w:p w14:paraId="0455CCE6" w14:textId="616EC351" w:rsidR="00401C85" w:rsidRPr="00DB7D16" w:rsidRDefault="00401C85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Slave trade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1B1113AC" w14:textId="7A4A8965" w:rsidR="00382385" w:rsidRPr="00DB7D16" w:rsidRDefault="00401C85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Holocaust</w:t>
            </w:r>
          </w:p>
        </w:tc>
      </w:tr>
      <w:tr w:rsidR="00891520" w:rsidRPr="00DB7D16" w14:paraId="7B090CE7" w14:textId="77777777" w:rsidTr="00891520">
        <w:tc>
          <w:tcPr>
            <w:tcW w:w="993" w:type="dxa"/>
            <w:shd w:val="clear" w:color="auto" w:fill="D9F2D0" w:themeFill="accent6" w:themeFillTint="33"/>
          </w:tcPr>
          <w:p w14:paraId="33AC8C7B" w14:textId="689F9406" w:rsidR="00382385" w:rsidRPr="00DB7D16" w:rsidRDefault="00382385" w:rsidP="00382385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LGBTQ</w:t>
            </w:r>
          </w:p>
        </w:tc>
        <w:tc>
          <w:tcPr>
            <w:tcW w:w="1275" w:type="dxa"/>
            <w:shd w:val="clear" w:color="auto" w:fill="D9F2D0" w:themeFill="accent6" w:themeFillTint="33"/>
          </w:tcPr>
          <w:p w14:paraId="74AEA58A" w14:textId="78F7EBC2" w:rsidR="00382385" w:rsidRPr="00DB7D16" w:rsidRDefault="00037254" w:rsidP="004B351F">
            <w:pPr>
              <w:jc w:val="center"/>
              <w:rPr>
                <w:sz w:val="16"/>
                <w:szCs w:val="16"/>
              </w:rPr>
            </w:pPr>
            <w:r w:rsidRPr="00037254">
              <w:rPr>
                <w:sz w:val="16"/>
                <w:szCs w:val="16"/>
              </w:rPr>
              <w:t>Alan Turing** Developed the idea of the modern computer and AI.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677EC2F1" w14:textId="39B876B4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My family</w:t>
            </w:r>
          </w:p>
          <w:p w14:paraId="1B6A5E09" w14:textId="6F02D035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Although the emphasis is on LGBT families, this can be used to explore other family structures such as adoption or fostering.</w:t>
            </w:r>
          </w:p>
        </w:tc>
        <w:tc>
          <w:tcPr>
            <w:tcW w:w="1369" w:type="dxa"/>
            <w:shd w:val="clear" w:color="auto" w:fill="D9F2D0" w:themeFill="accent6" w:themeFillTint="33"/>
          </w:tcPr>
          <w:p w14:paraId="5AA63CEF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F2D0" w:themeFill="accent6" w:themeFillTint="33"/>
          </w:tcPr>
          <w:p w14:paraId="367C8979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F2D0" w:themeFill="accent6" w:themeFillTint="33"/>
          </w:tcPr>
          <w:p w14:paraId="5AF3D4C9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D9F2D0" w:themeFill="accent6" w:themeFillTint="33"/>
          </w:tcPr>
          <w:p w14:paraId="160B3CAD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D9F2D0" w:themeFill="accent6" w:themeFillTint="33"/>
          </w:tcPr>
          <w:p w14:paraId="6EB9CD82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F2D0" w:themeFill="accent6" w:themeFillTint="33"/>
          </w:tcPr>
          <w:p w14:paraId="62B2A8F8" w14:textId="6AA2483A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</w:tr>
      <w:tr w:rsidR="00891520" w:rsidRPr="00DB7D16" w14:paraId="656F3B40" w14:textId="77777777" w:rsidTr="00891520">
        <w:tc>
          <w:tcPr>
            <w:tcW w:w="993" w:type="dxa"/>
            <w:shd w:val="clear" w:color="auto" w:fill="F2CEED" w:themeFill="accent5" w:themeFillTint="33"/>
          </w:tcPr>
          <w:p w14:paraId="0431F849" w14:textId="24AE82B1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Role of women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19914C5E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2nd July 1928—women and men were granted equal voting rights in the UK.</w:t>
            </w:r>
          </w:p>
          <w:p w14:paraId="1AF2BC68" w14:textId="50A22ED9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Did you know that in the past it wasn’t fair and equal? How does that make you feel?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2540FFD1" w14:textId="6B118A4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2CEED" w:themeFill="accent5" w:themeFillTint="33"/>
          </w:tcPr>
          <w:p w14:paraId="33129725" w14:textId="77777777" w:rsidR="00382385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Mary Seacole</w:t>
            </w:r>
          </w:p>
          <w:p w14:paraId="49A2BF2E" w14:textId="0A55843B" w:rsidR="00401C85" w:rsidRPr="00DB7D16" w:rsidRDefault="00401C85" w:rsidP="004B351F">
            <w:pPr>
              <w:jc w:val="center"/>
              <w:rPr>
                <w:sz w:val="16"/>
                <w:szCs w:val="16"/>
              </w:rPr>
            </w:pPr>
            <w:hyperlink r:id="rId4" w:history="1">
              <w:r w:rsidRPr="00401C85">
                <w:rPr>
                  <w:rStyle w:val="Hyperlink"/>
                  <w:sz w:val="16"/>
                  <w:szCs w:val="16"/>
                </w:rPr>
                <w:t>Nursing diversity | Royal College of Nursing (rcn.org.uk)</w:t>
              </w:r>
            </w:hyperlink>
          </w:p>
        </w:tc>
        <w:tc>
          <w:tcPr>
            <w:tcW w:w="1342" w:type="dxa"/>
            <w:shd w:val="clear" w:color="auto" w:fill="F2CEED" w:themeFill="accent5" w:themeFillTint="33"/>
          </w:tcPr>
          <w:p w14:paraId="038D21C7" w14:textId="1E137048" w:rsidR="00382385" w:rsidRPr="00DB7D16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Rosa Parks</w:t>
            </w:r>
          </w:p>
        </w:tc>
        <w:tc>
          <w:tcPr>
            <w:tcW w:w="1342" w:type="dxa"/>
            <w:shd w:val="clear" w:color="auto" w:fill="F2CEED" w:themeFill="accent5" w:themeFillTint="33"/>
          </w:tcPr>
          <w:p w14:paraId="2499D2AD" w14:textId="77777777" w:rsidR="00382385" w:rsidRPr="00DB7D16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Ancient Greece</w:t>
            </w:r>
          </w:p>
          <w:p w14:paraId="74D4C21C" w14:textId="77777777" w:rsidR="00452476" w:rsidRPr="00DB7D16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This varied greatly from state to state. In Athens, women were forbidden to own property but there are instances in other city-states where women owned property.</w:t>
            </w:r>
          </w:p>
          <w:p w14:paraId="7760A99F" w14:textId="15AD7920" w:rsidR="00452476" w:rsidRPr="00DB7D16" w:rsidRDefault="0045247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Women unable to vote.</w:t>
            </w:r>
          </w:p>
        </w:tc>
        <w:tc>
          <w:tcPr>
            <w:tcW w:w="1342" w:type="dxa"/>
            <w:shd w:val="clear" w:color="auto" w:fill="F2CEED" w:themeFill="accent5" w:themeFillTint="33"/>
          </w:tcPr>
          <w:p w14:paraId="153878B6" w14:textId="7892FF59" w:rsidR="00452476" w:rsidRPr="00DB7D16" w:rsidRDefault="00DB7D1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Roman women had a limited public role; they couldn’t vote or hold political office. When married, they were their husband’s property. Some were influential but this was much less common. • This contrasted with the powerful queens of Iron Age Britain such as Boudicca or Cartimandua.</w:t>
            </w:r>
          </w:p>
        </w:tc>
        <w:tc>
          <w:tcPr>
            <w:tcW w:w="1267" w:type="dxa"/>
            <w:shd w:val="clear" w:color="auto" w:fill="F2CEED" w:themeFill="accent5" w:themeFillTint="33"/>
          </w:tcPr>
          <w:p w14:paraId="5333E213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CEED" w:themeFill="accent5" w:themeFillTint="33"/>
          </w:tcPr>
          <w:p w14:paraId="42176640" w14:textId="77777777" w:rsidR="00401C85" w:rsidRDefault="00401C85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suffragettes</w:t>
            </w:r>
            <w:r>
              <w:rPr>
                <w:sz w:val="16"/>
                <w:szCs w:val="16"/>
              </w:rPr>
              <w:t xml:space="preserve"> </w:t>
            </w:r>
          </w:p>
          <w:p w14:paraId="09855FBB" w14:textId="77777777" w:rsidR="00401C85" w:rsidRDefault="00401C85" w:rsidP="004B351F">
            <w:pPr>
              <w:jc w:val="center"/>
              <w:rPr>
                <w:sz w:val="16"/>
                <w:szCs w:val="16"/>
              </w:rPr>
            </w:pPr>
          </w:p>
          <w:p w14:paraId="71D1740E" w14:textId="16BA70C8" w:rsidR="00401C85" w:rsidRDefault="00401C85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changing role of women in WW2</w:t>
            </w:r>
          </w:p>
          <w:p w14:paraId="58558F81" w14:textId="796F1508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</w:tr>
      <w:tr w:rsidR="00891520" w:rsidRPr="00DB7D16" w14:paraId="4B1A4B86" w14:textId="77777777" w:rsidTr="00891520">
        <w:tc>
          <w:tcPr>
            <w:tcW w:w="993" w:type="dxa"/>
            <w:shd w:val="clear" w:color="auto" w:fill="FAE2D5" w:themeFill="accent2" w:themeFillTint="33"/>
          </w:tcPr>
          <w:p w14:paraId="2DE16534" w14:textId="24585406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 xml:space="preserve">social and cultural </w:t>
            </w:r>
            <w:r w:rsidR="00DB7D16" w:rsidRPr="00DB7D16">
              <w:rPr>
                <w:sz w:val="16"/>
                <w:szCs w:val="16"/>
              </w:rPr>
              <w:t>Change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4BAE32F4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7740FBF6" w14:textId="6D32A9EF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AE2D5" w:themeFill="accent2" w:themeFillTint="33"/>
          </w:tcPr>
          <w:p w14:paraId="130EF3EC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AE2D5" w:themeFill="accent2" w:themeFillTint="33"/>
          </w:tcPr>
          <w:p w14:paraId="3FB05969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AE2D5" w:themeFill="accent2" w:themeFillTint="33"/>
          </w:tcPr>
          <w:p w14:paraId="1A7A90EA" w14:textId="25DD2144" w:rsidR="00382385" w:rsidRPr="00DB7D16" w:rsidRDefault="00DB7D1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Societies in prehistory grew in size, especially after more permanent settlements grew in size and scale. The hunter</w:t>
            </w:r>
            <w:r w:rsidRPr="00DB7D16">
              <w:rPr>
                <w:sz w:val="16"/>
                <w:szCs w:val="16"/>
              </w:rPr>
              <w:t xml:space="preserve">gatherer lifestyle meant people interacted with others in their own </w:t>
            </w:r>
            <w:proofErr w:type="spellStart"/>
            <w:r w:rsidRPr="00DB7D16">
              <w:rPr>
                <w:sz w:val="16"/>
                <w:szCs w:val="16"/>
              </w:rPr>
              <w:t>group.</w:t>
            </w:r>
            <w:r>
              <w:rPr>
                <w:sz w:val="16"/>
                <w:szCs w:val="16"/>
              </w:rPr>
              <w:t>A</w:t>
            </w:r>
            <w:r w:rsidRPr="00DB7D16">
              <w:rPr>
                <w:sz w:val="16"/>
                <w:szCs w:val="16"/>
              </w:rPr>
              <w:t>an</w:t>
            </w:r>
            <w:proofErr w:type="spellEnd"/>
            <w:r w:rsidRPr="00DB7D16">
              <w:rPr>
                <w:sz w:val="16"/>
                <w:szCs w:val="16"/>
              </w:rPr>
              <w:t xml:space="preserve"> increase in societal roles through the period. </w:t>
            </w:r>
          </w:p>
        </w:tc>
        <w:tc>
          <w:tcPr>
            <w:tcW w:w="1342" w:type="dxa"/>
            <w:shd w:val="clear" w:color="auto" w:fill="FAE2D5" w:themeFill="accent2" w:themeFillTint="33"/>
          </w:tcPr>
          <w:p w14:paraId="4A761B6A" w14:textId="7AAF3316" w:rsidR="00382385" w:rsidRPr="00DB7D16" w:rsidRDefault="00891520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Comparison of Romans, Anglo Saxon and Viking societies and migration of people.</w:t>
            </w:r>
          </w:p>
        </w:tc>
        <w:tc>
          <w:tcPr>
            <w:tcW w:w="1267" w:type="dxa"/>
            <w:shd w:val="clear" w:color="auto" w:fill="FAE2D5" w:themeFill="accent2" w:themeFillTint="33"/>
          </w:tcPr>
          <w:p w14:paraId="6B4131C5" w14:textId="77777777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Local area</w:t>
            </w:r>
          </w:p>
          <w:p w14:paraId="05DC2FCF" w14:textId="672C8223" w:rsidR="00382385" w:rsidRPr="00DB7D16" w:rsidRDefault="00382385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 xml:space="preserve">Industrial Revolution </w:t>
            </w:r>
            <w:r w:rsidRPr="00DB7D16">
              <w:rPr>
                <w:sz w:val="16"/>
                <w:szCs w:val="16"/>
              </w:rPr>
              <w:t>emphasize social and cultural history as specified in the National Curriculum Aims in a way the children can relate to if it makes use of the community around them.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64A7A70A" w14:textId="77777777" w:rsidR="00382385" w:rsidRDefault="009B3373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Local area </w:t>
            </w:r>
          </w:p>
          <w:p w14:paraId="6C7989C3" w14:textId="77777777" w:rsidR="009B3373" w:rsidRDefault="009B3373" w:rsidP="004B3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WW2</w:t>
            </w:r>
          </w:p>
          <w:p w14:paraId="6B62DF38" w14:textId="0DA6F0B5" w:rsidR="009B3373" w:rsidRPr="00DB7D16" w:rsidRDefault="009B3373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emphasize social and cultural history as specified in the National Curriculum Aims in a way the children can relate to if it makes use of the community around them.</w:t>
            </w:r>
          </w:p>
        </w:tc>
      </w:tr>
      <w:tr w:rsidR="00DB7D16" w:rsidRPr="00DB7D16" w14:paraId="75E38FEF" w14:textId="77777777" w:rsidTr="00D37357">
        <w:tc>
          <w:tcPr>
            <w:tcW w:w="993" w:type="dxa"/>
            <w:shd w:val="clear" w:color="auto" w:fill="FFFF99"/>
          </w:tcPr>
          <w:p w14:paraId="2A923215" w14:textId="41862CA5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lastRenderedPageBreak/>
              <w:t>Disabilities</w:t>
            </w:r>
          </w:p>
        </w:tc>
        <w:tc>
          <w:tcPr>
            <w:tcW w:w="1275" w:type="dxa"/>
            <w:shd w:val="clear" w:color="auto" w:fill="FFFF99"/>
          </w:tcPr>
          <w:p w14:paraId="45982A98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99"/>
          </w:tcPr>
          <w:p w14:paraId="79A6D053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99"/>
          </w:tcPr>
          <w:p w14:paraId="0F92E875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FFF99"/>
          </w:tcPr>
          <w:p w14:paraId="11EC7DFD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FFF99"/>
          </w:tcPr>
          <w:p w14:paraId="38AA1034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FFF99"/>
          </w:tcPr>
          <w:p w14:paraId="64CC6190" w14:textId="7DE33BF6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Anglo Saxons</w:t>
            </w:r>
          </w:p>
          <w:p w14:paraId="6F3C64B1" w14:textId="11EAE01D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  <w:r w:rsidRPr="00DB7D16">
              <w:rPr>
                <w:sz w:val="16"/>
                <w:szCs w:val="16"/>
              </w:rPr>
              <w:t>Alfred the Great– potentially had Crohn’s disease.</w:t>
            </w:r>
          </w:p>
        </w:tc>
        <w:tc>
          <w:tcPr>
            <w:tcW w:w="1267" w:type="dxa"/>
            <w:shd w:val="clear" w:color="auto" w:fill="FFFF99"/>
          </w:tcPr>
          <w:p w14:paraId="7AEFD747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</w:tcPr>
          <w:p w14:paraId="5E22BE18" w14:textId="77777777" w:rsidR="00DB7D16" w:rsidRPr="00DB7D16" w:rsidRDefault="00DB7D16" w:rsidP="004B351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D21EAB" w14:textId="1B880B2C" w:rsidR="004B351F" w:rsidRDefault="004B351F" w:rsidP="004B351F">
      <w:pPr>
        <w:jc w:val="center"/>
      </w:pPr>
    </w:p>
    <w:p w14:paraId="674A996A" w14:textId="77777777" w:rsidR="00F96F15" w:rsidRDefault="00F96F15" w:rsidP="004B351F">
      <w:pPr>
        <w:jc w:val="center"/>
      </w:pPr>
    </w:p>
    <w:p w14:paraId="116BB649" w14:textId="32263FEC" w:rsidR="00F96F15" w:rsidRDefault="00F96F15" w:rsidP="004B351F">
      <w:pPr>
        <w:jc w:val="center"/>
      </w:pPr>
    </w:p>
    <w:sectPr w:rsidR="00F96F15" w:rsidSect="004B3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F"/>
    <w:rsid w:val="00037254"/>
    <w:rsid w:val="00090051"/>
    <w:rsid w:val="0013428B"/>
    <w:rsid w:val="002D6C8C"/>
    <w:rsid w:val="003119A9"/>
    <w:rsid w:val="00382385"/>
    <w:rsid w:val="00401C85"/>
    <w:rsid w:val="00452476"/>
    <w:rsid w:val="004B351F"/>
    <w:rsid w:val="00507CDB"/>
    <w:rsid w:val="0054223E"/>
    <w:rsid w:val="005842FE"/>
    <w:rsid w:val="00822656"/>
    <w:rsid w:val="00891520"/>
    <w:rsid w:val="00932F8C"/>
    <w:rsid w:val="009B3373"/>
    <w:rsid w:val="00B864D5"/>
    <w:rsid w:val="00D37357"/>
    <w:rsid w:val="00DB7D16"/>
    <w:rsid w:val="00DC562F"/>
    <w:rsid w:val="00E42E9D"/>
    <w:rsid w:val="00F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310A"/>
  <w15:chartTrackingRefBased/>
  <w15:docId w15:val="{FEB0853B-9251-435F-9A5F-70AD27F6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n.org.uk/library-exhibitions/diversity-exhib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Taylor</dc:creator>
  <cp:keywords/>
  <dc:description/>
  <cp:lastModifiedBy>carl Taylor</cp:lastModifiedBy>
  <cp:revision>2</cp:revision>
  <dcterms:created xsi:type="dcterms:W3CDTF">2024-09-29T19:10:00Z</dcterms:created>
  <dcterms:modified xsi:type="dcterms:W3CDTF">2024-09-29T19:10:00Z</dcterms:modified>
</cp:coreProperties>
</file>