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58" w:rsidRDefault="00C11EB4">
      <w:pPr>
        <w:pStyle w:val="Heading1"/>
      </w:pPr>
      <w:r>
        <w:t xml:space="preserve">Pupil premium strategy statement – </w:t>
      </w:r>
      <w:r w:rsidR="009259D5">
        <w:t>St Benedict’s</w:t>
      </w:r>
      <w:r>
        <w:t xml:space="preserve"> Primary School</w:t>
      </w:r>
    </w:p>
    <w:p w:rsidR="004B1F58" w:rsidRDefault="004B1F58" w:rsidP="004B1F58">
      <w:pPr>
        <w:spacing w:after="0"/>
      </w:pPr>
    </w:p>
    <w:p w:rsidR="00E66558" w:rsidRPr="00003C1B" w:rsidRDefault="009D71E8" w:rsidP="00C62989">
      <w:pPr>
        <w:rPr>
          <w:b/>
          <w:sz w:val="20"/>
          <w:szCs w:val="20"/>
        </w:rPr>
      </w:pPr>
      <w:r w:rsidRPr="00003C1B">
        <w:rPr>
          <w:sz w:val="20"/>
          <w:szCs w:val="20"/>
        </w:rPr>
        <w:t xml:space="preserve">This statement details our school’s use of pupil premium funding to help improve the attainment of our disadvantaged pupils. </w:t>
      </w:r>
    </w:p>
    <w:p w:rsidR="00E66558" w:rsidRPr="00003C1B" w:rsidRDefault="009D71E8" w:rsidP="00C62989">
      <w:pPr>
        <w:rPr>
          <w:b/>
          <w:sz w:val="20"/>
          <w:szCs w:val="20"/>
        </w:rPr>
      </w:pPr>
      <w:r w:rsidRPr="00003C1B">
        <w:rPr>
          <w:sz w:val="20"/>
          <w:szCs w:val="20"/>
        </w:rPr>
        <w:t xml:space="preserve">It outlines our pupil premium strategy, how we intend to spend the funding in this academic year and the </w:t>
      </w:r>
      <w:r w:rsidR="00830D57" w:rsidRPr="00003C1B">
        <w:rPr>
          <w:sz w:val="20"/>
          <w:szCs w:val="20"/>
        </w:rPr>
        <w:t xml:space="preserve">outcomes </w:t>
      </w:r>
      <w:r w:rsidR="00A44FBB" w:rsidRPr="00003C1B">
        <w:rPr>
          <w:sz w:val="20"/>
          <w:szCs w:val="20"/>
        </w:rPr>
        <w:t>for disadvantaged pupils</w:t>
      </w:r>
      <w:r w:rsidRPr="00003C1B">
        <w:rPr>
          <w:sz w:val="20"/>
          <w:szCs w:val="20"/>
        </w:rPr>
        <w:t xml:space="preserve"> last </w:t>
      </w:r>
      <w:r w:rsidR="00A44FBB" w:rsidRPr="00003C1B">
        <w:rPr>
          <w:sz w:val="20"/>
          <w:szCs w:val="20"/>
        </w:rPr>
        <w:t xml:space="preserve">academic </w:t>
      </w:r>
      <w:r w:rsidRPr="00003C1B">
        <w:rPr>
          <w:sz w:val="20"/>
          <w:szCs w:val="20"/>
        </w:rPr>
        <w:t>year</w:t>
      </w:r>
      <w:r w:rsidR="00A44FBB" w:rsidRPr="00003C1B">
        <w:rPr>
          <w:sz w:val="20"/>
          <w:szCs w:val="20"/>
        </w:rPr>
        <w:t>.</w:t>
      </w:r>
    </w:p>
    <w:p w:rsidR="00E66558" w:rsidRDefault="009D71E8">
      <w:pPr>
        <w:pStyle w:val="Heading2"/>
      </w:pPr>
      <w:r>
        <w:t>School overview</w:t>
      </w:r>
    </w:p>
    <w:tbl>
      <w:tblPr>
        <w:tblW w:w="5000" w:type="pct"/>
        <w:tblCellMar>
          <w:left w:w="10" w:type="dxa"/>
          <w:right w:w="10" w:type="dxa"/>
        </w:tblCellMar>
        <w:tblLook w:val="04A0" w:firstRow="1" w:lastRow="0" w:firstColumn="1" w:lastColumn="0" w:noHBand="0" w:noVBand="1"/>
      </w:tblPr>
      <w:tblGrid>
        <w:gridCol w:w="7183"/>
        <w:gridCol w:w="3273"/>
      </w:tblGrid>
      <w:tr w:rsidR="00E66558"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rsidR="00E66558" w:rsidRDefault="009D71E8" w:rsidP="00C31636">
            <w:pPr>
              <w:pStyle w:val="TableHeader"/>
              <w:ind w:left="0" w:right="0"/>
              <w:jc w:val="left"/>
            </w:pPr>
            <w:r>
              <w:t>Data</w:t>
            </w:r>
          </w:p>
        </w:tc>
      </w:tr>
      <w:tr w:rsidR="002940F3"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9259D5" w:rsidP="00C31636">
            <w:pPr>
              <w:pStyle w:val="TableRow"/>
              <w:ind w:left="0" w:right="0"/>
            </w:pPr>
            <w:r>
              <w:t>203</w:t>
            </w:r>
          </w:p>
        </w:tc>
      </w:tr>
      <w:tr w:rsidR="002940F3"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9F34FB" w:rsidP="00C31636">
            <w:pPr>
              <w:pStyle w:val="TableRow"/>
              <w:ind w:left="0" w:right="0"/>
            </w:pPr>
            <w:r>
              <w:t>20.8%</w:t>
            </w:r>
          </w:p>
        </w:tc>
      </w:tr>
      <w:tr w:rsidR="002940F3"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9F34FB" w:rsidP="00C31636">
            <w:pPr>
              <w:pStyle w:val="TableRow"/>
              <w:ind w:left="0" w:right="0"/>
            </w:pPr>
            <w:r>
              <w:t>2025/26 – 2027/28</w:t>
            </w:r>
          </w:p>
        </w:tc>
      </w:tr>
      <w:tr w:rsidR="002940F3"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9F34FB" w:rsidP="00C31636">
            <w:pPr>
              <w:pStyle w:val="TableRow"/>
              <w:ind w:left="0" w:right="0"/>
            </w:pPr>
            <w:r>
              <w:t>September 2025</w:t>
            </w:r>
          </w:p>
        </w:tc>
      </w:tr>
      <w:tr w:rsidR="002940F3"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9F34FB" w:rsidP="00C31636">
            <w:pPr>
              <w:pStyle w:val="TableRow"/>
              <w:ind w:left="0" w:right="0"/>
            </w:pPr>
            <w:r>
              <w:t>July 2026</w:t>
            </w:r>
          </w:p>
        </w:tc>
      </w:tr>
      <w:tr w:rsidR="002940F3"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9F34FB" w:rsidP="009F34FB">
            <w:pPr>
              <w:pStyle w:val="TableRow"/>
              <w:ind w:left="0" w:right="0"/>
            </w:pPr>
            <w:r>
              <w:t>Hannah McGuire</w:t>
            </w:r>
          </w:p>
        </w:tc>
      </w:tr>
      <w:tr w:rsidR="002940F3"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9F34FB" w:rsidP="00C31636">
            <w:pPr>
              <w:pStyle w:val="TableRow"/>
              <w:ind w:left="0" w:right="0"/>
            </w:pPr>
            <w:r>
              <w:t>Hannah McGuire</w:t>
            </w:r>
          </w:p>
        </w:tc>
      </w:tr>
      <w:tr w:rsidR="002940F3"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2940F3" w:rsidRDefault="009F34FB" w:rsidP="00C31636">
            <w:pPr>
              <w:pStyle w:val="TableRow"/>
              <w:ind w:left="0" w:right="0"/>
            </w:pPr>
            <w:r>
              <w:t>Helen Butler</w:t>
            </w:r>
          </w:p>
        </w:tc>
      </w:tr>
    </w:tbl>
    <w:p w:rsidR="00101672" w:rsidRDefault="00101672"/>
    <w:p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rsidR="00E66558" w:rsidRDefault="009D71E8" w:rsidP="00C31636">
            <w:pPr>
              <w:pStyle w:val="TableRow"/>
              <w:ind w:left="0" w:right="0"/>
            </w:pPr>
            <w:r>
              <w:rPr>
                <w:b/>
              </w:rPr>
              <w:t>Amount</w:t>
            </w:r>
          </w:p>
        </w:tc>
      </w:tr>
      <w:tr w:rsidR="00E66558"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Default="009D71E8" w:rsidP="004E21FE">
            <w:pPr>
              <w:pStyle w:val="TableRow"/>
              <w:ind w:left="0" w:right="0"/>
            </w:pPr>
            <w:r>
              <w:t>£</w:t>
            </w:r>
            <w:r w:rsidR="004E21FE">
              <w:t xml:space="preserve"> 74235</w:t>
            </w:r>
          </w:p>
        </w:tc>
      </w:tr>
      <w:tr w:rsidR="00E66558"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Default="009D71E8" w:rsidP="00C31636">
            <w:pPr>
              <w:pStyle w:val="TableRow"/>
              <w:ind w:left="0" w:right="0"/>
            </w:pPr>
            <w:r>
              <w:t>£</w:t>
            </w:r>
            <w:r w:rsidR="00D972B1">
              <w:t>0</w:t>
            </w:r>
          </w:p>
        </w:tc>
      </w:tr>
      <w:tr w:rsidR="00E66558"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Default="009D71E8" w:rsidP="00C31636">
            <w:pPr>
              <w:pStyle w:val="TableRow"/>
              <w:spacing w:after="120"/>
              <w:ind w:left="0" w:right="0"/>
              <w:rPr>
                <w:b/>
              </w:rPr>
            </w:pPr>
            <w:r>
              <w:rPr>
                <w:b/>
              </w:rPr>
              <w:t>Total budget for this academic year</w:t>
            </w:r>
          </w:p>
          <w:p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Default="009D71E8" w:rsidP="00C31636">
            <w:pPr>
              <w:pStyle w:val="TableRow"/>
              <w:ind w:left="0" w:right="0"/>
            </w:pPr>
            <w:r>
              <w:t>£</w:t>
            </w:r>
            <w:r w:rsidR="004E21FE">
              <w:t>74235</w:t>
            </w:r>
          </w:p>
        </w:tc>
      </w:tr>
    </w:tbl>
    <w:p w:rsidR="00E66558" w:rsidRPr="009259D5" w:rsidRDefault="009D71E8">
      <w:pPr>
        <w:pStyle w:val="Heading1"/>
        <w:rPr>
          <w:sz w:val="24"/>
        </w:rPr>
      </w:pPr>
      <w:r w:rsidRPr="009259D5">
        <w:rPr>
          <w:sz w:val="24"/>
        </w:rPr>
        <w:lastRenderedPageBreak/>
        <w:t>Part A: Pupil premium strategy plan</w:t>
      </w:r>
    </w:p>
    <w:p w:rsidR="00E66558" w:rsidRPr="009259D5" w:rsidRDefault="009D71E8">
      <w:pPr>
        <w:pStyle w:val="Heading2"/>
        <w:rPr>
          <w:sz w:val="24"/>
          <w:szCs w:val="24"/>
        </w:rPr>
      </w:pPr>
      <w:bookmarkStart w:id="0" w:name="_Toc357771640"/>
      <w:bookmarkStart w:id="1" w:name="_Toc346793418"/>
      <w:r w:rsidRPr="009259D5">
        <w:rPr>
          <w:sz w:val="24"/>
          <w:szCs w:val="24"/>
        </w:rPr>
        <w:t>Statement of intent</w:t>
      </w:r>
    </w:p>
    <w:tbl>
      <w:tblPr>
        <w:tblW w:w="10485" w:type="dxa"/>
        <w:tblCellMar>
          <w:left w:w="10" w:type="dxa"/>
          <w:right w:w="10" w:type="dxa"/>
        </w:tblCellMar>
        <w:tblLook w:val="04A0" w:firstRow="1" w:lastRow="0" w:firstColumn="1" w:lastColumn="0" w:noHBand="0" w:noVBand="1"/>
      </w:tblPr>
      <w:tblGrid>
        <w:gridCol w:w="10485"/>
      </w:tblGrid>
      <w:tr w:rsidR="00E66558" w:rsidTr="009259D5">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4FB" w:rsidRPr="009259D5" w:rsidRDefault="009F34FB" w:rsidP="009F34FB">
            <w:pPr>
              <w:rPr>
                <w:sz w:val="20"/>
                <w:szCs w:val="20"/>
              </w:rPr>
            </w:pPr>
            <w:r w:rsidRPr="009259D5">
              <w:rPr>
                <w:sz w:val="20"/>
                <w:szCs w:val="20"/>
              </w:rPr>
              <w:t>Our aim is to diminish the difference in attainment and progress between disadvantaged pupils and their peers, with a sharp focus on:</w:t>
            </w:r>
          </w:p>
          <w:p w:rsidR="009F34FB" w:rsidRPr="009259D5" w:rsidRDefault="009F34FB" w:rsidP="009F34FB">
            <w:pPr>
              <w:rPr>
                <w:sz w:val="20"/>
                <w:szCs w:val="20"/>
              </w:rPr>
            </w:pPr>
            <w:r w:rsidRPr="009259D5">
              <w:rPr>
                <w:sz w:val="20"/>
                <w:szCs w:val="20"/>
              </w:rPr>
              <w:t>- Improving reading outcomes, which remain</w:t>
            </w:r>
            <w:r w:rsidR="00003C1B">
              <w:rPr>
                <w:sz w:val="20"/>
                <w:szCs w:val="20"/>
              </w:rPr>
              <w:t>s</w:t>
            </w:r>
            <w:r w:rsidRPr="009259D5">
              <w:rPr>
                <w:sz w:val="20"/>
                <w:szCs w:val="20"/>
              </w:rPr>
              <w:t xml:space="preserve"> the weakest subject and where the gap is widening.</w:t>
            </w:r>
          </w:p>
          <w:p w:rsidR="009F34FB" w:rsidRPr="009259D5" w:rsidRDefault="009F34FB" w:rsidP="009F34FB">
            <w:pPr>
              <w:rPr>
                <w:sz w:val="20"/>
                <w:szCs w:val="20"/>
              </w:rPr>
            </w:pPr>
            <w:r w:rsidRPr="009259D5">
              <w:rPr>
                <w:sz w:val="20"/>
                <w:szCs w:val="20"/>
              </w:rPr>
              <w:t>- Addressing attendance and persistent absence, which are significantly impacting outcomes for PP pupils.</w:t>
            </w:r>
          </w:p>
          <w:p w:rsidR="009F34FB" w:rsidRPr="009259D5" w:rsidRDefault="009F34FB" w:rsidP="009F34FB">
            <w:pPr>
              <w:rPr>
                <w:sz w:val="20"/>
                <w:szCs w:val="20"/>
              </w:rPr>
            </w:pPr>
            <w:r w:rsidRPr="009259D5">
              <w:rPr>
                <w:sz w:val="20"/>
                <w:szCs w:val="20"/>
              </w:rPr>
              <w:t>- Strengthening provision for PP pupils with SEND, recognising the layered and complex needs of this group.</w:t>
            </w:r>
          </w:p>
          <w:p w:rsidR="009F34FB" w:rsidRDefault="009F34FB" w:rsidP="009F34FB">
            <w:pPr>
              <w:rPr>
                <w:sz w:val="20"/>
                <w:szCs w:val="20"/>
              </w:rPr>
            </w:pPr>
            <w:r w:rsidRPr="009259D5">
              <w:rPr>
                <w:sz w:val="20"/>
                <w:szCs w:val="20"/>
              </w:rPr>
              <w:t>- Ensuring greater stretch and challenge so more PP pupils can achieve Greater Depth (GDS).</w:t>
            </w:r>
          </w:p>
          <w:p w:rsidR="00003C1B" w:rsidRDefault="00003C1B" w:rsidP="009F34FB">
            <w:pPr>
              <w:rPr>
                <w:sz w:val="20"/>
                <w:szCs w:val="20"/>
              </w:rPr>
            </w:pPr>
            <w:r>
              <w:rPr>
                <w:sz w:val="20"/>
                <w:szCs w:val="20"/>
              </w:rPr>
              <w:t>- Improving parental engagement</w:t>
            </w:r>
          </w:p>
          <w:p w:rsidR="00003C1B" w:rsidRPr="009259D5" w:rsidRDefault="00003C1B" w:rsidP="009F34FB">
            <w:pPr>
              <w:rPr>
                <w:sz w:val="20"/>
                <w:szCs w:val="20"/>
              </w:rPr>
            </w:pPr>
            <w:r>
              <w:rPr>
                <w:sz w:val="20"/>
                <w:szCs w:val="20"/>
              </w:rPr>
              <w:t>- Reducing socio-economic barriers</w:t>
            </w:r>
          </w:p>
          <w:p w:rsidR="00181865" w:rsidRDefault="00181865" w:rsidP="009F34FB">
            <w:pPr>
              <w:rPr>
                <w:sz w:val="20"/>
                <w:szCs w:val="20"/>
              </w:rPr>
            </w:pPr>
            <w:r>
              <w:rPr>
                <w:sz w:val="20"/>
                <w:szCs w:val="20"/>
              </w:rPr>
              <w:t xml:space="preserve">Whilst academic support will focus in the main on diminishing the difference in English and Maths, </w:t>
            </w:r>
            <w:r w:rsidR="00003C1B">
              <w:rPr>
                <w:sz w:val="20"/>
                <w:szCs w:val="20"/>
              </w:rPr>
              <w:t xml:space="preserve">pupils’ access to the </w:t>
            </w:r>
            <w:r>
              <w:rPr>
                <w:sz w:val="20"/>
                <w:szCs w:val="20"/>
              </w:rPr>
              <w:t xml:space="preserve">broader curriculum will be positively impacted if pupils can access English better. All pupils receive a broad and balanced curriculum, which is culturally rich and PP pupils will also benefit from this. </w:t>
            </w:r>
          </w:p>
          <w:p w:rsidR="00E47F7A" w:rsidRPr="009259D5" w:rsidRDefault="009F34FB" w:rsidP="009F34FB">
            <w:pPr>
              <w:rPr>
                <w:sz w:val="20"/>
                <w:szCs w:val="20"/>
              </w:rPr>
            </w:pPr>
            <w:r w:rsidRPr="009259D5">
              <w:rPr>
                <w:sz w:val="20"/>
                <w:szCs w:val="20"/>
              </w:rPr>
              <w:t>We also recognise that PP eligibility underrepresents the true level of disadvantage in our community. We will continue to encourage families to apply for FSM to ensure pupils receive their entitlement and the school secures necessary funding.</w:t>
            </w:r>
          </w:p>
          <w:p w:rsidR="00E66558" w:rsidRPr="003228FC" w:rsidRDefault="00003C1B" w:rsidP="00003C1B">
            <w:r>
              <w:rPr>
                <w:sz w:val="20"/>
                <w:szCs w:val="20"/>
              </w:rPr>
              <w:t>I</w:t>
            </w:r>
            <w:r w:rsidR="00FE09C9" w:rsidRPr="009259D5">
              <w:rPr>
                <w:sz w:val="20"/>
                <w:szCs w:val="20"/>
              </w:rPr>
              <w:t>n our setting, b</w:t>
            </w:r>
            <w:r w:rsidR="00E47F7A" w:rsidRPr="009259D5">
              <w:rPr>
                <w:sz w:val="20"/>
                <w:szCs w:val="20"/>
              </w:rPr>
              <w:t>ehaviour is good on the wh</w:t>
            </w:r>
            <w:r w:rsidR="00FE09C9" w:rsidRPr="009259D5">
              <w:rPr>
                <w:sz w:val="20"/>
                <w:szCs w:val="20"/>
              </w:rPr>
              <w:t>o</w:t>
            </w:r>
            <w:r w:rsidR="00E47F7A" w:rsidRPr="009259D5">
              <w:rPr>
                <w:sz w:val="20"/>
                <w:szCs w:val="20"/>
              </w:rPr>
              <w:t>le and P</w:t>
            </w:r>
            <w:r w:rsidR="00FE09C9" w:rsidRPr="009259D5">
              <w:rPr>
                <w:sz w:val="20"/>
                <w:szCs w:val="20"/>
              </w:rPr>
              <w:t>P</w:t>
            </w:r>
            <w:r w:rsidR="00E47F7A" w:rsidRPr="009259D5">
              <w:rPr>
                <w:sz w:val="20"/>
                <w:szCs w:val="20"/>
              </w:rPr>
              <w:t xml:space="preserve"> pupils do not present a significantly different picture to non- PP pupils; </w:t>
            </w:r>
            <w:r w:rsidR="00FE09C9" w:rsidRPr="009259D5">
              <w:rPr>
                <w:sz w:val="20"/>
                <w:szCs w:val="20"/>
              </w:rPr>
              <w:t>12.2%</w:t>
            </w:r>
            <w:r w:rsidR="00E47F7A" w:rsidRPr="009259D5">
              <w:rPr>
                <w:sz w:val="20"/>
                <w:szCs w:val="20"/>
              </w:rPr>
              <w:t xml:space="preserve"> </w:t>
            </w:r>
            <w:r w:rsidR="00FE09C9" w:rsidRPr="009259D5">
              <w:rPr>
                <w:sz w:val="20"/>
                <w:szCs w:val="20"/>
              </w:rPr>
              <w:t xml:space="preserve">of PP pupils </w:t>
            </w:r>
            <w:r w:rsidR="003228FC" w:rsidRPr="009259D5">
              <w:rPr>
                <w:sz w:val="20"/>
                <w:szCs w:val="20"/>
              </w:rPr>
              <w:t xml:space="preserve">received a </w:t>
            </w:r>
            <w:r>
              <w:rPr>
                <w:sz w:val="20"/>
                <w:szCs w:val="20"/>
              </w:rPr>
              <w:t>‘</w:t>
            </w:r>
            <w:r w:rsidR="003228FC" w:rsidRPr="009259D5">
              <w:rPr>
                <w:sz w:val="20"/>
                <w:szCs w:val="20"/>
              </w:rPr>
              <w:t>number 3</w:t>
            </w:r>
            <w:r>
              <w:rPr>
                <w:sz w:val="20"/>
                <w:szCs w:val="20"/>
              </w:rPr>
              <w:t>’</w:t>
            </w:r>
            <w:r w:rsidR="00FE09C9" w:rsidRPr="009259D5">
              <w:rPr>
                <w:sz w:val="20"/>
                <w:szCs w:val="20"/>
              </w:rPr>
              <w:t xml:space="preserve"> for behaviour </w:t>
            </w:r>
            <w:r>
              <w:rPr>
                <w:sz w:val="20"/>
                <w:szCs w:val="20"/>
              </w:rPr>
              <w:t>in 2024/25</w:t>
            </w:r>
            <w:r w:rsidR="00FE09C9" w:rsidRPr="009259D5">
              <w:rPr>
                <w:sz w:val="20"/>
                <w:szCs w:val="20"/>
              </w:rPr>
              <w:t xml:space="preserve"> </w:t>
            </w:r>
            <w:r w:rsidR="003228FC" w:rsidRPr="009259D5">
              <w:rPr>
                <w:sz w:val="20"/>
                <w:szCs w:val="20"/>
              </w:rPr>
              <w:t xml:space="preserve">compared to </w:t>
            </w:r>
            <w:r w:rsidR="00FE09C9" w:rsidRPr="009259D5">
              <w:rPr>
                <w:sz w:val="20"/>
                <w:szCs w:val="20"/>
              </w:rPr>
              <w:t xml:space="preserve">12% </w:t>
            </w:r>
            <w:r w:rsidR="003228FC" w:rsidRPr="009259D5">
              <w:rPr>
                <w:sz w:val="20"/>
                <w:szCs w:val="20"/>
              </w:rPr>
              <w:t>of non PP pupils. Last year, one PP pupil was fixed-term excluded. No Non-PP pupils were excluded.</w:t>
            </w:r>
            <w:r w:rsidR="003228FC">
              <w:t xml:space="preserve">  </w:t>
            </w:r>
          </w:p>
        </w:tc>
      </w:tr>
    </w:tbl>
    <w:p w:rsidR="000F14BA" w:rsidRDefault="009D71E8" w:rsidP="009259D5">
      <w:pPr>
        <w:pStyle w:val="Heading2"/>
        <w:spacing w:before="600"/>
      </w:pPr>
      <w:r w:rsidRPr="009259D5">
        <w:rPr>
          <w:sz w:val="24"/>
          <w:szCs w:val="24"/>
        </w:rPr>
        <w:t>Challenges</w:t>
      </w:r>
    </w:p>
    <w:tbl>
      <w:tblPr>
        <w:tblW w:w="5000" w:type="pct"/>
        <w:tblCellMar>
          <w:left w:w="10" w:type="dxa"/>
          <w:right w:w="10" w:type="dxa"/>
        </w:tblCellMar>
        <w:tblLook w:val="04A0" w:firstRow="1" w:lastRow="0" w:firstColumn="1" w:lastColumn="0" w:noHBand="0" w:noVBand="1"/>
      </w:tblPr>
      <w:tblGrid>
        <w:gridCol w:w="1363"/>
        <w:gridCol w:w="9093"/>
      </w:tblGrid>
      <w:tr w:rsidR="00E66558" w:rsidTr="00771902">
        <w:tc>
          <w:tcPr>
            <w:tcW w:w="112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E66558" w:rsidRDefault="009D71E8" w:rsidP="00C31636">
            <w:pPr>
              <w:pStyle w:val="TableHeader"/>
              <w:ind w:left="0" w:right="0"/>
              <w:jc w:val="left"/>
            </w:pPr>
            <w:r>
              <w:t>Challenge number</w:t>
            </w:r>
          </w:p>
        </w:tc>
        <w:tc>
          <w:tcPr>
            <w:tcW w:w="93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E66558" w:rsidRDefault="009D71E8" w:rsidP="00C31636">
            <w:pPr>
              <w:pStyle w:val="TableHeader"/>
              <w:ind w:left="0" w:right="0"/>
              <w:jc w:val="left"/>
            </w:pPr>
            <w:r>
              <w:t xml:space="preserve">Detail of challenge </w:t>
            </w:r>
          </w:p>
        </w:tc>
      </w:tr>
      <w:tr w:rsidR="00E66558" w:rsidTr="00771902">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rsidP="00C31636">
            <w:pPr>
              <w:pStyle w:val="TableRow"/>
              <w:ind w:left="0" w:right="0"/>
              <w:rPr>
                <w:sz w:val="22"/>
                <w:szCs w:val="22"/>
              </w:rPr>
            </w:pPr>
            <w:r>
              <w:rPr>
                <w:sz w:val="22"/>
                <w:szCs w:val="22"/>
              </w:rPr>
              <w:t>1</w:t>
            </w:r>
          </w:p>
        </w:tc>
        <w:tc>
          <w:tcPr>
            <w:tcW w:w="9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4E11" w:rsidRPr="009259D5" w:rsidRDefault="000F14BA" w:rsidP="000F14BA">
            <w:pPr>
              <w:rPr>
                <w:sz w:val="20"/>
                <w:szCs w:val="20"/>
              </w:rPr>
            </w:pPr>
            <w:r w:rsidRPr="009259D5">
              <w:rPr>
                <w:b/>
                <w:sz w:val="20"/>
                <w:szCs w:val="20"/>
              </w:rPr>
              <w:t>Persistent absence</w:t>
            </w:r>
            <w:r w:rsidRPr="009259D5">
              <w:rPr>
                <w:sz w:val="20"/>
                <w:szCs w:val="20"/>
              </w:rPr>
              <w:t xml:space="preserve"> is a significant challenge for PP pupils, with 28% persistently absent compared to just 3% of non-PP pupils. Of all pupils who are persistently absent, 63% are PP, and their average attendance (80.6%) is far below that of their peers (95.5%). This low attendance strongly impacts outcomes: only 43% of PP pupils who are persi</w:t>
            </w:r>
            <w:r w:rsidR="007F6A82" w:rsidRPr="009259D5">
              <w:rPr>
                <w:sz w:val="20"/>
                <w:szCs w:val="20"/>
              </w:rPr>
              <w:t>stently absent or at risk meet R</w:t>
            </w:r>
            <w:r w:rsidRPr="009259D5">
              <w:rPr>
                <w:sz w:val="20"/>
                <w:szCs w:val="20"/>
              </w:rPr>
              <w:t>eading expectations, compared to 66% of non-PP pupils. Even among those with good attendance, PP pupils lag behind (48% vs 74% non-PP</w:t>
            </w:r>
            <w:r w:rsidR="007F6A82" w:rsidRPr="009259D5">
              <w:rPr>
                <w:sz w:val="20"/>
                <w:szCs w:val="20"/>
              </w:rPr>
              <w:t xml:space="preserve"> in Reading</w:t>
            </w:r>
            <w:r w:rsidRPr="009259D5">
              <w:rPr>
                <w:sz w:val="20"/>
                <w:szCs w:val="20"/>
              </w:rPr>
              <w:t>), showing that persistent absence not only limits progress but also widens the attainment gap.</w:t>
            </w:r>
          </w:p>
        </w:tc>
      </w:tr>
      <w:tr w:rsidR="00E66558" w:rsidTr="00771902">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rsidP="00C31636">
            <w:pPr>
              <w:pStyle w:val="TableRow"/>
              <w:ind w:left="0" w:right="0"/>
              <w:rPr>
                <w:sz w:val="22"/>
                <w:szCs w:val="22"/>
              </w:rPr>
            </w:pPr>
            <w:r>
              <w:rPr>
                <w:sz w:val="22"/>
                <w:szCs w:val="22"/>
              </w:rPr>
              <w:t>2</w:t>
            </w:r>
          </w:p>
        </w:tc>
        <w:tc>
          <w:tcPr>
            <w:tcW w:w="9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5C02" w:rsidRPr="00771902" w:rsidRDefault="00B15C02" w:rsidP="00B15C02">
            <w:pPr>
              <w:pStyle w:val="NormalWeb"/>
              <w:rPr>
                <w:rFonts w:ascii="Arial" w:hAnsi="Arial" w:cs="Arial"/>
                <w:sz w:val="20"/>
                <w:szCs w:val="20"/>
              </w:rPr>
            </w:pPr>
            <w:r w:rsidRPr="009259D5">
              <w:rPr>
                <w:rFonts w:ascii="Arial" w:hAnsi="Arial" w:cs="Arial"/>
                <w:sz w:val="20"/>
                <w:szCs w:val="20"/>
              </w:rPr>
              <w:t xml:space="preserve">Across the school, Reading attainment is significantly lower for PP pupils compared to non-PP </w:t>
            </w:r>
            <w:r w:rsidRPr="00771902">
              <w:rPr>
                <w:rFonts w:ascii="Arial" w:hAnsi="Arial" w:cs="Arial"/>
                <w:sz w:val="20"/>
                <w:szCs w:val="20"/>
              </w:rPr>
              <w:t>pupils.</w:t>
            </w:r>
          </w:p>
          <w:p w:rsidR="00B15C02" w:rsidRPr="00771902" w:rsidRDefault="00B15C02" w:rsidP="00771902">
            <w:pPr>
              <w:pStyle w:val="NormalWeb"/>
              <w:numPr>
                <w:ilvl w:val="0"/>
                <w:numId w:val="18"/>
              </w:numPr>
              <w:spacing w:before="0" w:beforeAutospacing="0" w:after="0" w:afterAutospacing="0"/>
              <w:rPr>
                <w:rFonts w:ascii="Arial" w:hAnsi="Arial" w:cs="Arial"/>
                <w:sz w:val="20"/>
                <w:szCs w:val="20"/>
              </w:rPr>
            </w:pPr>
            <w:r w:rsidRPr="00771902">
              <w:rPr>
                <w:rStyle w:val="Strong"/>
                <w:rFonts w:ascii="Arial" w:hAnsi="Arial" w:cs="Arial"/>
                <w:sz w:val="20"/>
                <w:szCs w:val="20"/>
              </w:rPr>
              <w:t>46% of PP pupils</w:t>
            </w:r>
            <w:r w:rsidRPr="00771902">
              <w:rPr>
                <w:rFonts w:ascii="Arial" w:hAnsi="Arial" w:cs="Arial"/>
                <w:sz w:val="20"/>
                <w:szCs w:val="20"/>
              </w:rPr>
              <w:t xml:space="preserve"> achieved EXS+</w:t>
            </w:r>
          </w:p>
          <w:p w:rsidR="00B15C02" w:rsidRPr="00771902" w:rsidRDefault="00B15C02" w:rsidP="00771902">
            <w:pPr>
              <w:pStyle w:val="NormalWeb"/>
              <w:numPr>
                <w:ilvl w:val="0"/>
                <w:numId w:val="18"/>
              </w:numPr>
              <w:spacing w:before="0" w:beforeAutospacing="0" w:after="0" w:afterAutospacing="0"/>
              <w:rPr>
                <w:rFonts w:ascii="Arial" w:hAnsi="Arial" w:cs="Arial"/>
                <w:sz w:val="20"/>
                <w:szCs w:val="20"/>
              </w:rPr>
            </w:pPr>
            <w:r w:rsidRPr="00771902">
              <w:rPr>
                <w:rStyle w:val="Strong"/>
                <w:rFonts w:ascii="Arial" w:hAnsi="Arial" w:cs="Arial"/>
                <w:sz w:val="20"/>
                <w:szCs w:val="20"/>
              </w:rPr>
              <w:t>72% of non-PP pupils</w:t>
            </w:r>
            <w:r w:rsidRPr="00771902">
              <w:rPr>
                <w:rFonts w:ascii="Arial" w:hAnsi="Arial" w:cs="Arial"/>
                <w:sz w:val="20"/>
                <w:szCs w:val="20"/>
              </w:rPr>
              <w:t xml:space="preserve"> achieved EXS+</w:t>
            </w:r>
          </w:p>
          <w:p w:rsidR="00B15C02" w:rsidRDefault="00B15C02" w:rsidP="00771902">
            <w:pPr>
              <w:pStyle w:val="NormalWeb"/>
              <w:numPr>
                <w:ilvl w:val="0"/>
                <w:numId w:val="18"/>
              </w:numPr>
              <w:spacing w:before="0" w:beforeAutospacing="0" w:after="0" w:afterAutospacing="0"/>
              <w:rPr>
                <w:rFonts w:ascii="Arial" w:hAnsi="Arial" w:cs="Arial"/>
                <w:sz w:val="20"/>
                <w:szCs w:val="20"/>
              </w:rPr>
            </w:pPr>
            <w:r w:rsidRPr="00771902">
              <w:rPr>
                <w:rFonts w:ascii="Arial" w:hAnsi="Arial" w:cs="Arial"/>
                <w:sz w:val="20"/>
                <w:szCs w:val="20"/>
              </w:rPr>
              <w:t xml:space="preserve">This is a </w:t>
            </w:r>
            <w:r w:rsidRPr="00771902">
              <w:rPr>
                <w:rStyle w:val="Strong"/>
                <w:rFonts w:ascii="Arial" w:hAnsi="Arial" w:cs="Arial"/>
                <w:sz w:val="20"/>
                <w:szCs w:val="20"/>
              </w:rPr>
              <w:t>26-point gap</w:t>
            </w:r>
            <w:r w:rsidRPr="00771902">
              <w:rPr>
                <w:rFonts w:ascii="Arial" w:hAnsi="Arial" w:cs="Arial"/>
                <w:sz w:val="20"/>
                <w:szCs w:val="20"/>
              </w:rPr>
              <w:t>, meaning PP pupils are less likely to achieve at GCSE.</w:t>
            </w:r>
          </w:p>
          <w:p w:rsidR="00771902" w:rsidRPr="00771902" w:rsidRDefault="00771902" w:rsidP="00771902">
            <w:pPr>
              <w:pStyle w:val="NormalWeb"/>
              <w:spacing w:before="0" w:beforeAutospacing="0" w:after="0" w:afterAutospacing="0"/>
              <w:ind w:left="720"/>
              <w:rPr>
                <w:rFonts w:ascii="Arial" w:hAnsi="Arial" w:cs="Arial"/>
                <w:sz w:val="20"/>
                <w:szCs w:val="20"/>
              </w:rPr>
            </w:pPr>
          </w:p>
          <w:p w:rsidR="00B15C02" w:rsidRPr="00771902" w:rsidRDefault="00B15C02" w:rsidP="00771902">
            <w:pPr>
              <w:pStyle w:val="NormalWeb"/>
              <w:spacing w:before="0" w:beforeAutospacing="0" w:after="0" w:afterAutospacing="0"/>
              <w:rPr>
                <w:rFonts w:ascii="Arial" w:hAnsi="Arial" w:cs="Arial"/>
                <w:sz w:val="20"/>
                <w:szCs w:val="20"/>
              </w:rPr>
            </w:pPr>
            <w:r w:rsidRPr="00771902">
              <w:rPr>
                <w:rFonts w:ascii="Arial" w:hAnsi="Arial" w:cs="Arial"/>
                <w:sz w:val="20"/>
                <w:szCs w:val="20"/>
              </w:rPr>
              <w:t xml:space="preserve"> </w:t>
            </w:r>
            <w:r w:rsidRPr="00771902">
              <w:rPr>
                <w:rStyle w:val="Strong"/>
                <w:rFonts w:ascii="Arial" w:hAnsi="Arial" w:cs="Arial"/>
                <w:sz w:val="20"/>
                <w:szCs w:val="20"/>
              </w:rPr>
              <w:t>Year 6 SATs (2024/25):</w:t>
            </w:r>
          </w:p>
          <w:p w:rsidR="00B15C02" w:rsidRPr="00771902" w:rsidRDefault="00B15C02" w:rsidP="00771902">
            <w:pPr>
              <w:pStyle w:val="NormalWeb"/>
              <w:numPr>
                <w:ilvl w:val="0"/>
                <w:numId w:val="19"/>
              </w:numPr>
              <w:spacing w:before="0" w:beforeAutospacing="0" w:after="0" w:afterAutospacing="0"/>
              <w:rPr>
                <w:rFonts w:ascii="Arial" w:hAnsi="Arial" w:cs="Arial"/>
                <w:sz w:val="20"/>
                <w:szCs w:val="20"/>
              </w:rPr>
            </w:pPr>
            <w:r w:rsidRPr="00771902">
              <w:rPr>
                <w:rStyle w:val="Strong"/>
                <w:rFonts w:ascii="Arial" w:hAnsi="Arial" w:cs="Arial"/>
                <w:sz w:val="20"/>
                <w:szCs w:val="20"/>
              </w:rPr>
              <w:t>36% of PP pupils</w:t>
            </w:r>
            <w:r w:rsidRPr="00771902">
              <w:rPr>
                <w:rFonts w:ascii="Arial" w:hAnsi="Arial" w:cs="Arial"/>
                <w:sz w:val="20"/>
                <w:szCs w:val="20"/>
              </w:rPr>
              <w:t xml:space="preserve"> achieved EXS+ in Reading</w:t>
            </w:r>
          </w:p>
          <w:p w:rsidR="00B15C02" w:rsidRDefault="00B15C02" w:rsidP="00771902">
            <w:pPr>
              <w:pStyle w:val="NormalWeb"/>
              <w:numPr>
                <w:ilvl w:val="0"/>
                <w:numId w:val="19"/>
              </w:numPr>
              <w:spacing w:before="0" w:beforeAutospacing="0" w:after="0" w:afterAutospacing="0"/>
              <w:rPr>
                <w:rFonts w:ascii="Arial" w:hAnsi="Arial" w:cs="Arial"/>
                <w:sz w:val="20"/>
                <w:szCs w:val="20"/>
              </w:rPr>
            </w:pPr>
            <w:r w:rsidRPr="00771902">
              <w:rPr>
                <w:rStyle w:val="Strong"/>
                <w:rFonts w:ascii="Arial" w:hAnsi="Arial" w:cs="Arial"/>
                <w:sz w:val="20"/>
                <w:szCs w:val="20"/>
              </w:rPr>
              <w:t>80% of non-PP pupils</w:t>
            </w:r>
            <w:r w:rsidRPr="00771902">
              <w:rPr>
                <w:rFonts w:ascii="Arial" w:hAnsi="Arial" w:cs="Arial"/>
                <w:sz w:val="20"/>
                <w:szCs w:val="20"/>
              </w:rPr>
              <w:t xml:space="preserve"> achieved EXS+</w:t>
            </w:r>
          </w:p>
          <w:p w:rsidR="00771902" w:rsidRPr="00771902" w:rsidRDefault="00771902" w:rsidP="00771902">
            <w:pPr>
              <w:pStyle w:val="NormalWeb"/>
              <w:spacing w:before="0" w:beforeAutospacing="0" w:after="0" w:afterAutospacing="0"/>
              <w:ind w:left="720"/>
              <w:rPr>
                <w:rFonts w:ascii="Arial" w:hAnsi="Arial" w:cs="Arial"/>
                <w:sz w:val="20"/>
                <w:szCs w:val="20"/>
              </w:rPr>
            </w:pPr>
          </w:p>
          <w:p w:rsidR="00B15C02" w:rsidRPr="00771902" w:rsidRDefault="00B15C02" w:rsidP="00771902">
            <w:pPr>
              <w:pStyle w:val="NormalWeb"/>
              <w:spacing w:before="0" w:beforeAutospacing="0" w:after="0" w:afterAutospacing="0"/>
              <w:rPr>
                <w:rFonts w:ascii="Arial" w:hAnsi="Arial" w:cs="Arial"/>
                <w:sz w:val="20"/>
                <w:szCs w:val="20"/>
              </w:rPr>
            </w:pPr>
            <w:r w:rsidRPr="00771902">
              <w:rPr>
                <w:rStyle w:val="Strong"/>
                <w:rFonts w:ascii="Arial" w:hAnsi="Arial" w:cs="Arial"/>
                <w:sz w:val="20"/>
                <w:szCs w:val="20"/>
              </w:rPr>
              <w:t>Year 6 SATs (2023/24):</w:t>
            </w:r>
          </w:p>
          <w:p w:rsidR="00B15C02" w:rsidRPr="00771902" w:rsidRDefault="00B15C02" w:rsidP="00771902">
            <w:pPr>
              <w:pStyle w:val="NormalWeb"/>
              <w:numPr>
                <w:ilvl w:val="0"/>
                <w:numId w:val="20"/>
              </w:numPr>
              <w:spacing w:before="0" w:beforeAutospacing="0" w:after="0" w:afterAutospacing="0"/>
              <w:rPr>
                <w:rFonts w:ascii="Arial" w:hAnsi="Arial" w:cs="Arial"/>
                <w:sz w:val="20"/>
                <w:szCs w:val="20"/>
              </w:rPr>
            </w:pPr>
            <w:r w:rsidRPr="00771902">
              <w:rPr>
                <w:rStyle w:val="Strong"/>
                <w:rFonts w:ascii="Arial" w:hAnsi="Arial" w:cs="Arial"/>
                <w:sz w:val="20"/>
                <w:szCs w:val="20"/>
              </w:rPr>
              <w:t>67% of PP pupils</w:t>
            </w:r>
            <w:r w:rsidRPr="00771902">
              <w:rPr>
                <w:rFonts w:ascii="Arial" w:hAnsi="Arial" w:cs="Arial"/>
                <w:sz w:val="20"/>
                <w:szCs w:val="20"/>
              </w:rPr>
              <w:t xml:space="preserve"> achieved EXS+</w:t>
            </w:r>
          </w:p>
          <w:p w:rsidR="00771902" w:rsidRPr="00771902" w:rsidRDefault="00B15C02" w:rsidP="00771902">
            <w:pPr>
              <w:pStyle w:val="NormalWeb"/>
              <w:numPr>
                <w:ilvl w:val="0"/>
                <w:numId w:val="20"/>
              </w:numPr>
              <w:spacing w:before="0" w:beforeAutospacing="0" w:after="0" w:afterAutospacing="0"/>
              <w:rPr>
                <w:rFonts w:ascii="Arial" w:hAnsi="Arial" w:cs="Arial"/>
                <w:sz w:val="20"/>
                <w:szCs w:val="20"/>
              </w:rPr>
            </w:pPr>
            <w:r w:rsidRPr="00771902">
              <w:rPr>
                <w:rStyle w:val="Strong"/>
                <w:rFonts w:ascii="Arial" w:hAnsi="Arial" w:cs="Arial"/>
                <w:sz w:val="20"/>
                <w:szCs w:val="20"/>
              </w:rPr>
              <w:t>82% of non-PP pupils</w:t>
            </w:r>
            <w:r w:rsidRPr="00771902">
              <w:rPr>
                <w:rFonts w:ascii="Arial" w:hAnsi="Arial" w:cs="Arial"/>
                <w:sz w:val="20"/>
                <w:szCs w:val="20"/>
              </w:rPr>
              <w:t xml:space="preserve"> achieved EXS+</w:t>
            </w:r>
          </w:p>
          <w:p w:rsidR="00771902" w:rsidRPr="00771902" w:rsidRDefault="00B15C02" w:rsidP="00771902">
            <w:pPr>
              <w:pStyle w:val="NormalWeb"/>
              <w:spacing w:after="0" w:afterAutospacing="0"/>
              <w:rPr>
                <w:rFonts w:ascii="Arial" w:hAnsi="Arial" w:cs="Arial"/>
                <w:sz w:val="20"/>
                <w:szCs w:val="20"/>
              </w:rPr>
            </w:pPr>
            <w:r w:rsidRPr="00771902">
              <w:rPr>
                <w:rFonts w:ascii="Arial" w:hAnsi="Arial" w:cs="Arial"/>
                <w:sz w:val="20"/>
                <w:szCs w:val="20"/>
              </w:rPr>
              <w:t>The gap is made worse by lower reading fluency and comprehension among PP pupils. This limits their access to the wider curriculum and makes it harder for them to reach age-related expectations across subjects. Without early intervention, the gap tends to widen over time.</w:t>
            </w:r>
          </w:p>
        </w:tc>
      </w:tr>
      <w:tr w:rsidR="00E66558" w:rsidTr="00771902">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rsidP="00C31636">
            <w:pPr>
              <w:pStyle w:val="TableRow"/>
              <w:ind w:left="0" w:right="0"/>
              <w:rPr>
                <w:sz w:val="22"/>
                <w:szCs w:val="22"/>
              </w:rPr>
            </w:pPr>
            <w:r>
              <w:rPr>
                <w:sz w:val="22"/>
                <w:szCs w:val="22"/>
              </w:rPr>
              <w:lastRenderedPageBreak/>
              <w:t>3</w:t>
            </w:r>
          </w:p>
        </w:tc>
        <w:tc>
          <w:tcPr>
            <w:tcW w:w="9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5C02" w:rsidRPr="009259D5" w:rsidRDefault="00B15C02" w:rsidP="007F6A82">
            <w:pPr>
              <w:pStyle w:val="TableRowCentered"/>
              <w:ind w:left="0" w:right="0"/>
              <w:jc w:val="left"/>
              <w:rPr>
                <w:sz w:val="20"/>
              </w:rPr>
            </w:pPr>
            <w:r w:rsidRPr="009259D5">
              <w:rPr>
                <w:sz w:val="20"/>
              </w:rPr>
              <w:t>SEND overlap – 38% of PP pupils also have SEND, creating extra barriers to learning. These pupils face both financial disadvantage and learning difficulties, making progress slower and more resource-heavy. They often need targeted support and find it harder to access the full curriculum. This overlap reduces the impact of general Pupil Premium strategies. For example, in Reading, 38% of non-PP pupils with SEND achieved EXS+, compared with only 26% of PP pupils with SEND. Among pupils without SEND, 50% of PP pupils reached EXS+ in Reading, compared with 80% of non-PP pupils.</w:t>
            </w:r>
          </w:p>
        </w:tc>
      </w:tr>
      <w:tr w:rsidR="00E66558" w:rsidTr="00771902">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rsidP="00C31636">
            <w:pPr>
              <w:pStyle w:val="TableRow"/>
              <w:ind w:left="0" w:right="0"/>
              <w:rPr>
                <w:sz w:val="22"/>
                <w:szCs w:val="22"/>
              </w:rPr>
            </w:pPr>
            <w:r>
              <w:rPr>
                <w:sz w:val="22"/>
                <w:szCs w:val="22"/>
              </w:rPr>
              <w:t>4</w:t>
            </w:r>
          </w:p>
        </w:tc>
        <w:tc>
          <w:tcPr>
            <w:tcW w:w="9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9259D5" w:rsidRDefault="00B15C02" w:rsidP="00B15C02">
            <w:pPr>
              <w:suppressAutoHyphens w:val="0"/>
              <w:autoSpaceDN/>
              <w:spacing w:after="0" w:line="240" w:lineRule="auto"/>
              <w:rPr>
                <w:rFonts w:cs="Arial"/>
                <w:color w:val="auto"/>
                <w:sz w:val="20"/>
                <w:szCs w:val="20"/>
              </w:rPr>
            </w:pPr>
            <w:r w:rsidRPr="00B15C02">
              <w:rPr>
                <w:rFonts w:cs="Arial"/>
                <w:color w:val="auto"/>
                <w:sz w:val="20"/>
                <w:szCs w:val="20"/>
              </w:rPr>
              <w:t xml:space="preserve">A significant barrier to improved outcomes for PP (Pupil Premium) pupils is the very low proportion achieving Greater Depth (GDS). Whereas non-PP pupils in Year 6 demonstrate much stronger attainment, with </w:t>
            </w:r>
            <w:r w:rsidRPr="009259D5">
              <w:rPr>
                <w:rFonts w:cs="Arial"/>
                <w:b/>
                <w:bCs/>
                <w:color w:val="auto"/>
                <w:sz w:val="20"/>
                <w:szCs w:val="20"/>
              </w:rPr>
              <w:t>30% reaching GDS in reading and 20% in maths,</w:t>
            </w:r>
            <w:r w:rsidRPr="009259D5">
              <w:rPr>
                <w:rFonts w:cs="Arial"/>
                <w:color w:val="auto"/>
                <w:sz w:val="20"/>
                <w:szCs w:val="20"/>
              </w:rPr>
              <w:t xml:space="preserve"> PP pupils rarely achieve at this higher standard. This gap indicates that PP pupils often lack access to the same depth of challenge, targeted support, or confidence needed to excel. As a result, aspirations remain limited, expectations can be lowered, and opportunities to secure mastery of key skills are missed. Over time, this entrenches disadvantage, widens the attainment gap, and restricts PP pupils’ progression to higher standards.</w:t>
            </w:r>
          </w:p>
        </w:tc>
      </w:tr>
      <w:tr w:rsidR="00E66558" w:rsidTr="00771902">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rsidP="00C31636">
            <w:pPr>
              <w:pStyle w:val="TableRow"/>
              <w:ind w:left="0" w:right="0"/>
              <w:rPr>
                <w:sz w:val="22"/>
                <w:szCs w:val="22"/>
              </w:rPr>
            </w:pPr>
            <w:bookmarkStart w:id="2" w:name="_Toc443397160"/>
            <w:r>
              <w:rPr>
                <w:sz w:val="22"/>
                <w:szCs w:val="22"/>
              </w:rPr>
              <w:t>5</w:t>
            </w:r>
          </w:p>
        </w:tc>
        <w:tc>
          <w:tcPr>
            <w:tcW w:w="9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D5" w:rsidRPr="009259D5" w:rsidRDefault="009259D5" w:rsidP="009259D5">
            <w:pPr>
              <w:suppressAutoHyphens w:val="0"/>
              <w:autoSpaceDN/>
              <w:spacing w:before="100" w:beforeAutospacing="1" w:after="100" w:afterAutospacing="1" w:line="240" w:lineRule="auto"/>
              <w:rPr>
                <w:rFonts w:cs="Arial"/>
                <w:color w:val="auto"/>
                <w:sz w:val="20"/>
                <w:szCs w:val="20"/>
              </w:rPr>
            </w:pPr>
            <w:r w:rsidRPr="009259D5">
              <w:rPr>
                <w:rFonts w:cs="Arial"/>
                <w:b/>
                <w:bCs/>
                <w:color w:val="auto"/>
                <w:sz w:val="20"/>
                <w:szCs w:val="20"/>
              </w:rPr>
              <w:t>Parental Engagement</w:t>
            </w:r>
            <w:r w:rsidRPr="009259D5">
              <w:rPr>
                <w:rFonts w:cs="Arial"/>
                <w:color w:val="auto"/>
                <w:sz w:val="20"/>
                <w:szCs w:val="20"/>
              </w:rPr>
              <w:t xml:space="preserve"> is a barrier for Pupil Premium (PP) pupils. Fewer than 25% of PP parents attended the ‘Meet the Parent’ event in Autumn 2025, compared to 68% of non-PP parents. This limits communication between home and school, reducing opportunities to work together to support learning, behaviour, and attendance.</w:t>
            </w:r>
          </w:p>
          <w:p w:rsidR="009259D5" w:rsidRPr="009259D5" w:rsidRDefault="009259D5" w:rsidP="009259D5">
            <w:pPr>
              <w:suppressAutoHyphens w:val="0"/>
              <w:autoSpaceDN/>
              <w:spacing w:before="100" w:beforeAutospacing="1" w:after="100" w:afterAutospacing="1" w:line="240" w:lineRule="auto"/>
              <w:rPr>
                <w:rFonts w:cs="Arial"/>
                <w:color w:val="auto"/>
                <w:sz w:val="20"/>
                <w:szCs w:val="20"/>
              </w:rPr>
            </w:pPr>
            <w:r w:rsidRPr="009259D5">
              <w:rPr>
                <w:rFonts w:cs="Arial"/>
                <w:color w:val="auto"/>
                <w:sz w:val="20"/>
                <w:szCs w:val="20"/>
              </w:rPr>
              <w:t>Some families have also not applied for Free School Meals (FSM), despite being eligible. This means pupils miss out on financial support, free meals, and the wider benefits linked to FSM funding.</w:t>
            </w:r>
          </w:p>
          <w:p w:rsidR="00E66558" w:rsidRPr="009259D5" w:rsidRDefault="009259D5" w:rsidP="009259D5">
            <w:pPr>
              <w:suppressAutoHyphens w:val="0"/>
              <w:autoSpaceDN/>
              <w:spacing w:before="100" w:beforeAutospacing="1" w:after="100" w:afterAutospacing="1" w:line="240" w:lineRule="auto"/>
              <w:rPr>
                <w:rFonts w:cs="Arial"/>
                <w:color w:val="auto"/>
                <w:sz w:val="20"/>
                <w:szCs w:val="20"/>
              </w:rPr>
            </w:pPr>
            <w:r w:rsidRPr="009259D5">
              <w:rPr>
                <w:rFonts w:cs="Arial"/>
                <w:color w:val="auto"/>
                <w:sz w:val="20"/>
                <w:szCs w:val="20"/>
              </w:rPr>
              <w:t>Overall, low parental engagement and lack of FSM take-up can reduce access to support, widen gaps in attainment, and affect pupil progress.</w:t>
            </w:r>
          </w:p>
        </w:tc>
      </w:tr>
      <w:tr w:rsidR="00301081" w:rsidTr="00771902">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1081" w:rsidRDefault="00301081" w:rsidP="00C31636">
            <w:pPr>
              <w:pStyle w:val="TableRow"/>
              <w:ind w:left="0" w:right="0"/>
              <w:rPr>
                <w:sz w:val="22"/>
                <w:szCs w:val="22"/>
              </w:rPr>
            </w:pPr>
            <w:r>
              <w:rPr>
                <w:sz w:val="22"/>
                <w:szCs w:val="22"/>
              </w:rPr>
              <w:t>6</w:t>
            </w:r>
          </w:p>
        </w:tc>
        <w:tc>
          <w:tcPr>
            <w:tcW w:w="9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D5" w:rsidRPr="009259D5" w:rsidRDefault="009F239B" w:rsidP="009259D5">
            <w:pPr>
              <w:pStyle w:val="NormalWeb"/>
              <w:rPr>
                <w:b/>
                <w:bCs/>
                <w:sz w:val="20"/>
                <w:szCs w:val="20"/>
              </w:rPr>
            </w:pPr>
            <w:r w:rsidRPr="009259D5">
              <w:rPr>
                <w:rFonts w:ascii="Arial" w:hAnsi="Arial" w:cs="Arial"/>
                <w:sz w:val="20"/>
                <w:szCs w:val="20"/>
              </w:rPr>
              <w:t xml:space="preserve">Our observations, assessments and safeguarding work shows that there are </w:t>
            </w:r>
            <w:r w:rsidRPr="009259D5">
              <w:rPr>
                <w:rFonts w:ascii="Arial" w:hAnsi="Arial" w:cs="Arial"/>
                <w:b/>
                <w:sz w:val="20"/>
                <w:szCs w:val="20"/>
              </w:rPr>
              <w:t>socio-economic barriers</w:t>
            </w:r>
            <w:r w:rsidR="009259D5" w:rsidRPr="009259D5">
              <w:rPr>
                <w:rFonts w:ascii="Arial" w:hAnsi="Arial" w:cs="Arial"/>
                <w:sz w:val="20"/>
                <w:szCs w:val="20"/>
              </w:rPr>
              <w:t xml:space="preserve"> for our PP pupils. Many PP pupils face limited access to equipment, technology, and quiet spaces at home. This makes completing homework more difficult.</w:t>
            </w:r>
          </w:p>
          <w:p w:rsidR="009259D5" w:rsidRPr="009259D5" w:rsidRDefault="009259D5" w:rsidP="00003C1B">
            <w:pPr>
              <w:pStyle w:val="NormalWeb"/>
              <w:spacing w:before="0" w:beforeAutospacing="0" w:after="0" w:afterAutospacing="0"/>
              <w:rPr>
                <w:rFonts w:ascii="Arial" w:hAnsi="Arial" w:cs="Arial"/>
                <w:sz w:val="20"/>
                <w:szCs w:val="20"/>
              </w:rPr>
            </w:pPr>
            <w:r w:rsidRPr="009259D5">
              <w:rPr>
                <w:rFonts w:ascii="Arial" w:hAnsi="Arial" w:cs="Arial"/>
                <w:sz w:val="20"/>
                <w:szCs w:val="20"/>
              </w:rPr>
              <w:t xml:space="preserve"> </w:t>
            </w:r>
            <w:r w:rsidRPr="009259D5">
              <w:rPr>
                <w:rStyle w:val="Strong"/>
                <w:rFonts w:ascii="Arial" w:hAnsi="Arial" w:cs="Arial"/>
                <w:sz w:val="20"/>
                <w:szCs w:val="20"/>
              </w:rPr>
              <w:t>Homework completion</w:t>
            </w:r>
            <w:r w:rsidRPr="009259D5">
              <w:rPr>
                <w:rFonts w:ascii="Arial" w:hAnsi="Arial" w:cs="Arial"/>
                <w:sz w:val="20"/>
                <w:szCs w:val="20"/>
              </w:rPr>
              <w:t>:</w:t>
            </w:r>
          </w:p>
          <w:p w:rsidR="009259D5" w:rsidRPr="009259D5" w:rsidRDefault="009259D5" w:rsidP="00003C1B">
            <w:pPr>
              <w:pStyle w:val="NormalWeb"/>
              <w:numPr>
                <w:ilvl w:val="0"/>
                <w:numId w:val="21"/>
              </w:numPr>
              <w:spacing w:before="0" w:beforeAutospacing="0" w:after="0" w:afterAutospacing="0"/>
              <w:rPr>
                <w:rFonts w:ascii="Arial" w:hAnsi="Arial" w:cs="Arial"/>
                <w:sz w:val="20"/>
                <w:szCs w:val="20"/>
              </w:rPr>
            </w:pPr>
            <w:r w:rsidRPr="009259D5">
              <w:rPr>
                <w:rFonts w:ascii="Arial" w:hAnsi="Arial" w:cs="Arial"/>
                <w:sz w:val="20"/>
                <w:szCs w:val="20"/>
              </w:rPr>
              <w:t xml:space="preserve">PP pupils: </w:t>
            </w:r>
            <w:r w:rsidRPr="009259D5">
              <w:rPr>
                <w:rStyle w:val="Strong"/>
                <w:rFonts w:ascii="Arial" w:hAnsi="Arial" w:cs="Arial"/>
                <w:sz w:val="20"/>
                <w:szCs w:val="20"/>
              </w:rPr>
              <w:t>43%</w:t>
            </w:r>
            <w:r w:rsidRPr="009259D5">
              <w:rPr>
                <w:rFonts w:ascii="Arial" w:hAnsi="Arial" w:cs="Arial"/>
                <w:sz w:val="20"/>
                <w:szCs w:val="20"/>
              </w:rPr>
              <w:t xml:space="preserve"> regularly complete homework</w:t>
            </w:r>
          </w:p>
          <w:p w:rsidR="009259D5" w:rsidRPr="009259D5" w:rsidRDefault="009259D5" w:rsidP="00003C1B">
            <w:pPr>
              <w:pStyle w:val="NormalWeb"/>
              <w:numPr>
                <w:ilvl w:val="0"/>
                <w:numId w:val="21"/>
              </w:numPr>
              <w:spacing w:before="0" w:beforeAutospacing="0" w:after="0" w:afterAutospacing="0"/>
              <w:rPr>
                <w:rFonts w:ascii="Arial" w:hAnsi="Arial" w:cs="Arial"/>
                <w:sz w:val="20"/>
                <w:szCs w:val="20"/>
              </w:rPr>
            </w:pPr>
            <w:r w:rsidRPr="009259D5">
              <w:rPr>
                <w:rFonts w:ascii="Arial" w:hAnsi="Arial" w:cs="Arial"/>
                <w:sz w:val="20"/>
                <w:szCs w:val="20"/>
              </w:rPr>
              <w:t xml:space="preserve">Non-PP pupils: </w:t>
            </w:r>
            <w:r w:rsidRPr="009259D5">
              <w:rPr>
                <w:rStyle w:val="Strong"/>
                <w:rFonts w:ascii="Arial" w:hAnsi="Arial" w:cs="Arial"/>
                <w:sz w:val="20"/>
                <w:szCs w:val="20"/>
              </w:rPr>
              <w:t>81%</w:t>
            </w:r>
            <w:r w:rsidRPr="009259D5">
              <w:rPr>
                <w:rFonts w:ascii="Arial" w:hAnsi="Arial" w:cs="Arial"/>
                <w:sz w:val="20"/>
                <w:szCs w:val="20"/>
              </w:rPr>
              <w:t xml:space="preserve"> regularly complete homework</w:t>
            </w:r>
          </w:p>
          <w:p w:rsidR="009259D5" w:rsidRPr="009259D5" w:rsidRDefault="009259D5" w:rsidP="00003C1B">
            <w:pPr>
              <w:pStyle w:val="NormalWeb"/>
              <w:spacing w:before="0" w:beforeAutospacing="0" w:after="0" w:afterAutospacing="0"/>
              <w:rPr>
                <w:rFonts w:ascii="Arial" w:hAnsi="Arial" w:cs="Arial"/>
                <w:sz w:val="20"/>
                <w:szCs w:val="20"/>
              </w:rPr>
            </w:pPr>
            <w:r w:rsidRPr="009259D5">
              <w:rPr>
                <w:rFonts w:ascii="Arial" w:hAnsi="Arial" w:cs="Arial"/>
                <w:sz w:val="20"/>
                <w:szCs w:val="20"/>
              </w:rPr>
              <w:t xml:space="preserve"> </w:t>
            </w:r>
            <w:r w:rsidRPr="009259D5">
              <w:rPr>
                <w:rStyle w:val="Strong"/>
                <w:rFonts w:ascii="Arial" w:hAnsi="Arial" w:cs="Arial"/>
                <w:sz w:val="20"/>
                <w:szCs w:val="20"/>
              </w:rPr>
              <w:t>Safeguarding concerns</w:t>
            </w:r>
            <w:r w:rsidRPr="009259D5">
              <w:rPr>
                <w:rFonts w:ascii="Arial" w:hAnsi="Arial" w:cs="Arial"/>
                <w:sz w:val="20"/>
                <w:szCs w:val="20"/>
              </w:rPr>
              <w:t>:</w:t>
            </w:r>
          </w:p>
          <w:p w:rsidR="009259D5" w:rsidRPr="009259D5" w:rsidRDefault="009259D5" w:rsidP="00003C1B">
            <w:pPr>
              <w:pStyle w:val="NormalWeb"/>
              <w:numPr>
                <w:ilvl w:val="0"/>
                <w:numId w:val="22"/>
              </w:numPr>
              <w:spacing w:before="0" w:beforeAutospacing="0" w:after="0" w:afterAutospacing="0"/>
              <w:rPr>
                <w:rFonts w:ascii="Arial" w:hAnsi="Arial" w:cs="Arial"/>
                <w:sz w:val="20"/>
                <w:szCs w:val="20"/>
              </w:rPr>
            </w:pPr>
            <w:r w:rsidRPr="009259D5">
              <w:rPr>
                <w:rStyle w:val="Strong"/>
                <w:rFonts w:ascii="Arial" w:hAnsi="Arial" w:cs="Arial"/>
                <w:sz w:val="20"/>
                <w:szCs w:val="20"/>
              </w:rPr>
              <w:t>49%</w:t>
            </w:r>
            <w:r w:rsidRPr="009259D5">
              <w:rPr>
                <w:rFonts w:ascii="Arial" w:hAnsi="Arial" w:cs="Arial"/>
                <w:sz w:val="20"/>
                <w:szCs w:val="20"/>
              </w:rPr>
              <w:t xml:space="preserve"> of PP pupils are known to social services</w:t>
            </w:r>
          </w:p>
          <w:p w:rsidR="009259D5" w:rsidRPr="009259D5" w:rsidRDefault="009259D5" w:rsidP="00003C1B">
            <w:pPr>
              <w:pStyle w:val="NormalWeb"/>
              <w:numPr>
                <w:ilvl w:val="0"/>
                <w:numId w:val="22"/>
              </w:numPr>
              <w:spacing w:before="0" w:beforeAutospacing="0" w:after="0" w:afterAutospacing="0"/>
              <w:rPr>
                <w:rFonts w:ascii="Arial" w:hAnsi="Arial" w:cs="Arial"/>
                <w:sz w:val="20"/>
                <w:szCs w:val="20"/>
              </w:rPr>
            </w:pPr>
            <w:r w:rsidRPr="009259D5">
              <w:rPr>
                <w:rStyle w:val="Strong"/>
                <w:rFonts w:ascii="Arial" w:hAnsi="Arial" w:cs="Arial"/>
                <w:sz w:val="20"/>
                <w:szCs w:val="20"/>
              </w:rPr>
              <w:t>3%</w:t>
            </w:r>
            <w:r w:rsidRPr="009259D5">
              <w:rPr>
                <w:rFonts w:ascii="Arial" w:hAnsi="Arial" w:cs="Arial"/>
                <w:sz w:val="20"/>
                <w:szCs w:val="20"/>
              </w:rPr>
              <w:t xml:space="preserve"> of non-PP pupils are known to social services</w:t>
            </w:r>
            <w:r w:rsidRPr="009259D5">
              <w:rPr>
                <w:rFonts w:ascii="Arial" w:hAnsi="Arial" w:cs="Arial"/>
                <w:sz w:val="20"/>
                <w:szCs w:val="20"/>
              </w:rPr>
              <w:br/>
              <w:t>This indicates a much higher likelihood of exposure to domestic abuse and related challenges.</w:t>
            </w:r>
          </w:p>
          <w:p w:rsidR="009259D5" w:rsidRPr="009259D5" w:rsidRDefault="009259D5" w:rsidP="00003C1B">
            <w:pPr>
              <w:pStyle w:val="NormalWeb"/>
              <w:spacing w:before="0" w:beforeAutospacing="0" w:after="0" w:afterAutospacing="0"/>
              <w:rPr>
                <w:rFonts w:ascii="Arial" w:hAnsi="Arial" w:cs="Arial"/>
                <w:sz w:val="20"/>
                <w:szCs w:val="20"/>
              </w:rPr>
            </w:pPr>
            <w:r w:rsidRPr="009259D5">
              <w:rPr>
                <w:rStyle w:val="Strong"/>
                <w:rFonts w:ascii="Arial" w:hAnsi="Arial" w:cs="Arial"/>
                <w:sz w:val="20"/>
                <w:szCs w:val="20"/>
              </w:rPr>
              <w:t>School stability</w:t>
            </w:r>
            <w:r w:rsidRPr="009259D5">
              <w:rPr>
                <w:rFonts w:ascii="Arial" w:hAnsi="Arial" w:cs="Arial"/>
                <w:sz w:val="20"/>
                <w:szCs w:val="20"/>
              </w:rPr>
              <w:t>:</w:t>
            </w:r>
          </w:p>
          <w:p w:rsidR="009259D5" w:rsidRPr="009259D5" w:rsidRDefault="009259D5" w:rsidP="00003C1B">
            <w:pPr>
              <w:pStyle w:val="NormalWeb"/>
              <w:numPr>
                <w:ilvl w:val="0"/>
                <w:numId w:val="23"/>
              </w:numPr>
              <w:spacing w:before="0" w:beforeAutospacing="0" w:after="0" w:afterAutospacing="0"/>
              <w:rPr>
                <w:rFonts w:ascii="Arial" w:hAnsi="Arial" w:cs="Arial"/>
                <w:sz w:val="20"/>
                <w:szCs w:val="20"/>
              </w:rPr>
            </w:pPr>
            <w:r w:rsidRPr="009259D5">
              <w:rPr>
                <w:rStyle w:val="Strong"/>
                <w:rFonts w:ascii="Arial" w:hAnsi="Arial" w:cs="Arial"/>
                <w:sz w:val="20"/>
                <w:szCs w:val="20"/>
              </w:rPr>
              <w:t>68%</w:t>
            </w:r>
            <w:r w:rsidRPr="009259D5">
              <w:rPr>
                <w:rFonts w:ascii="Arial" w:hAnsi="Arial" w:cs="Arial"/>
                <w:sz w:val="20"/>
                <w:szCs w:val="20"/>
              </w:rPr>
              <w:t xml:space="preserve"> of PP pupils started at St Bens in Reception</w:t>
            </w:r>
          </w:p>
          <w:p w:rsidR="009259D5" w:rsidRPr="009259D5" w:rsidRDefault="009259D5" w:rsidP="00003C1B">
            <w:pPr>
              <w:pStyle w:val="NormalWeb"/>
              <w:numPr>
                <w:ilvl w:val="0"/>
                <w:numId w:val="23"/>
              </w:numPr>
              <w:spacing w:before="0" w:beforeAutospacing="0" w:after="0" w:afterAutospacing="0"/>
              <w:rPr>
                <w:rFonts w:ascii="Arial" w:hAnsi="Arial" w:cs="Arial"/>
                <w:sz w:val="20"/>
                <w:szCs w:val="20"/>
              </w:rPr>
            </w:pPr>
            <w:r w:rsidRPr="009259D5">
              <w:rPr>
                <w:rStyle w:val="Strong"/>
                <w:rFonts w:ascii="Arial" w:hAnsi="Arial" w:cs="Arial"/>
                <w:sz w:val="20"/>
                <w:szCs w:val="20"/>
              </w:rPr>
              <w:t>84%</w:t>
            </w:r>
            <w:r w:rsidRPr="009259D5">
              <w:rPr>
                <w:rFonts w:ascii="Arial" w:hAnsi="Arial" w:cs="Arial"/>
                <w:sz w:val="20"/>
                <w:szCs w:val="20"/>
              </w:rPr>
              <w:t xml:space="preserve"> of non-PP pupils started in Reception</w:t>
            </w:r>
            <w:r w:rsidRPr="009259D5">
              <w:rPr>
                <w:rFonts w:ascii="Arial" w:hAnsi="Arial" w:cs="Arial"/>
                <w:sz w:val="20"/>
                <w:szCs w:val="20"/>
              </w:rPr>
              <w:br/>
              <w:t>This shows that PP pupils are more likely to have experienced school or house moves, disrupting continuity in education.</w:t>
            </w:r>
          </w:p>
          <w:p w:rsidR="009259D5" w:rsidRPr="009259D5" w:rsidRDefault="009259D5" w:rsidP="00003C1B">
            <w:pPr>
              <w:pStyle w:val="NormalWeb"/>
              <w:spacing w:before="0" w:beforeAutospacing="0" w:after="0" w:afterAutospacing="0"/>
              <w:rPr>
                <w:rFonts w:ascii="Arial" w:hAnsi="Arial" w:cs="Arial"/>
                <w:sz w:val="20"/>
                <w:szCs w:val="20"/>
              </w:rPr>
            </w:pPr>
            <w:r w:rsidRPr="009259D5">
              <w:rPr>
                <w:rStyle w:val="Strong"/>
                <w:rFonts w:ascii="Arial" w:hAnsi="Arial" w:cs="Arial"/>
                <w:sz w:val="20"/>
                <w:szCs w:val="20"/>
              </w:rPr>
              <w:t>Access to enrichment</w:t>
            </w:r>
            <w:r w:rsidRPr="009259D5">
              <w:rPr>
                <w:rFonts w:ascii="Arial" w:hAnsi="Arial" w:cs="Arial"/>
                <w:sz w:val="20"/>
                <w:szCs w:val="20"/>
              </w:rPr>
              <w:t>:</w:t>
            </w:r>
          </w:p>
          <w:p w:rsidR="009259D5" w:rsidRPr="009259D5" w:rsidRDefault="009259D5" w:rsidP="00003C1B">
            <w:pPr>
              <w:pStyle w:val="NormalWeb"/>
              <w:numPr>
                <w:ilvl w:val="0"/>
                <w:numId w:val="24"/>
              </w:numPr>
              <w:spacing w:before="0" w:beforeAutospacing="0" w:after="0" w:afterAutospacing="0"/>
              <w:rPr>
                <w:rFonts w:ascii="Arial" w:hAnsi="Arial" w:cs="Arial"/>
                <w:sz w:val="20"/>
                <w:szCs w:val="20"/>
              </w:rPr>
            </w:pPr>
            <w:r w:rsidRPr="009259D5">
              <w:rPr>
                <w:rStyle w:val="Strong"/>
                <w:rFonts w:ascii="Arial" w:hAnsi="Arial" w:cs="Arial"/>
                <w:sz w:val="20"/>
                <w:szCs w:val="20"/>
              </w:rPr>
              <w:t>26%</w:t>
            </w:r>
            <w:r w:rsidRPr="009259D5">
              <w:rPr>
                <w:rFonts w:ascii="Arial" w:hAnsi="Arial" w:cs="Arial"/>
                <w:sz w:val="20"/>
                <w:szCs w:val="20"/>
              </w:rPr>
              <w:t xml:space="preserve"> of PP pupils attend an after-school club</w:t>
            </w:r>
          </w:p>
          <w:p w:rsidR="009259D5" w:rsidRPr="009259D5" w:rsidRDefault="009259D5" w:rsidP="00003C1B">
            <w:pPr>
              <w:pStyle w:val="NormalWeb"/>
              <w:numPr>
                <w:ilvl w:val="0"/>
                <w:numId w:val="24"/>
              </w:numPr>
              <w:spacing w:before="0" w:beforeAutospacing="0" w:after="0" w:afterAutospacing="0"/>
              <w:rPr>
                <w:rFonts w:ascii="Arial" w:hAnsi="Arial" w:cs="Arial"/>
                <w:sz w:val="20"/>
                <w:szCs w:val="20"/>
              </w:rPr>
            </w:pPr>
            <w:r w:rsidRPr="009259D5">
              <w:rPr>
                <w:rStyle w:val="Strong"/>
                <w:rFonts w:ascii="Arial" w:hAnsi="Arial" w:cs="Arial"/>
                <w:sz w:val="20"/>
                <w:szCs w:val="20"/>
              </w:rPr>
              <w:t>33%</w:t>
            </w:r>
            <w:r w:rsidRPr="009259D5">
              <w:rPr>
                <w:rFonts w:ascii="Arial" w:hAnsi="Arial" w:cs="Arial"/>
                <w:sz w:val="20"/>
                <w:szCs w:val="20"/>
              </w:rPr>
              <w:t xml:space="preserve"> of non-PP pupils attend an after-school club</w:t>
            </w:r>
            <w:r w:rsidRPr="009259D5">
              <w:rPr>
                <w:rFonts w:ascii="Arial" w:hAnsi="Arial" w:cs="Arial"/>
                <w:sz w:val="20"/>
                <w:szCs w:val="20"/>
              </w:rPr>
              <w:br/>
              <w:t>This highlights reduced opportunities for enrichment and personal development.</w:t>
            </w:r>
          </w:p>
          <w:p w:rsidR="00301081" w:rsidRPr="009259D5" w:rsidRDefault="00301081" w:rsidP="009259D5">
            <w:pPr>
              <w:pStyle w:val="TableRowCentered"/>
              <w:ind w:left="0" w:right="0"/>
              <w:jc w:val="left"/>
              <w:rPr>
                <w:rFonts w:cs="Arial"/>
                <w:sz w:val="20"/>
              </w:rPr>
            </w:pPr>
          </w:p>
        </w:tc>
      </w:tr>
    </w:tbl>
    <w:p w:rsidR="00E66558" w:rsidRDefault="009D71E8">
      <w:pPr>
        <w:pStyle w:val="Heading2"/>
        <w:spacing w:before="600"/>
      </w:pPr>
      <w:r>
        <w:lastRenderedPageBreak/>
        <w:t xml:space="preserve">Intended </w:t>
      </w:r>
      <w:r w:rsidRPr="00A968DA">
        <w:t>outcomes</w:t>
      </w:r>
      <w:r>
        <w:t xml:space="preserve"> </w:t>
      </w:r>
    </w:p>
    <w:p w:rsidR="00E66558" w:rsidRPr="00003C1B" w:rsidRDefault="009D71E8">
      <w:pPr>
        <w:rPr>
          <w:sz w:val="20"/>
          <w:szCs w:val="20"/>
        </w:rPr>
      </w:pPr>
      <w:r w:rsidRPr="00003C1B">
        <w:rPr>
          <w:color w:val="auto"/>
          <w:sz w:val="20"/>
          <w:szCs w:val="20"/>
        </w:rPr>
        <w:t xml:space="preserve">This explains the outcomes we are aiming for </w:t>
      </w:r>
      <w:r w:rsidRPr="00003C1B">
        <w:rPr>
          <w:b/>
          <w:bCs/>
          <w:color w:val="auto"/>
          <w:sz w:val="20"/>
          <w:szCs w:val="20"/>
        </w:rPr>
        <w:t>by the end of our current strategy plan</w:t>
      </w:r>
      <w:r w:rsidRPr="00003C1B">
        <w:rPr>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957"/>
        <w:gridCol w:w="5499"/>
      </w:tblGrid>
      <w:tr w:rsidR="00E66558" w:rsidTr="00EE5816">
        <w:tc>
          <w:tcPr>
            <w:tcW w:w="495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E66558" w:rsidRDefault="009D71E8" w:rsidP="00C31636">
            <w:pPr>
              <w:pStyle w:val="TableHeader"/>
              <w:ind w:left="0" w:right="0"/>
              <w:jc w:val="left"/>
            </w:pPr>
            <w:r>
              <w:t>Intended outcome</w:t>
            </w:r>
          </w:p>
        </w:tc>
        <w:tc>
          <w:tcPr>
            <w:tcW w:w="549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E66558" w:rsidRDefault="009D71E8" w:rsidP="00C31636">
            <w:pPr>
              <w:pStyle w:val="TableHeader"/>
              <w:ind w:left="0" w:right="0"/>
              <w:jc w:val="left"/>
            </w:pPr>
            <w:r>
              <w:t>Success criteria</w:t>
            </w:r>
          </w:p>
        </w:tc>
      </w:tr>
      <w:tr w:rsidR="00E66558" w:rsidTr="00EE5816">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E5816" w:rsidRDefault="00771902" w:rsidP="00771902">
            <w:pPr>
              <w:suppressAutoHyphens w:val="0"/>
              <w:autoSpaceDN/>
              <w:spacing w:before="100" w:beforeAutospacing="1" w:after="100" w:afterAutospacing="1" w:line="240" w:lineRule="auto"/>
              <w:rPr>
                <w:rFonts w:cs="Arial"/>
                <w:sz w:val="20"/>
                <w:szCs w:val="20"/>
              </w:rPr>
            </w:pPr>
            <w:r w:rsidRPr="00EE5816">
              <w:rPr>
                <w:rFonts w:cs="Arial"/>
                <w:sz w:val="20"/>
                <w:szCs w:val="20"/>
              </w:rPr>
              <w:t>Attendance of PP pupils improves, and persistent absence is significantly reduced, narrowing the gap with non-PP peers.</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902" w:rsidRPr="00EE5816" w:rsidRDefault="00771902" w:rsidP="00771902">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PP attendance improves from 80.6% to </w:t>
            </w:r>
            <w:r w:rsidRPr="00EE5816">
              <w:rPr>
                <w:rFonts w:cs="Arial"/>
                <w:b/>
                <w:bCs/>
                <w:color w:val="auto"/>
                <w:sz w:val="20"/>
                <w:szCs w:val="20"/>
              </w:rPr>
              <w:t>92%+</w:t>
            </w:r>
            <w:r w:rsidRPr="00EE5816">
              <w:rPr>
                <w:rFonts w:cs="Arial"/>
                <w:color w:val="auto"/>
                <w:sz w:val="20"/>
                <w:szCs w:val="20"/>
              </w:rPr>
              <w:t xml:space="preserve"> within 3 years.</w:t>
            </w:r>
          </w:p>
          <w:p w:rsidR="00E66558" w:rsidRPr="00EE5816" w:rsidRDefault="00771902"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Persistent absence for PP pupils reduces from 28% to below </w:t>
            </w:r>
            <w:r w:rsidRPr="00EE5816">
              <w:rPr>
                <w:rFonts w:cs="Arial"/>
                <w:b/>
                <w:bCs/>
                <w:color w:val="auto"/>
                <w:sz w:val="20"/>
                <w:szCs w:val="20"/>
              </w:rPr>
              <w:t>15%</w:t>
            </w:r>
            <w:r w:rsidRPr="00EE5816">
              <w:rPr>
                <w:rFonts w:cs="Arial"/>
                <w:color w:val="auto"/>
                <w:sz w:val="20"/>
                <w:szCs w:val="20"/>
              </w:rPr>
              <w:t>, m</w:t>
            </w:r>
            <w:r w:rsidR="00353E77" w:rsidRPr="00EE5816">
              <w:rPr>
                <w:rFonts w:cs="Arial"/>
                <w:color w:val="auto"/>
                <w:sz w:val="20"/>
                <w:szCs w:val="20"/>
              </w:rPr>
              <w:t>oving closer to the non-PP rate.</w:t>
            </w:r>
          </w:p>
        </w:tc>
      </w:tr>
      <w:tr w:rsidR="00E66558" w:rsidTr="00EE5816">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E5816" w:rsidRDefault="00353E77" w:rsidP="00C31636">
            <w:pPr>
              <w:pStyle w:val="TableRow"/>
              <w:ind w:left="0" w:right="0"/>
              <w:rPr>
                <w:sz w:val="20"/>
                <w:szCs w:val="20"/>
              </w:rPr>
            </w:pPr>
            <w:r w:rsidRPr="00EE5816">
              <w:rPr>
                <w:sz w:val="20"/>
                <w:szCs w:val="20"/>
              </w:rPr>
              <w:t>PP pupils achieve higher outcomes in Reading, with a reduced attainment gap and improved fluency and comprehension.</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 Proportion of PP pupils achieving EXS+ in Reading rises from 46% to </w:t>
            </w:r>
            <w:r w:rsidRPr="00EE5816">
              <w:rPr>
                <w:rFonts w:cs="Arial"/>
                <w:b/>
                <w:bCs/>
                <w:color w:val="auto"/>
                <w:sz w:val="20"/>
                <w:szCs w:val="20"/>
              </w:rPr>
              <w:t>65%+</w:t>
            </w:r>
            <w:r w:rsidRPr="00EE5816">
              <w:rPr>
                <w:rFonts w:cs="Arial"/>
                <w:color w:val="auto"/>
                <w:sz w:val="20"/>
                <w:szCs w:val="20"/>
              </w:rPr>
              <w:t xml:space="preserve"> within 3 years.</w:t>
            </w:r>
          </w:p>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The Reading attainment gap between PP and non-PP reduces from 26 percentage points to below </w:t>
            </w:r>
            <w:r w:rsidRPr="00EE5816">
              <w:rPr>
                <w:rFonts w:cs="Arial"/>
                <w:b/>
                <w:bCs/>
                <w:color w:val="auto"/>
                <w:sz w:val="20"/>
                <w:szCs w:val="20"/>
              </w:rPr>
              <w:t xml:space="preserve">10 points </w:t>
            </w:r>
            <w:r w:rsidRPr="00EE5816">
              <w:rPr>
                <w:rFonts w:cs="Arial"/>
                <w:bCs/>
                <w:color w:val="auto"/>
                <w:sz w:val="20"/>
                <w:szCs w:val="20"/>
              </w:rPr>
              <w:t>within 3 years</w:t>
            </w:r>
            <w:r w:rsidRPr="00EE5816">
              <w:rPr>
                <w:rFonts w:cs="Arial"/>
                <w:color w:val="auto"/>
                <w:sz w:val="20"/>
                <w:szCs w:val="20"/>
              </w:rPr>
              <w:t>.</w:t>
            </w:r>
          </w:p>
          <w:p w:rsidR="00E66558" w:rsidRPr="00EE5816" w:rsidRDefault="00353E77" w:rsidP="00EE5816">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Reading fluency assessments (Reading Plus) show PP pupils progress on average at least 0.5 points in fluency and comprehension</w:t>
            </w:r>
          </w:p>
        </w:tc>
      </w:tr>
      <w:tr w:rsidR="00E66558" w:rsidTr="00EE5816">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E5816" w:rsidRDefault="00353E77" w:rsidP="00C31636">
            <w:pPr>
              <w:pStyle w:val="TableRow"/>
              <w:ind w:left="0" w:right="0"/>
              <w:rPr>
                <w:sz w:val="20"/>
                <w:szCs w:val="20"/>
              </w:rPr>
            </w:pPr>
            <w:r w:rsidRPr="00EE5816">
              <w:rPr>
                <w:sz w:val="20"/>
                <w:szCs w:val="20"/>
              </w:rPr>
              <w:t>PP pupils with SEND receive effective support, enabling them to make accelerated progress and narrow the attainment gap with non-PP SEND pupils.</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The gap between PP SEND and non-PP SEND pupils achieving EXS+ in Reading reduces from 12 percentage points to below </w:t>
            </w:r>
            <w:r w:rsidRPr="00EE5816">
              <w:rPr>
                <w:rFonts w:cs="Arial"/>
                <w:b/>
                <w:bCs/>
                <w:color w:val="auto"/>
                <w:sz w:val="20"/>
                <w:szCs w:val="20"/>
              </w:rPr>
              <w:t>5 points</w:t>
            </w:r>
            <w:r w:rsidRPr="00EE5816">
              <w:rPr>
                <w:rFonts w:cs="Arial"/>
                <w:color w:val="auto"/>
                <w:sz w:val="20"/>
                <w:szCs w:val="20"/>
              </w:rPr>
              <w:t>.</w:t>
            </w:r>
          </w:p>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All PP SEND pupils meet or exceed their individual progress targets in Reading, Writing, and Maths.</w:t>
            </w:r>
          </w:p>
          <w:p w:rsidR="00E66558" w:rsidRPr="00EE5816" w:rsidRDefault="00353E77" w:rsidP="00EE5816">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Classroom observations and work scrutiny show high-quality differentiation is consistently in place.</w:t>
            </w:r>
          </w:p>
        </w:tc>
      </w:tr>
      <w:tr w:rsidR="00E66558" w:rsidTr="00EE5816">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E77" w:rsidRPr="00EE5816" w:rsidRDefault="00353E77" w:rsidP="00C31636">
            <w:pPr>
              <w:pStyle w:val="TableRow"/>
              <w:ind w:left="0" w:right="0"/>
              <w:rPr>
                <w:sz w:val="20"/>
                <w:szCs w:val="20"/>
              </w:rPr>
            </w:pPr>
            <w:r w:rsidRPr="00EE5816">
              <w:rPr>
                <w:sz w:val="20"/>
                <w:szCs w:val="20"/>
              </w:rPr>
              <w:t>More PP pupils achieve Greater Depth in Reading and Maths, raising aspirations and closing the GDS gap with peers.</w:t>
            </w:r>
          </w:p>
          <w:p w:rsidR="00353E77" w:rsidRPr="00EE5816" w:rsidRDefault="00353E77" w:rsidP="00353E77">
            <w:pPr>
              <w:rPr>
                <w:sz w:val="20"/>
                <w:szCs w:val="20"/>
              </w:rPr>
            </w:pPr>
          </w:p>
          <w:p w:rsidR="00353E77" w:rsidRPr="00EE5816" w:rsidRDefault="00353E77" w:rsidP="00353E77">
            <w:pPr>
              <w:rPr>
                <w:sz w:val="20"/>
                <w:szCs w:val="20"/>
              </w:rPr>
            </w:pPr>
          </w:p>
          <w:p w:rsidR="00E66558" w:rsidRPr="00EE5816" w:rsidRDefault="00353E77" w:rsidP="00353E77">
            <w:pPr>
              <w:tabs>
                <w:tab w:val="left" w:pos="3719"/>
              </w:tabs>
              <w:rPr>
                <w:sz w:val="20"/>
                <w:szCs w:val="20"/>
              </w:rPr>
            </w:pPr>
            <w:r w:rsidRPr="00EE5816">
              <w:rPr>
                <w:sz w:val="20"/>
                <w:szCs w:val="20"/>
              </w:rPr>
              <w:tab/>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Proportion of PP pupils achieving GDS in Reading increases from 0% to </w:t>
            </w:r>
            <w:r w:rsidRPr="00EE5816">
              <w:rPr>
                <w:rFonts w:cs="Arial"/>
                <w:b/>
                <w:bCs/>
                <w:color w:val="auto"/>
                <w:sz w:val="20"/>
                <w:szCs w:val="20"/>
              </w:rPr>
              <w:t>15%+</w:t>
            </w:r>
            <w:r w:rsidRPr="00EE5816">
              <w:rPr>
                <w:rFonts w:cs="Arial"/>
                <w:color w:val="auto"/>
                <w:sz w:val="20"/>
                <w:szCs w:val="20"/>
              </w:rPr>
              <w:t xml:space="preserve"> within 3 years.</w:t>
            </w:r>
          </w:p>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Proportion of PP pupils achieving GDS in Maths rises to </w:t>
            </w:r>
            <w:r w:rsidRPr="00EE5816">
              <w:rPr>
                <w:rFonts w:cs="Arial"/>
                <w:b/>
                <w:bCs/>
                <w:color w:val="auto"/>
                <w:sz w:val="20"/>
                <w:szCs w:val="20"/>
              </w:rPr>
              <w:t>10%+</w:t>
            </w:r>
            <w:r w:rsidRPr="00EE5816">
              <w:rPr>
                <w:rFonts w:cs="Arial"/>
                <w:color w:val="auto"/>
                <w:sz w:val="20"/>
                <w:szCs w:val="20"/>
              </w:rPr>
              <w:t xml:space="preserve"> within 3 years.</w:t>
            </w:r>
          </w:p>
          <w:p w:rsidR="00E66558" w:rsidRPr="00EE5816" w:rsidRDefault="00353E77" w:rsidP="00EE5816">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Gap between PP </w:t>
            </w:r>
            <w:r w:rsidR="00EE5816" w:rsidRPr="00EE5816">
              <w:rPr>
                <w:rFonts w:cs="Arial"/>
                <w:color w:val="auto"/>
                <w:sz w:val="20"/>
                <w:szCs w:val="20"/>
              </w:rPr>
              <w:t xml:space="preserve">and non-PP pupils achieving GDS </w:t>
            </w:r>
            <w:r w:rsidRPr="00EE5816">
              <w:rPr>
                <w:rFonts w:cs="Arial"/>
                <w:color w:val="auto"/>
                <w:sz w:val="20"/>
                <w:szCs w:val="20"/>
              </w:rPr>
              <w:t>reduces by at least 35</w:t>
            </w:r>
            <w:r w:rsidRPr="00EE5816">
              <w:rPr>
                <w:rFonts w:cs="Arial"/>
                <w:b/>
                <w:bCs/>
                <w:color w:val="auto"/>
                <w:sz w:val="20"/>
                <w:szCs w:val="20"/>
              </w:rPr>
              <w:t>%</w:t>
            </w:r>
            <w:r w:rsidRPr="00EE5816">
              <w:rPr>
                <w:rFonts w:cs="Arial"/>
                <w:color w:val="auto"/>
                <w:sz w:val="20"/>
                <w:szCs w:val="20"/>
              </w:rPr>
              <w:t>.</w:t>
            </w:r>
          </w:p>
        </w:tc>
      </w:tr>
      <w:tr w:rsidR="00353E77" w:rsidTr="00EE5816">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E77" w:rsidRPr="00EE5816" w:rsidRDefault="00353E77" w:rsidP="00C31636">
            <w:pPr>
              <w:pStyle w:val="TableRow"/>
              <w:ind w:left="0" w:right="0"/>
              <w:rPr>
                <w:rFonts w:cs="Arial"/>
                <w:sz w:val="20"/>
                <w:szCs w:val="20"/>
              </w:rPr>
            </w:pPr>
            <w:r w:rsidRPr="00EE5816">
              <w:rPr>
                <w:rFonts w:cs="Arial"/>
                <w:sz w:val="20"/>
                <w:szCs w:val="20"/>
              </w:rPr>
              <w:t>Improved parental engagement with school, ensuring stronger home–school partnerships and full take-up of FSM entitlement.</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At least </w:t>
            </w:r>
            <w:r w:rsidRPr="00EE5816">
              <w:rPr>
                <w:rFonts w:cs="Arial"/>
                <w:b/>
                <w:bCs/>
                <w:color w:val="auto"/>
                <w:sz w:val="20"/>
                <w:szCs w:val="20"/>
              </w:rPr>
              <w:t>50% of PP families</w:t>
            </w:r>
            <w:r w:rsidRPr="00EE5816">
              <w:rPr>
                <w:rFonts w:cs="Arial"/>
                <w:color w:val="auto"/>
                <w:sz w:val="20"/>
                <w:szCs w:val="20"/>
              </w:rPr>
              <w:t xml:space="preserve"> attend ‘meet the teacher’ events within 2 years</w:t>
            </w:r>
          </w:p>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FSM take-up for eligible pupils reaches </w:t>
            </w:r>
            <w:r w:rsidRPr="00EE5816">
              <w:rPr>
                <w:rFonts w:cs="Arial"/>
                <w:b/>
                <w:bCs/>
                <w:color w:val="auto"/>
                <w:sz w:val="20"/>
                <w:szCs w:val="20"/>
              </w:rPr>
              <w:t>100%</w:t>
            </w:r>
            <w:r w:rsidRPr="00EE5816">
              <w:rPr>
                <w:rFonts w:cs="Arial"/>
                <w:color w:val="auto"/>
                <w:sz w:val="20"/>
                <w:szCs w:val="20"/>
              </w:rPr>
              <w:t>.</w:t>
            </w:r>
          </w:p>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Parent surveys show at least </w:t>
            </w:r>
            <w:r w:rsidRPr="00EE5816">
              <w:rPr>
                <w:rFonts w:cs="Arial"/>
                <w:b/>
                <w:bCs/>
                <w:color w:val="auto"/>
                <w:sz w:val="20"/>
                <w:szCs w:val="20"/>
              </w:rPr>
              <w:t>80% of PP parents</w:t>
            </w:r>
            <w:r w:rsidRPr="00EE5816">
              <w:rPr>
                <w:rFonts w:cs="Arial"/>
                <w:color w:val="auto"/>
                <w:sz w:val="20"/>
                <w:szCs w:val="20"/>
              </w:rPr>
              <w:t xml:space="preserve"> feel confident in supporting their child’s learning at home.</w:t>
            </w:r>
          </w:p>
        </w:tc>
      </w:tr>
      <w:tr w:rsidR="00353E77" w:rsidTr="00EE5816">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E77" w:rsidRPr="00EE5816" w:rsidRDefault="00353E77" w:rsidP="00C31636">
            <w:pPr>
              <w:pStyle w:val="TableRow"/>
              <w:ind w:left="0" w:right="0"/>
              <w:rPr>
                <w:rFonts w:cs="Arial"/>
                <w:sz w:val="20"/>
                <w:szCs w:val="20"/>
              </w:rPr>
            </w:pPr>
            <w:r w:rsidRPr="00EE5816">
              <w:rPr>
                <w:rFonts w:cs="Arial"/>
                <w:sz w:val="20"/>
                <w:szCs w:val="20"/>
              </w:rPr>
              <w:t>PP pupils have equal access to resources, enrichment, and support, enabling improved stability, wellbeing, and learning outcomes.</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E77" w:rsidRPr="00EE5816" w:rsidRDefault="00353E77" w:rsidP="00353E77">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Participation in enrichment/after-school clubs for PP pupils increases from 26% to </w:t>
            </w:r>
            <w:r w:rsidRPr="00EE5816">
              <w:rPr>
                <w:rFonts w:cs="Arial"/>
                <w:b/>
                <w:bCs/>
                <w:color w:val="auto"/>
                <w:sz w:val="20"/>
                <w:szCs w:val="20"/>
              </w:rPr>
              <w:t>40%+</w:t>
            </w:r>
            <w:r w:rsidRPr="00EE5816">
              <w:rPr>
                <w:rFonts w:cs="Arial"/>
                <w:color w:val="auto"/>
                <w:sz w:val="20"/>
                <w:szCs w:val="20"/>
              </w:rPr>
              <w:t>.</w:t>
            </w:r>
          </w:p>
          <w:p w:rsidR="00353E77" w:rsidRPr="00EE5816" w:rsidRDefault="00343373" w:rsidP="00343373">
            <w:pPr>
              <w:suppressAutoHyphens w:val="0"/>
              <w:autoSpaceDN/>
              <w:spacing w:before="100" w:beforeAutospacing="1" w:after="100" w:afterAutospacing="1" w:line="240" w:lineRule="auto"/>
              <w:rPr>
                <w:rFonts w:cs="Arial"/>
                <w:color w:val="auto"/>
                <w:sz w:val="20"/>
                <w:szCs w:val="20"/>
              </w:rPr>
            </w:pPr>
            <w:r w:rsidRPr="00EE5816">
              <w:rPr>
                <w:rFonts w:cs="Arial"/>
                <w:color w:val="auto"/>
                <w:sz w:val="20"/>
                <w:szCs w:val="20"/>
              </w:rPr>
              <w:t xml:space="preserve">New starter inductions are more robust so that pupils make strong starts </w:t>
            </w:r>
          </w:p>
        </w:tc>
      </w:tr>
    </w:tbl>
    <w:p w:rsidR="004C36E6" w:rsidRDefault="004C36E6">
      <w:pPr>
        <w:pStyle w:val="Heading2"/>
        <w:rPr>
          <w:sz w:val="20"/>
          <w:szCs w:val="20"/>
        </w:rPr>
      </w:pPr>
    </w:p>
    <w:p w:rsidR="00E66558" w:rsidRPr="00003C1B" w:rsidRDefault="009D71E8">
      <w:pPr>
        <w:pStyle w:val="Heading2"/>
        <w:rPr>
          <w:sz w:val="20"/>
          <w:szCs w:val="20"/>
        </w:rPr>
      </w:pPr>
      <w:r w:rsidRPr="00003C1B">
        <w:rPr>
          <w:sz w:val="20"/>
          <w:szCs w:val="20"/>
        </w:rPr>
        <w:t>Activity in this academic year</w:t>
      </w:r>
    </w:p>
    <w:p w:rsidR="00E66558" w:rsidRPr="00003C1B" w:rsidRDefault="009D71E8">
      <w:pPr>
        <w:spacing w:after="480"/>
        <w:rPr>
          <w:sz w:val="20"/>
          <w:szCs w:val="20"/>
        </w:rPr>
      </w:pPr>
      <w:r w:rsidRPr="00003C1B">
        <w:rPr>
          <w:sz w:val="20"/>
          <w:szCs w:val="20"/>
        </w:rPr>
        <w:t xml:space="preserve">This details how we intend to spend our pupil premium funding </w:t>
      </w:r>
      <w:r w:rsidRPr="00003C1B">
        <w:rPr>
          <w:b/>
          <w:bCs/>
          <w:sz w:val="20"/>
          <w:szCs w:val="20"/>
        </w:rPr>
        <w:t>this academic year</w:t>
      </w:r>
      <w:r w:rsidRPr="00003C1B">
        <w:rPr>
          <w:sz w:val="20"/>
          <w:szCs w:val="20"/>
        </w:rPr>
        <w:t xml:space="preserve"> to address the challenges listed above.</w:t>
      </w:r>
    </w:p>
    <w:p w:rsidR="00E66558" w:rsidRPr="00003C1B" w:rsidRDefault="009D71E8">
      <w:pPr>
        <w:pStyle w:val="Heading3"/>
        <w:rPr>
          <w:sz w:val="20"/>
          <w:szCs w:val="20"/>
        </w:rPr>
      </w:pPr>
      <w:r w:rsidRPr="00003C1B">
        <w:rPr>
          <w:sz w:val="20"/>
          <w:szCs w:val="20"/>
        </w:rPr>
        <w:t>Teaching (for example, CPD, recruitment and retention)</w:t>
      </w:r>
    </w:p>
    <w:p w:rsidR="00E66558" w:rsidRPr="00003C1B" w:rsidRDefault="009D71E8">
      <w:pPr>
        <w:rPr>
          <w:i/>
          <w:iCs/>
          <w:sz w:val="20"/>
          <w:szCs w:val="20"/>
        </w:rPr>
      </w:pPr>
      <w:r w:rsidRPr="00003C1B">
        <w:rPr>
          <w:sz w:val="20"/>
          <w:szCs w:val="20"/>
        </w:rPr>
        <w:t xml:space="preserve">Budgeted cost: £ </w:t>
      </w:r>
      <w:r w:rsidR="004E21FE">
        <w:rPr>
          <w:sz w:val="20"/>
          <w:szCs w:val="20"/>
        </w:rPr>
        <w:t>2</w:t>
      </w:r>
      <w:r w:rsidR="004E21FE">
        <w:rPr>
          <w:i/>
          <w:iCs/>
          <w:sz w:val="20"/>
          <w:szCs w:val="20"/>
        </w:rPr>
        <w:t>4000</w:t>
      </w:r>
    </w:p>
    <w:tbl>
      <w:tblPr>
        <w:tblStyle w:val="TableGrid"/>
        <w:tblpPr w:leftFromText="180" w:rightFromText="180" w:vertAnchor="text" w:horzAnchor="margin" w:tblpY="223"/>
        <w:tblW w:w="4839" w:type="pct"/>
        <w:tblLayout w:type="fixed"/>
        <w:tblLook w:val="04A0" w:firstRow="1" w:lastRow="0" w:firstColumn="1" w:lastColumn="0" w:noHBand="0" w:noVBand="1"/>
      </w:tblPr>
      <w:tblGrid>
        <w:gridCol w:w="3681"/>
        <w:gridCol w:w="4243"/>
        <w:gridCol w:w="2195"/>
      </w:tblGrid>
      <w:tr w:rsidR="00A512A1" w:rsidTr="00A512A1">
        <w:trPr>
          <w:trHeight w:val="925"/>
        </w:trPr>
        <w:tc>
          <w:tcPr>
            <w:tcW w:w="3681" w:type="dxa"/>
          </w:tcPr>
          <w:p w:rsidR="00A512A1" w:rsidRPr="00A512A1" w:rsidRDefault="00A512A1" w:rsidP="00A512A1">
            <w:pPr>
              <w:pStyle w:val="TableHeader"/>
              <w:ind w:left="0" w:right="0"/>
              <w:jc w:val="left"/>
              <w:rPr>
                <w:sz w:val="20"/>
                <w:szCs w:val="20"/>
              </w:rPr>
            </w:pPr>
            <w:r w:rsidRPr="00A512A1">
              <w:rPr>
                <w:sz w:val="20"/>
                <w:szCs w:val="20"/>
              </w:rPr>
              <w:t>Activity</w:t>
            </w:r>
          </w:p>
        </w:tc>
        <w:tc>
          <w:tcPr>
            <w:tcW w:w="4243" w:type="dxa"/>
          </w:tcPr>
          <w:p w:rsidR="00A512A1" w:rsidRPr="00A512A1" w:rsidRDefault="00A512A1" w:rsidP="00A512A1">
            <w:pPr>
              <w:pStyle w:val="TableHeader"/>
              <w:ind w:left="0" w:right="0"/>
              <w:jc w:val="left"/>
              <w:rPr>
                <w:sz w:val="20"/>
                <w:szCs w:val="20"/>
              </w:rPr>
            </w:pPr>
            <w:r w:rsidRPr="00A512A1">
              <w:rPr>
                <w:sz w:val="20"/>
                <w:szCs w:val="20"/>
              </w:rPr>
              <w:t>Evidence that supports this approach</w:t>
            </w:r>
          </w:p>
        </w:tc>
        <w:tc>
          <w:tcPr>
            <w:tcW w:w="2195" w:type="dxa"/>
          </w:tcPr>
          <w:p w:rsidR="00A512A1" w:rsidRPr="00A512A1" w:rsidRDefault="00A512A1" w:rsidP="00A512A1">
            <w:pPr>
              <w:pStyle w:val="TableHeader"/>
              <w:ind w:left="0" w:right="0"/>
              <w:jc w:val="left"/>
              <w:rPr>
                <w:sz w:val="20"/>
                <w:szCs w:val="20"/>
              </w:rPr>
            </w:pPr>
            <w:r w:rsidRPr="00A512A1">
              <w:rPr>
                <w:sz w:val="20"/>
                <w:szCs w:val="20"/>
              </w:rPr>
              <w:t>Challenge number(s) addressed</w:t>
            </w:r>
          </w:p>
        </w:tc>
      </w:tr>
      <w:tr w:rsidR="00A512A1" w:rsidRPr="00572FAB" w:rsidTr="003E1D08">
        <w:trPr>
          <w:trHeight w:val="1144"/>
        </w:trPr>
        <w:tc>
          <w:tcPr>
            <w:tcW w:w="3681" w:type="dxa"/>
            <w:shd w:val="clear" w:color="auto" w:fill="E5DFEC" w:themeFill="accent4" w:themeFillTint="33"/>
          </w:tcPr>
          <w:p w:rsidR="00A512A1" w:rsidRPr="00572FAB" w:rsidRDefault="00A512A1" w:rsidP="00A512A1">
            <w:pPr>
              <w:pStyle w:val="TableRow"/>
              <w:ind w:left="0" w:right="0"/>
              <w:rPr>
                <w:sz w:val="20"/>
                <w:szCs w:val="20"/>
              </w:rPr>
            </w:pPr>
            <w:r w:rsidRPr="00572FAB">
              <w:rPr>
                <w:sz w:val="20"/>
                <w:szCs w:val="20"/>
              </w:rPr>
              <w:t>Staff CPD on adaptive teaching, scaffolding, and mastery approaches.</w:t>
            </w:r>
          </w:p>
        </w:tc>
        <w:tc>
          <w:tcPr>
            <w:tcW w:w="4243" w:type="dxa"/>
            <w:shd w:val="clear" w:color="auto" w:fill="E5DFEC" w:themeFill="accent4" w:themeFillTint="33"/>
          </w:tcPr>
          <w:p w:rsidR="00A512A1" w:rsidRPr="00572FAB" w:rsidRDefault="00A512A1" w:rsidP="00A512A1">
            <w:pPr>
              <w:pStyle w:val="TableRowCentered"/>
              <w:ind w:left="0" w:right="0"/>
              <w:jc w:val="left"/>
              <w:rPr>
                <w:sz w:val="20"/>
              </w:rPr>
            </w:pPr>
            <w:r w:rsidRPr="003E1D08">
              <w:rPr>
                <w:rFonts w:cs="Arial"/>
                <w:color w:val="001D35"/>
                <w:sz w:val="20"/>
                <w:shd w:val="clear" w:color="auto" w:fill="E5DFEC" w:themeFill="accent4" w:themeFillTint="33"/>
              </w:rPr>
              <w:t>High-quality first teaching has a positive impact on Pupil Premium (PP) outcomes</w:t>
            </w:r>
            <w:r w:rsidRPr="00572FAB">
              <w:rPr>
                <w:rFonts w:cs="Arial"/>
                <w:color w:val="001D35"/>
                <w:sz w:val="20"/>
                <w:shd w:val="clear" w:color="auto" w:fill="FFFFFF"/>
              </w:rPr>
              <w:t xml:space="preserve"> </w:t>
            </w:r>
            <w:r w:rsidRPr="003E1D08">
              <w:rPr>
                <w:rFonts w:cs="Arial"/>
                <w:color w:val="001D35"/>
                <w:sz w:val="20"/>
                <w:shd w:val="clear" w:color="auto" w:fill="E5DFEC" w:themeFill="accent4" w:themeFillTint="33"/>
              </w:rPr>
              <w:t>by accelerating the progress of disadvantaged pupils and closing attainment gaps more effectively than other strategies. Research by the Education Endowment Foundation (EEF) shows that improving teaching quality has a significant and direct impact on disadvantaged children,</w:t>
            </w:r>
            <w:r w:rsidRPr="00572FAB">
              <w:rPr>
                <w:rFonts w:cs="Arial"/>
                <w:color w:val="001D35"/>
                <w:sz w:val="20"/>
                <w:shd w:val="clear" w:color="auto" w:fill="FFFFFF"/>
              </w:rPr>
              <w:t xml:space="preserve"> </w:t>
            </w:r>
            <w:r w:rsidRPr="003E1D08">
              <w:rPr>
                <w:rFonts w:cs="Arial"/>
                <w:color w:val="001D35"/>
                <w:sz w:val="20"/>
                <w:shd w:val="clear" w:color="auto" w:fill="E5DFEC" w:themeFill="accent4" w:themeFillTint="33"/>
              </w:rPr>
              <w:t xml:space="preserve">benefiting all students in the process. </w:t>
            </w:r>
            <w:r w:rsidRPr="003E1D08">
              <w:rPr>
                <w:rFonts w:cs="Arial"/>
                <w:color w:val="001D35"/>
                <w:spacing w:val="2"/>
                <w:sz w:val="20"/>
                <w:shd w:val="clear" w:color="auto" w:fill="E5DFEC" w:themeFill="accent4" w:themeFillTint="33"/>
              </w:rPr>
              <w:t>Research indicates that high-quality teaching can deliver an equivalent of 1.5 years of additional learning for disadvantaged pupils</w:t>
            </w:r>
          </w:p>
        </w:tc>
        <w:tc>
          <w:tcPr>
            <w:tcW w:w="2195" w:type="dxa"/>
            <w:shd w:val="clear" w:color="auto" w:fill="E5DFEC" w:themeFill="accent4" w:themeFillTint="33"/>
          </w:tcPr>
          <w:p w:rsidR="00A512A1" w:rsidRPr="00572FAB" w:rsidRDefault="00A512A1" w:rsidP="00A512A1">
            <w:pPr>
              <w:pStyle w:val="TableRowCentered"/>
              <w:ind w:left="0" w:right="0"/>
              <w:jc w:val="left"/>
              <w:rPr>
                <w:sz w:val="20"/>
              </w:rPr>
            </w:pPr>
            <w:r w:rsidRPr="00572FAB">
              <w:rPr>
                <w:sz w:val="20"/>
              </w:rPr>
              <w:t>2,3,4</w:t>
            </w:r>
          </w:p>
          <w:p w:rsidR="00A512A1" w:rsidRPr="00572FAB" w:rsidRDefault="00A512A1" w:rsidP="00A512A1">
            <w:pPr>
              <w:pStyle w:val="TableRowCentered"/>
              <w:ind w:left="0" w:right="0"/>
              <w:jc w:val="left"/>
              <w:rPr>
                <w:sz w:val="20"/>
              </w:rPr>
            </w:pPr>
          </w:p>
          <w:p w:rsidR="00A512A1" w:rsidRPr="00572FAB" w:rsidRDefault="00A512A1" w:rsidP="00A512A1">
            <w:pPr>
              <w:pStyle w:val="TableRowCentered"/>
              <w:ind w:left="0" w:right="0"/>
              <w:jc w:val="left"/>
              <w:rPr>
                <w:sz w:val="20"/>
              </w:rPr>
            </w:pPr>
          </w:p>
        </w:tc>
      </w:tr>
      <w:tr w:rsidR="00A512A1" w:rsidRPr="00572FAB" w:rsidTr="003E1D08">
        <w:trPr>
          <w:trHeight w:val="1808"/>
        </w:trPr>
        <w:tc>
          <w:tcPr>
            <w:tcW w:w="3681" w:type="dxa"/>
            <w:shd w:val="clear" w:color="auto" w:fill="E5DFEC" w:themeFill="accent4" w:themeFillTint="33"/>
          </w:tcPr>
          <w:p w:rsidR="00A512A1" w:rsidRPr="00572FAB" w:rsidRDefault="00A512A1" w:rsidP="00A512A1">
            <w:pPr>
              <w:pStyle w:val="TableRow"/>
              <w:ind w:left="0" w:right="0"/>
              <w:rPr>
                <w:sz w:val="20"/>
                <w:szCs w:val="20"/>
              </w:rPr>
            </w:pPr>
            <w:r w:rsidRPr="00572FAB">
              <w:rPr>
                <w:sz w:val="20"/>
                <w:szCs w:val="20"/>
              </w:rPr>
              <w:t>Invest in training for TAs to ensure they can deliver high-quality in-class support, including scaffolding, questioning, pre-teaching and feedback. Deploy TAs strategically to work with PP pupils, focusi</w:t>
            </w:r>
            <w:r>
              <w:rPr>
                <w:sz w:val="20"/>
                <w:szCs w:val="20"/>
              </w:rPr>
              <w:t>ng on individual learning needs</w:t>
            </w:r>
          </w:p>
        </w:tc>
        <w:tc>
          <w:tcPr>
            <w:tcW w:w="4243" w:type="dxa"/>
            <w:shd w:val="clear" w:color="auto" w:fill="E5DFEC" w:themeFill="accent4" w:themeFillTint="33"/>
          </w:tcPr>
          <w:p w:rsidR="00A512A1" w:rsidRPr="00572FAB" w:rsidRDefault="004E21FE" w:rsidP="00A512A1">
            <w:pPr>
              <w:pStyle w:val="TableRowCentered"/>
              <w:ind w:left="0" w:right="0"/>
              <w:jc w:val="left"/>
              <w:rPr>
                <w:sz w:val="20"/>
              </w:rPr>
            </w:pPr>
            <w:hyperlink r:id="rId8" w:history="1">
              <w:r w:rsidR="00A512A1" w:rsidRPr="00572FAB">
                <w:rPr>
                  <w:rStyle w:val="Hyperlink"/>
                  <w:sz w:val="20"/>
                </w:rPr>
                <w:t>https://educationendowmentfoundation.org.uk/education-evidence/teaching-learning-toolkit/teaching-assistant-interventions</w:t>
              </w:r>
            </w:hyperlink>
          </w:p>
          <w:p w:rsidR="00A512A1" w:rsidRPr="00572FAB" w:rsidRDefault="00A512A1" w:rsidP="00A512A1">
            <w:pPr>
              <w:pStyle w:val="TableRowCentered"/>
              <w:ind w:left="0" w:right="0"/>
              <w:jc w:val="left"/>
              <w:rPr>
                <w:rFonts w:cs="Arial"/>
                <w:color w:val="001D35"/>
                <w:sz w:val="20"/>
                <w:shd w:val="clear" w:color="auto" w:fill="FFFFFF"/>
              </w:rPr>
            </w:pPr>
            <w:r w:rsidRPr="00572FAB">
              <w:rPr>
                <w:sz w:val="20"/>
              </w:rPr>
              <w:t>+ 4 months</w:t>
            </w:r>
          </w:p>
        </w:tc>
        <w:tc>
          <w:tcPr>
            <w:tcW w:w="2195" w:type="dxa"/>
            <w:shd w:val="clear" w:color="auto" w:fill="E5DFEC" w:themeFill="accent4" w:themeFillTint="33"/>
          </w:tcPr>
          <w:p w:rsidR="00A512A1" w:rsidRPr="00572FAB" w:rsidRDefault="00A512A1" w:rsidP="00A512A1">
            <w:pPr>
              <w:pStyle w:val="TableRowCentered"/>
              <w:ind w:left="0" w:right="0"/>
              <w:jc w:val="left"/>
              <w:rPr>
                <w:sz w:val="20"/>
              </w:rPr>
            </w:pPr>
            <w:r w:rsidRPr="00572FAB">
              <w:rPr>
                <w:sz w:val="20"/>
              </w:rPr>
              <w:t>2,3,4</w:t>
            </w:r>
          </w:p>
          <w:p w:rsidR="00A512A1" w:rsidRPr="00572FAB" w:rsidRDefault="00A512A1" w:rsidP="00A512A1">
            <w:pPr>
              <w:pStyle w:val="TableRowCentered"/>
              <w:ind w:left="0" w:right="0"/>
              <w:jc w:val="left"/>
              <w:rPr>
                <w:sz w:val="20"/>
              </w:rPr>
            </w:pPr>
          </w:p>
        </w:tc>
      </w:tr>
      <w:tr w:rsidR="00A512A1" w:rsidRPr="00572FAB" w:rsidTr="003E1D08">
        <w:trPr>
          <w:trHeight w:val="1241"/>
        </w:trPr>
        <w:tc>
          <w:tcPr>
            <w:tcW w:w="3681" w:type="dxa"/>
            <w:shd w:val="clear" w:color="auto" w:fill="E5DFEC" w:themeFill="accent4" w:themeFillTint="33"/>
          </w:tcPr>
          <w:p w:rsidR="00A512A1" w:rsidRPr="00572FAB" w:rsidRDefault="00A512A1" w:rsidP="00A512A1">
            <w:pPr>
              <w:pStyle w:val="TableRow"/>
              <w:ind w:left="0" w:right="0"/>
              <w:rPr>
                <w:sz w:val="20"/>
                <w:szCs w:val="20"/>
              </w:rPr>
            </w:pPr>
            <w:r w:rsidRPr="00572FAB">
              <w:rPr>
                <w:sz w:val="20"/>
                <w:szCs w:val="20"/>
              </w:rPr>
              <w:t xml:space="preserve">Whole staff CPD on ‘Executive Functioning’ to focus on how to overcome barriers to learning. </w:t>
            </w:r>
          </w:p>
        </w:tc>
        <w:tc>
          <w:tcPr>
            <w:tcW w:w="4243" w:type="dxa"/>
            <w:shd w:val="clear" w:color="auto" w:fill="E5DFEC" w:themeFill="accent4" w:themeFillTint="33"/>
          </w:tcPr>
          <w:p w:rsidR="00A512A1" w:rsidRPr="00572FAB" w:rsidRDefault="00A512A1" w:rsidP="00A512A1">
            <w:pPr>
              <w:pStyle w:val="TableRowCentered"/>
              <w:ind w:left="0" w:right="0"/>
              <w:jc w:val="left"/>
              <w:rPr>
                <w:sz w:val="20"/>
              </w:rPr>
            </w:pPr>
            <w:r w:rsidRPr="003E1D08">
              <w:rPr>
                <w:rFonts w:cs="Arial"/>
                <w:color w:val="001D35"/>
                <w:sz w:val="20"/>
                <w:shd w:val="clear" w:color="auto" w:fill="E5DFEC" w:themeFill="accent4" w:themeFillTint="33"/>
              </w:rPr>
              <w:t>Research by the Education Endowment</w:t>
            </w:r>
            <w:r w:rsidRPr="00572FAB">
              <w:rPr>
                <w:rFonts w:cs="Arial"/>
                <w:color w:val="001D35"/>
                <w:sz w:val="20"/>
                <w:shd w:val="clear" w:color="auto" w:fill="FFFFFF"/>
              </w:rPr>
              <w:t xml:space="preserve"> </w:t>
            </w:r>
            <w:r w:rsidRPr="003E1D08">
              <w:rPr>
                <w:rFonts w:cs="Arial"/>
                <w:color w:val="001D35"/>
                <w:sz w:val="20"/>
                <w:shd w:val="clear" w:color="auto" w:fill="E5DFEC" w:themeFill="accent4" w:themeFillTint="33"/>
              </w:rPr>
              <w:t>Foundation (EEF) about improving Quality</w:t>
            </w:r>
            <w:r w:rsidRPr="00572FAB">
              <w:rPr>
                <w:rFonts w:cs="Arial"/>
                <w:color w:val="001D35"/>
                <w:sz w:val="20"/>
                <w:shd w:val="clear" w:color="auto" w:fill="FFFFFF"/>
              </w:rPr>
              <w:t xml:space="preserve"> </w:t>
            </w:r>
            <w:r w:rsidRPr="003E1D08">
              <w:rPr>
                <w:rFonts w:cs="Arial"/>
                <w:color w:val="001D35"/>
                <w:sz w:val="20"/>
                <w:shd w:val="clear" w:color="auto" w:fill="E5DFEC" w:themeFill="accent4" w:themeFillTint="33"/>
              </w:rPr>
              <w:t>First Teaching</w:t>
            </w:r>
          </w:p>
        </w:tc>
        <w:tc>
          <w:tcPr>
            <w:tcW w:w="2195" w:type="dxa"/>
            <w:shd w:val="clear" w:color="auto" w:fill="E5DFEC" w:themeFill="accent4" w:themeFillTint="33"/>
          </w:tcPr>
          <w:p w:rsidR="00A512A1" w:rsidRPr="00572FAB" w:rsidRDefault="00A512A1" w:rsidP="00A512A1">
            <w:pPr>
              <w:pStyle w:val="TableRowCentered"/>
              <w:ind w:left="0" w:right="0"/>
              <w:jc w:val="left"/>
              <w:rPr>
                <w:sz w:val="20"/>
              </w:rPr>
            </w:pPr>
            <w:r w:rsidRPr="00572FAB">
              <w:rPr>
                <w:sz w:val="20"/>
              </w:rPr>
              <w:t>2,3,4</w:t>
            </w:r>
          </w:p>
          <w:p w:rsidR="00A512A1" w:rsidRPr="00572FAB" w:rsidRDefault="00A512A1" w:rsidP="00A512A1">
            <w:pPr>
              <w:pStyle w:val="TableRowCentered"/>
              <w:ind w:left="0" w:right="0"/>
              <w:jc w:val="left"/>
              <w:rPr>
                <w:sz w:val="20"/>
              </w:rPr>
            </w:pPr>
          </w:p>
        </w:tc>
      </w:tr>
      <w:tr w:rsidR="00A512A1" w:rsidRPr="00572FAB" w:rsidTr="003E1D08">
        <w:trPr>
          <w:trHeight w:val="1007"/>
        </w:trPr>
        <w:tc>
          <w:tcPr>
            <w:tcW w:w="3681" w:type="dxa"/>
            <w:shd w:val="clear" w:color="auto" w:fill="EAF1DD" w:themeFill="accent3" w:themeFillTint="33"/>
          </w:tcPr>
          <w:p w:rsidR="00A512A1" w:rsidRPr="00572FAB" w:rsidRDefault="00A512A1" w:rsidP="00A512A1">
            <w:pPr>
              <w:pStyle w:val="TableRow"/>
              <w:ind w:left="0" w:right="0"/>
              <w:rPr>
                <w:sz w:val="20"/>
                <w:szCs w:val="20"/>
              </w:rPr>
            </w:pPr>
            <w:r w:rsidRPr="00572FAB">
              <w:rPr>
                <w:sz w:val="20"/>
                <w:szCs w:val="20"/>
              </w:rPr>
              <w:t>Sharper monitoring and more impactful feedback by SLT to improve Quality First Teaching.</w:t>
            </w:r>
          </w:p>
        </w:tc>
        <w:tc>
          <w:tcPr>
            <w:tcW w:w="4243" w:type="dxa"/>
            <w:shd w:val="clear" w:color="auto" w:fill="EAF1DD" w:themeFill="accent3" w:themeFillTint="33"/>
          </w:tcPr>
          <w:p w:rsidR="00A512A1" w:rsidRPr="00572FAB" w:rsidRDefault="00A512A1" w:rsidP="00A512A1">
            <w:pPr>
              <w:pStyle w:val="TableRowCentered"/>
              <w:ind w:left="0" w:right="0"/>
              <w:jc w:val="left"/>
              <w:rPr>
                <w:sz w:val="20"/>
              </w:rPr>
            </w:pPr>
            <w:r w:rsidRPr="003E1D08">
              <w:rPr>
                <w:rFonts w:cs="Arial"/>
                <w:color w:val="001D35"/>
                <w:sz w:val="20"/>
                <w:shd w:val="clear" w:color="auto" w:fill="EAF1DD" w:themeFill="accent3" w:themeFillTint="33"/>
              </w:rPr>
              <w:t>Research by the Education Endowment Foundation (EEF) about improving Quality First Teaching</w:t>
            </w:r>
          </w:p>
        </w:tc>
        <w:tc>
          <w:tcPr>
            <w:tcW w:w="2195" w:type="dxa"/>
            <w:shd w:val="clear" w:color="auto" w:fill="EAF1DD" w:themeFill="accent3" w:themeFillTint="33"/>
          </w:tcPr>
          <w:p w:rsidR="00A512A1" w:rsidRPr="00572FAB" w:rsidRDefault="00A512A1" w:rsidP="00A512A1">
            <w:pPr>
              <w:pStyle w:val="TableRowCentered"/>
              <w:ind w:left="0" w:right="0"/>
              <w:jc w:val="left"/>
              <w:rPr>
                <w:sz w:val="20"/>
              </w:rPr>
            </w:pPr>
            <w:r w:rsidRPr="00572FAB">
              <w:rPr>
                <w:sz w:val="20"/>
              </w:rPr>
              <w:t>2,3,4</w:t>
            </w:r>
          </w:p>
          <w:p w:rsidR="00A512A1" w:rsidRPr="00572FAB" w:rsidRDefault="00A512A1" w:rsidP="00A512A1">
            <w:pPr>
              <w:pStyle w:val="TableRowCentered"/>
              <w:ind w:left="0" w:right="0"/>
              <w:jc w:val="left"/>
              <w:rPr>
                <w:sz w:val="20"/>
              </w:rPr>
            </w:pPr>
          </w:p>
        </w:tc>
      </w:tr>
      <w:tr w:rsidR="004E21FE" w:rsidRPr="00572FAB" w:rsidTr="003E1D08">
        <w:trPr>
          <w:trHeight w:val="1007"/>
        </w:trPr>
        <w:tc>
          <w:tcPr>
            <w:tcW w:w="3681" w:type="dxa"/>
            <w:shd w:val="clear" w:color="auto" w:fill="EAF1DD" w:themeFill="accent3" w:themeFillTint="33"/>
          </w:tcPr>
          <w:p w:rsidR="004E21FE" w:rsidRPr="00572FAB" w:rsidRDefault="004E21FE" w:rsidP="00A512A1">
            <w:pPr>
              <w:pStyle w:val="TableRow"/>
              <w:ind w:left="0" w:right="0"/>
              <w:rPr>
                <w:sz w:val="20"/>
                <w:szCs w:val="20"/>
              </w:rPr>
            </w:pPr>
            <w:r>
              <w:rPr>
                <w:sz w:val="20"/>
                <w:szCs w:val="20"/>
              </w:rPr>
              <w:t>Appoint Deputy as Pupil Premium Champion with a focus on a sharp increase on PP outcomes, initial focus on improving standards in Reception and KS1</w:t>
            </w:r>
          </w:p>
        </w:tc>
        <w:tc>
          <w:tcPr>
            <w:tcW w:w="4243" w:type="dxa"/>
            <w:shd w:val="clear" w:color="auto" w:fill="EAF1DD" w:themeFill="accent3" w:themeFillTint="33"/>
          </w:tcPr>
          <w:p w:rsidR="004E21FE" w:rsidRPr="003E1D08" w:rsidRDefault="004E21FE" w:rsidP="00A512A1">
            <w:pPr>
              <w:pStyle w:val="TableRowCentered"/>
              <w:ind w:left="0" w:right="0"/>
              <w:jc w:val="left"/>
              <w:rPr>
                <w:rFonts w:cs="Arial"/>
                <w:color w:val="001D35"/>
                <w:sz w:val="20"/>
                <w:shd w:val="clear" w:color="auto" w:fill="EAF1DD" w:themeFill="accent3" w:themeFillTint="33"/>
              </w:rPr>
            </w:pPr>
            <w:r w:rsidRPr="003E1D08">
              <w:rPr>
                <w:rFonts w:cs="Arial"/>
                <w:color w:val="001D35"/>
                <w:sz w:val="20"/>
                <w:shd w:val="clear" w:color="auto" w:fill="EAF1DD" w:themeFill="accent3" w:themeFillTint="33"/>
              </w:rPr>
              <w:t>Research by the Education Endowment Foundation (EEF) about improving Quality First Teaching</w:t>
            </w:r>
          </w:p>
        </w:tc>
        <w:tc>
          <w:tcPr>
            <w:tcW w:w="2195" w:type="dxa"/>
            <w:shd w:val="clear" w:color="auto" w:fill="EAF1DD" w:themeFill="accent3" w:themeFillTint="33"/>
          </w:tcPr>
          <w:p w:rsidR="004E21FE" w:rsidRPr="00572FAB" w:rsidRDefault="004E21FE" w:rsidP="00A512A1">
            <w:pPr>
              <w:pStyle w:val="TableRowCentered"/>
              <w:ind w:left="0" w:right="0"/>
              <w:jc w:val="left"/>
              <w:rPr>
                <w:sz w:val="20"/>
              </w:rPr>
            </w:pPr>
            <w:r>
              <w:rPr>
                <w:sz w:val="20"/>
              </w:rPr>
              <w:t>2,3,4</w:t>
            </w:r>
          </w:p>
        </w:tc>
      </w:tr>
      <w:tr w:rsidR="003E1D08" w:rsidRPr="00572FAB" w:rsidTr="003E1D08">
        <w:trPr>
          <w:trHeight w:val="1007"/>
        </w:trPr>
        <w:tc>
          <w:tcPr>
            <w:tcW w:w="3681" w:type="dxa"/>
            <w:shd w:val="clear" w:color="auto" w:fill="EAF1DD" w:themeFill="accent3" w:themeFillTint="33"/>
          </w:tcPr>
          <w:p w:rsidR="003E1D08" w:rsidRPr="00572FAB" w:rsidRDefault="003E1D08" w:rsidP="003E1D08">
            <w:pPr>
              <w:pStyle w:val="TableRow"/>
              <w:ind w:left="0" w:right="0"/>
              <w:rPr>
                <w:sz w:val="20"/>
                <w:szCs w:val="20"/>
              </w:rPr>
            </w:pPr>
            <w:r w:rsidRPr="00572FAB">
              <w:rPr>
                <w:sz w:val="20"/>
                <w:szCs w:val="20"/>
              </w:rPr>
              <w:t>Half-termly PP meetings to focus on target pupils – what progress has been made since the last data drop and what are next steps</w:t>
            </w:r>
          </w:p>
          <w:p w:rsidR="003E1D08" w:rsidRPr="00572FAB" w:rsidRDefault="003E1D08" w:rsidP="003E1D08">
            <w:pPr>
              <w:pStyle w:val="TableRow"/>
              <w:ind w:left="0" w:right="0"/>
              <w:rPr>
                <w:sz w:val="20"/>
                <w:szCs w:val="20"/>
              </w:rPr>
            </w:pPr>
            <w:r w:rsidRPr="00572FAB">
              <w:rPr>
                <w:sz w:val="20"/>
                <w:szCs w:val="20"/>
              </w:rPr>
              <w:lastRenderedPageBreak/>
              <w:t>- Class action plans created which highlight which pupils need support in which areas</w:t>
            </w:r>
          </w:p>
        </w:tc>
        <w:tc>
          <w:tcPr>
            <w:tcW w:w="4243" w:type="dxa"/>
            <w:shd w:val="clear" w:color="auto" w:fill="EAF1DD" w:themeFill="accent3" w:themeFillTint="33"/>
          </w:tcPr>
          <w:p w:rsidR="003E1D08" w:rsidRPr="00572FAB" w:rsidRDefault="003E1D08" w:rsidP="003E1D08">
            <w:pPr>
              <w:pStyle w:val="TableRowCentered"/>
              <w:ind w:left="0" w:right="0"/>
              <w:jc w:val="left"/>
              <w:rPr>
                <w:sz w:val="20"/>
              </w:rPr>
            </w:pPr>
            <w:r w:rsidRPr="003E1D08">
              <w:rPr>
                <w:rFonts w:cs="Arial"/>
                <w:color w:val="001D35"/>
                <w:sz w:val="20"/>
                <w:shd w:val="clear" w:color="auto" w:fill="EAF1DD" w:themeFill="accent3" w:themeFillTint="33"/>
              </w:rPr>
              <w:lastRenderedPageBreak/>
              <w:t>Research</w:t>
            </w:r>
            <w:r w:rsidRPr="00572FAB">
              <w:rPr>
                <w:rFonts w:cs="Arial"/>
                <w:color w:val="001D35"/>
                <w:sz w:val="20"/>
                <w:shd w:val="clear" w:color="auto" w:fill="FFFFFF"/>
              </w:rPr>
              <w:t xml:space="preserve"> </w:t>
            </w:r>
            <w:r w:rsidRPr="003E1D08">
              <w:rPr>
                <w:rFonts w:cs="Arial"/>
                <w:color w:val="001D35"/>
                <w:sz w:val="20"/>
                <w:shd w:val="clear" w:color="auto" w:fill="EAF1DD" w:themeFill="accent3" w:themeFillTint="33"/>
              </w:rPr>
              <w:t>by the Education Endowment Foundation (EEF) about improving Quality First Teaching</w:t>
            </w:r>
          </w:p>
        </w:tc>
        <w:tc>
          <w:tcPr>
            <w:tcW w:w="2195" w:type="dxa"/>
            <w:shd w:val="clear" w:color="auto" w:fill="EAF1DD" w:themeFill="accent3" w:themeFillTint="33"/>
          </w:tcPr>
          <w:p w:rsidR="003E1D08" w:rsidRPr="00572FAB" w:rsidRDefault="003E1D08" w:rsidP="003E1D08">
            <w:pPr>
              <w:pStyle w:val="TableRowCentered"/>
              <w:ind w:left="0" w:right="0"/>
              <w:jc w:val="left"/>
              <w:rPr>
                <w:sz w:val="20"/>
              </w:rPr>
            </w:pPr>
            <w:r w:rsidRPr="00572FAB">
              <w:rPr>
                <w:sz w:val="20"/>
              </w:rPr>
              <w:t>2,3,4</w:t>
            </w:r>
          </w:p>
          <w:p w:rsidR="003E1D08" w:rsidRPr="00572FAB" w:rsidRDefault="003E1D08" w:rsidP="003E1D08">
            <w:pPr>
              <w:pStyle w:val="TableRowCentered"/>
              <w:ind w:left="0" w:right="0"/>
              <w:jc w:val="left"/>
              <w:rPr>
                <w:sz w:val="20"/>
              </w:rPr>
            </w:pPr>
          </w:p>
        </w:tc>
      </w:tr>
      <w:tr w:rsidR="003E1D08" w:rsidRPr="00572FAB" w:rsidTr="003E1D08">
        <w:trPr>
          <w:trHeight w:val="1007"/>
        </w:trPr>
        <w:tc>
          <w:tcPr>
            <w:tcW w:w="3681" w:type="dxa"/>
            <w:shd w:val="clear" w:color="auto" w:fill="F2DBDB" w:themeFill="accent2" w:themeFillTint="33"/>
          </w:tcPr>
          <w:p w:rsidR="003E1D08" w:rsidRPr="00572FAB" w:rsidRDefault="003E1D08" w:rsidP="003E1D08">
            <w:pPr>
              <w:pStyle w:val="TableRow"/>
              <w:ind w:left="0" w:right="0"/>
              <w:rPr>
                <w:sz w:val="20"/>
                <w:szCs w:val="20"/>
              </w:rPr>
            </w:pPr>
            <w:r w:rsidRPr="00572FAB">
              <w:rPr>
                <w:sz w:val="20"/>
                <w:szCs w:val="20"/>
              </w:rPr>
              <w:t xml:space="preserve">Identify and track high prior </w:t>
            </w:r>
            <w:proofErr w:type="spellStart"/>
            <w:r w:rsidRPr="00572FAB">
              <w:rPr>
                <w:sz w:val="20"/>
                <w:szCs w:val="20"/>
              </w:rPr>
              <w:t>attainers</w:t>
            </w:r>
            <w:proofErr w:type="spellEnd"/>
            <w:r w:rsidRPr="00572FAB">
              <w:rPr>
                <w:sz w:val="20"/>
                <w:szCs w:val="20"/>
              </w:rPr>
              <w:t xml:space="preserve"> as a sub-group and ensure teacher focus on maintaining stretch</w:t>
            </w:r>
          </w:p>
        </w:tc>
        <w:tc>
          <w:tcPr>
            <w:tcW w:w="4243" w:type="dxa"/>
            <w:shd w:val="clear" w:color="auto" w:fill="F2DBDB" w:themeFill="accent2" w:themeFillTint="33"/>
          </w:tcPr>
          <w:p w:rsidR="003E1D08" w:rsidRPr="00572FAB" w:rsidRDefault="003E1D08" w:rsidP="003E1D08">
            <w:pPr>
              <w:pStyle w:val="TableRowCentered"/>
              <w:ind w:left="0" w:right="0"/>
              <w:jc w:val="left"/>
              <w:rPr>
                <w:rFonts w:cs="Arial"/>
                <w:color w:val="001D35"/>
                <w:sz w:val="20"/>
                <w:shd w:val="clear" w:color="auto" w:fill="FFFFFF"/>
              </w:rPr>
            </w:pPr>
            <w:r w:rsidRPr="00572FAB">
              <w:rPr>
                <w:rStyle w:val="Emphasis"/>
                <w:i w:val="0"/>
                <w:sz w:val="20"/>
              </w:rPr>
              <w:t>Social Mobility: The Next Generation – Lost Potential at Age 16</w:t>
            </w:r>
            <w:r w:rsidRPr="00572FAB">
              <w:rPr>
                <w:i/>
                <w:sz w:val="20"/>
              </w:rPr>
              <w:t xml:space="preserve"> (Sutton Trust / COSMO, June 2023),</w:t>
            </w:r>
          </w:p>
        </w:tc>
        <w:tc>
          <w:tcPr>
            <w:tcW w:w="2195" w:type="dxa"/>
            <w:shd w:val="clear" w:color="auto" w:fill="F2DBDB" w:themeFill="accent2" w:themeFillTint="33"/>
          </w:tcPr>
          <w:p w:rsidR="003E1D08" w:rsidRPr="00572FAB" w:rsidRDefault="003E1D08" w:rsidP="003E1D08">
            <w:pPr>
              <w:pStyle w:val="TableRowCentered"/>
              <w:ind w:left="0" w:right="0"/>
              <w:jc w:val="left"/>
              <w:rPr>
                <w:sz w:val="20"/>
              </w:rPr>
            </w:pPr>
            <w:r w:rsidRPr="00572FAB">
              <w:rPr>
                <w:sz w:val="20"/>
              </w:rPr>
              <w:t>2,3,4</w:t>
            </w:r>
          </w:p>
          <w:p w:rsidR="003E1D08" w:rsidRPr="00572FAB" w:rsidRDefault="003E1D08" w:rsidP="003E1D08">
            <w:pPr>
              <w:pStyle w:val="TableRowCentered"/>
              <w:ind w:left="0" w:right="0"/>
              <w:jc w:val="left"/>
              <w:rPr>
                <w:sz w:val="20"/>
              </w:rPr>
            </w:pPr>
          </w:p>
        </w:tc>
      </w:tr>
    </w:tbl>
    <w:p w:rsidR="00E66558" w:rsidRPr="00572FAB" w:rsidRDefault="009D71E8" w:rsidP="00AA355B">
      <w:pPr>
        <w:pStyle w:val="Heading3"/>
        <w:rPr>
          <w:sz w:val="20"/>
          <w:szCs w:val="20"/>
        </w:rPr>
      </w:pPr>
      <w:r w:rsidRPr="00572FAB">
        <w:rPr>
          <w:sz w:val="20"/>
          <w:szCs w:val="20"/>
        </w:rPr>
        <w:t xml:space="preserve">Targeted academic support (for example, </w:t>
      </w:r>
      <w:r w:rsidR="00D33FE5" w:rsidRPr="00572FAB">
        <w:rPr>
          <w:sz w:val="20"/>
          <w:szCs w:val="20"/>
        </w:rPr>
        <w:t>tutoring, one-to-one support</w:t>
      </w:r>
      <w:r w:rsidR="00F776E1" w:rsidRPr="00572FAB">
        <w:rPr>
          <w:sz w:val="20"/>
          <w:szCs w:val="20"/>
        </w:rPr>
        <w:t>,</w:t>
      </w:r>
      <w:r w:rsidR="00D33FE5" w:rsidRPr="00572FAB">
        <w:rPr>
          <w:sz w:val="20"/>
          <w:szCs w:val="20"/>
        </w:rPr>
        <w:t xml:space="preserve"> </w:t>
      </w:r>
      <w:r w:rsidRPr="00572FAB">
        <w:rPr>
          <w:sz w:val="20"/>
          <w:szCs w:val="20"/>
        </w:rPr>
        <w:t xml:space="preserve">structured interventions) </w:t>
      </w:r>
    </w:p>
    <w:p w:rsidR="00E66558" w:rsidRPr="00572FAB" w:rsidRDefault="009D71E8">
      <w:pPr>
        <w:rPr>
          <w:sz w:val="20"/>
          <w:szCs w:val="20"/>
        </w:rPr>
      </w:pPr>
      <w:r w:rsidRPr="00572FAB">
        <w:rPr>
          <w:sz w:val="20"/>
          <w:szCs w:val="20"/>
        </w:rPr>
        <w:t xml:space="preserve">Budgeted cost: £ </w:t>
      </w:r>
      <w:r w:rsidR="004E21FE">
        <w:rPr>
          <w:i/>
          <w:iCs/>
          <w:sz w:val="20"/>
          <w:szCs w:val="20"/>
        </w:rPr>
        <w:t>28000</w:t>
      </w:r>
    </w:p>
    <w:tbl>
      <w:tblPr>
        <w:tblW w:w="5000" w:type="pct"/>
        <w:tblLayout w:type="fixed"/>
        <w:tblCellMar>
          <w:left w:w="10" w:type="dxa"/>
          <w:right w:w="10" w:type="dxa"/>
        </w:tblCellMar>
        <w:tblLook w:val="04A0" w:firstRow="1" w:lastRow="0" w:firstColumn="1" w:lastColumn="0" w:noHBand="0" w:noVBand="1"/>
      </w:tblPr>
      <w:tblGrid>
        <w:gridCol w:w="4815"/>
        <w:gridCol w:w="3544"/>
        <w:gridCol w:w="2097"/>
      </w:tblGrid>
      <w:tr w:rsidR="00E66558" w:rsidRPr="00572FAB" w:rsidTr="00C16F73">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E66558" w:rsidRPr="00572FAB" w:rsidRDefault="009D71E8" w:rsidP="00C31636">
            <w:pPr>
              <w:pStyle w:val="TableHeader"/>
              <w:ind w:left="0" w:right="0"/>
              <w:jc w:val="left"/>
              <w:rPr>
                <w:sz w:val="20"/>
                <w:szCs w:val="20"/>
              </w:rPr>
            </w:pPr>
            <w:r w:rsidRPr="00572FAB">
              <w:rPr>
                <w:sz w:val="20"/>
                <w:szCs w:val="20"/>
              </w:rPr>
              <w:t>Activity</w:t>
            </w:r>
          </w:p>
        </w:tc>
        <w:tc>
          <w:tcPr>
            <w:tcW w:w="3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E66558" w:rsidRPr="00572FAB" w:rsidRDefault="009D71E8" w:rsidP="00C31636">
            <w:pPr>
              <w:pStyle w:val="TableHeader"/>
              <w:ind w:left="0" w:right="0"/>
              <w:jc w:val="left"/>
              <w:rPr>
                <w:sz w:val="20"/>
                <w:szCs w:val="20"/>
              </w:rPr>
            </w:pPr>
            <w:r w:rsidRPr="00572FAB">
              <w:rPr>
                <w:sz w:val="20"/>
                <w:szCs w:val="20"/>
              </w:rPr>
              <w:t>Evidence that supports this approach</w:t>
            </w:r>
          </w:p>
        </w:tc>
        <w:tc>
          <w:tcPr>
            <w:tcW w:w="20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E66558" w:rsidRPr="00572FAB" w:rsidRDefault="009D71E8" w:rsidP="00C31636">
            <w:pPr>
              <w:pStyle w:val="TableHeader"/>
              <w:ind w:left="0" w:right="0"/>
              <w:jc w:val="left"/>
              <w:rPr>
                <w:sz w:val="20"/>
                <w:szCs w:val="20"/>
              </w:rPr>
            </w:pPr>
            <w:r w:rsidRPr="00572FAB">
              <w:rPr>
                <w:sz w:val="20"/>
                <w:szCs w:val="20"/>
              </w:rPr>
              <w:t>Challenge number(s) addressed</w:t>
            </w:r>
          </w:p>
        </w:tc>
      </w:tr>
      <w:tr w:rsidR="00E66558" w:rsidRPr="00572FAB" w:rsidTr="003E1D08">
        <w:tc>
          <w:tcPr>
            <w:tcW w:w="481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E66558" w:rsidRPr="00572FAB" w:rsidRDefault="00C16F73" w:rsidP="00C16F73">
            <w:pPr>
              <w:pStyle w:val="TableRow"/>
              <w:ind w:left="0" w:right="0"/>
              <w:rPr>
                <w:sz w:val="20"/>
                <w:szCs w:val="20"/>
              </w:rPr>
            </w:pPr>
            <w:r w:rsidRPr="00572FAB">
              <w:rPr>
                <w:sz w:val="20"/>
                <w:szCs w:val="20"/>
              </w:rPr>
              <w:t>Daily small-group phonics sessions (3–5 pupils, 15–20 minutes) led by trained staff, using the school’s phonics programme and aligned resources to address gaps, as identified by assessments, and accelerate progress.</w:t>
            </w:r>
          </w:p>
        </w:tc>
        <w:tc>
          <w:tcPr>
            <w:tcW w:w="354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E66558" w:rsidRPr="00572FAB" w:rsidRDefault="004E21FE" w:rsidP="00C31636">
            <w:pPr>
              <w:pStyle w:val="TableRowCentered"/>
              <w:ind w:left="0" w:right="0"/>
              <w:jc w:val="left"/>
              <w:rPr>
                <w:sz w:val="20"/>
              </w:rPr>
            </w:pPr>
            <w:hyperlink r:id="rId9" w:history="1">
              <w:r w:rsidR="00C16F73" w:rsidRPr="00572FAB">
                <w:rPr>
                  <w:rStyle w:val="Hyperlink"/>
                  <w:sz w:val="20"/>
                </w:rPr>
                <w:t>https://educationendowmentfoundation.org.uk/education-evidence/teaching-learning-toolkit/small-group-tuition</w:t>
              </w:r>
            </w:hyperlink>
          </w:p>
          <w:p w:rsidR="00C16F73" w:rsidRPr="00572FAB" w:rsidRDefault="00C16F73" w:rsidP="00C31636">
            <w:pPr>
              <w:pStyle w:val="TableRowCentered"/>
              <w:ind w:left="0" w:right="0"/>
              <w:jc w:val="left"/>
              <w:rPr>
                <w:sz w:val="20"/>
              </w:rPr>
            </w:pPr>
          </w:p>
          <w:p w:rsidR="00C16F73" w:rsidRPr="00572FAB" w:rsidRDefault="00C16F73" w:rsidP="00C31636">
            <w:pPr>
              <w:pStyle w:val="TableRowCentered"/>
              <w:ind w:left="0" w:right="0"/>
              <w:jc w:val="left"/>
              <w:rPr>
                <w:sz w:val="20"/>
              </w:rPr>
            </w:pPr>
            <w:r w:rsidRPr="00572FAB">
              <w:rPr>
                <w:sz w:val="20"/>
              </w:rPr>
              <w:t>+ 4 months</w:t>
            </w:r>
          </w:p>
        </w:tc>
        <w:tc>
          <w:tcPr>
            <w:tcW w:w="209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E66558" w:rsidRPr="00572FAB" w:rsidRDefault="00C16F73" w:rsidP="00C31636">
            <w:pPr>
              <w:pStyle w:val="TableRowCentered"/>
              <w:ind w:left="0" w:right="0"/>
              <w:jc w:val="left"/>
              <w:rPr>
                <w:sz w:val="20"/>
              </w:rPr>
            </w:pPr>
            <w:r w:rsidRPr="00572FAB">
              <w:rPr>
                <w:sz w:val="20"/>
              </w:rPr>
              <w:t>2,3,4</w:t>
            </w:r>
          </w:p>
        </w:tc>
      </w:tr>
      <w:tr w:rsidR="00C16F73" w:rsidRPr="00572FAB" w:rsidTr="003E1D08">
        <w:tc>
          <w:tcPr>
            <w:tcW w:w="481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C16F73" w:rsidRPr="00572FAB" w:rsidRDefault="00C16F73" w:rsidP="00C16F73">
            <w:pPr>
              <w:pStyle w:val="TableRow"/>
              <w:ind w:left="0" w:right="0"/>
              <w:rPr>
                <w:i/>
                <w:sz w:val="20"/>
                <w:szCs w:val="20"/>
              </w:rPr>
            </w:pPr>
            <w:r w:rsidRPr="00572FAB">
              <w:rPr>
                <w:sz w:val="20"/>
                <w:szCs w:val="20"/>
              </w:rPr>
              <w:t>Daily small-group maths sessions (3–5 pupils, 15–20 minutes) led by trained staff, to address gaps, as identified by assessments, and accelerate progress.</w:t>
            </w:r>
          </w:p>
        </w:tc>
        <w:tc>
          <w:tcPr>
            <w:tcW w:w="354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C16F73" w:rsidRPr="00572FAB" w:rsidRDefault="004E21FE" w:rsidP="00C16F73">
            <w:pPr>
              <w:pStyle w:val="TableRowCentered"/>
              <w:ind w:left="0" w:right="0"/>
              <w:jc w:val="left"/>
              <w:rPr>
                <w:sz w:val="20"/>
              </w:rPr>
            </w:pPr>
            <w:hyperlink r:id="rId10" w:history="1">
              <w:r w:rsidR="00C16F73" w:rsidRPr="00572FAB">
                <w:rPr>
                  <w:rStyle w:val="Hyperlink"/>
                  <w:sz w:val="20"/>
                </w:rPr>
                <w:t>https://educationendowmentfoundation.org.uk/education-evidence/teaching-learning-toolkit/small-group-tuition</w:t>
              </w:r>
            </w:hyperlink>
          </w:p>
          <w:p w:rsidR="00C16F73" w:rsidRPr="00572FAB" w:rsidRDefault="00C16F73" w:rsidP="00C16F73">
            <w:pPr>
              <w:pStyle w:val="TableRowCentered"/>
              <w:ind w:left="0" w:right="0"/>
              <w:jc w:val="left"/>
              <w:rPr>
                <w:sz w:val="20"/>
              </w:rPr>
            </w:pPr>
          </w:p>
          <w:p w:rsidR="00C16F73" w:rsidRPr="00572FAB" w:rsidRDefault="00C16F73" w:rsidP="00C16F73">
            <w:pPr>
              <w:pStyle w:val="TableRowCentered"/>
              <w:ind w:left="0" w:right="0"/>
              <w:jc w:val="left"/>
              <w:rPr>
                <w:sz w:val="20"/>
              </w:rPr>
            </w:pPr>
            <w:r w:rsidRPr="00572FAB">
              <w:rPr>
                <w:sz w:val="20"/>
              </w:rPr>
              <w:t>+ 3 months</w:t>
            </w:r>
          </w:p>
        </w:tc>
        <w:tc>
          <w:tcPr>
            <w:tcW w:w="209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C16F73" w:rsidRPr="00572FAB" w:rsidRDefault="00C16F73" w:rsidP="00C16F73">
            <w:pPr>
              <w:rPr>
                <w:sz w:val="20"/>
                <w:szCs w:val="20"/>
              </w:rPr>
            </w:pPr>
            <w:r w:rsidRPr="00572FAB">
              <w:rPr>
                <w:sz w:val="20"/>
                <w:szCs w:val="20"/>
              </w:rPr>
              <w:t>2,3,4</w:t>
            </w:r>
          </w:p>
        </w:tc>
      </w:tr>
      <w:tr w:rsidR="00C16F73" w:rsidRPr="00572FAB" w:rsidTr="003E1D08">
        <w:tc>
          <w:tcPr>
            <w:tcW w:w="481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C16F73" w:rsidRPr="00572FAB" w:rsidRDefault="00C16F73" w:rsidP="00C16F73">
            <w:pPr>
              <w:pStyle w:val="TableRow"/>
              <w:ind w:left="0" w:right="0"/>
              <w:rPr>
                <w:i/>
                <w:iCs/>
                <w:sz w:val="20"/>
                <w:szCs w:val="20"/>
              </w:rPr>
            </w:pPr>
            <w:r w:rsidRPr="00572FAB">
              <w:rPr>
                <w:sz w:val="20"/>
                <w:szCs w:val="20"/>
              </w:rPr>
              <w:t xml:space="preserve">Daily KS2 ‘Reading </w:t>
            </w:r>
            <w:proofErr w:type="spellStart"/>
            <w:r w:rsidRPr="00572FAB">
              <w:rPr>
                <w:sz w:val="20"/>
                <w:szCs w:val="20"/>
              </w:rPr>
              <w:t>Plus’</w:t>
            </w:r>
            <w:proofErr w:type="spellEnd"/>
            <w:r w:rsidRPr="00572FAB">
              <w:rPr>
                <w:sz w:val="20"/>
                <w:szCs w:val="20"/>
              </w:rPr>
              <w:t xml:space="preserve"> sessions for </w:t>
            </w:r>
            <w:r w:rsidR="00951E5D" w:rsidRPr="00572FAB">
              <w:rPr>
                <w:sz w:val="20"/>
                <w:szCs w:val="20"/>
              </w:rPr>
              <w:t>PP pupils to develop fluency and comprehension. Supported by a TA to ensure that progress is rapid</w:t>
            </w:r>
          </w:p>
        </w:tc>
        <w:tc>
          <w:tcPr>
            <w:tcW w:w="354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C16F73" w:rsidRPr="00572FAB" w:rsidRDefault="004E21FE" w:rsidP="00C16F73">
            <w:pPr>
              <w:pStyle w:val="TableRowCentered"/>
              <w:ind w:left="0" w:right="0"/>
              <w:jc w:val="left"/>
              <w:rPr>
                <w:sz w:val="20"/>
              </w:rPr>
            </w:pPr>
            <w:hyperlink r:id="rId11" w:history="1">
              <w:r w:rsidR="00C16F73" w:rsidRPr="00572FAB">
                <w:rPr>
                  <w:rStyle w:val="Hyperlink"/>
                  <w:sz w:val="20"/>
                </w:rPr>
                <w:t>https://educationendowmentfoundation.org.uk/education-evidence/teaching-learning-toolkit/small-group-tuition</w:t>
              </w:r>
            </w:hyperlink>
          </w:p>
          <w:p w:rsidR="00C16F73" w:rsidRPr="00572FAB" w:rsidRDefault="00C16F73" w:rsidP="00C16F73">
            <w:pPr>
              <w:pStyle w:val="TableRowCentered"/>
              <w:ind w:left="0" w:right="0"/>
              <w:jc w:val="left"/>
              <w:rPr>
                <w:sz w:val="20"/>
              </w:rPr>
            </w:pPr>
          </w:p>
          <w:p w:rsidR="00C16F73" w:rsidRDefault="00C16F73" w:rsidP="00C16F73">
            <w:pPr>
              <w:pStyle w:val="TableRowCentered"/>
              <w:ind w:left="0" w:right="0"/>
              <w:jc w:val="left"/>
              <w:rPr>
                <w:sz w:val="20"/>
              </w:rPr>
            </w:pPr>
            <w:r w:rsidRPr="00572FAB">
              <w:rPr>
                <w:sz w:val="20"/>
              </w:rPr>
              <w:t>+ 4 months</w:t>
            </w:r>
          </w:p>
          <w:p w:rsidR="00CF3FE6" w:rsidRPr="00CF3FE6" w:rsidRDefault="00CF3FE6" w:rsidP="00CF3FE6">
            <w:pPr>
              <w:pStyle w:val="7Tablebodybulleted"/>
              <w:numPr>
                <w:ilvl w:val="0"/>
                <w:numId w:val="0"/>
              </w:numPr>
            </w:pPr>
            <w:r>
              <w:t xml:space="preserve">Alex Quigley, ‘Closing the Reading Gap” </w:t>
            </w:r>
          </w:p>
        </w:tc>
        <w:tc>
          <w:tcPr>
            <w:tcW w:w="209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C16F73" w:rsidRPr="00572FAB" w:rsidRDefault="00C16F73" w:rsidP="00C16F73">
            <w:pPr>
              <w:rPr>
                <w:sz w:val="20"/>
                <w:szCs w:val="20"/>
              </w:rPr>
            </w:pPr>
            <w:r w:rsidRPr="00572FAB">
              <w:rPr>
                <w:sz w:val="20"/>
                <w:szCs w:val="20"/>
              </w:rPr>
              <w:t>2,3,4</w:t>
            </w:r>
          </w:p>
        </w:tc>
      </w:tr>
      <w:tr w:rsidR="00C16F73" w:rsidRPr="00572FAB" w:rsidTr="003E1D08">
        <w:tc>
          <w:tcPr>
            <w:tcW w:w="481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C16F73" w:rsidRPr="00572FAB" w:rsidRDefault="00951E5D" w:rsidP="00951E5D">
            <w:pPr>
              <w:pStyle w:val="TableRow"/>
              <w:ind w:left="0" w:right="0"/>
              <w:rPr>
                <w:i/>
                <w:iCs/>
                <w:sz w:val="20"/>
                <w:szCs w:val="20"/>
              </w:rPr>
            </w:pPr>
            <w:r w:rsidRPr="00572FAB">
              <w:rPr>
                <w:sz w:val="20"/>
                <w:szCs w:val="20"/>
              </w:rPr>
              <w:t>Small-group booster sessions – weekly -in reading, writing, or maths, led by teachers/TAs, targeting specific knowledge gaps and misconceptions. Sessions are timetabled regularly and responsive to assessment.</w:t>
            </w:r>
          </w:p>
        </w:tc>
        <w:tc>
          <w:tcPr>
            <w:tcW w:w="354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C16F73" w:rsidRPr="00572FAB" w:rsidRDefault="004E21FE" w:rsidP="00C16F73">
            <w:pPr>
              <w:pStyle w:val="TableRowCentered"/>
              <w:ind w:left="0" w:right="0"/>
              <w:jc w:val="left"/>
              <w:rPr>
                <w:sz w:val="20"/>
              </w:rPr>
            </w:pPr>
            <w:hyperlink r:id="rId12" w:history="1">
              <w:r w:rsidR="00C16F73" w:rsidRPr="00572FAB">
                <w:rPr>
                  <w:rStyle w:val="Hyperlink"/>
                  <w:sz w:val="20"/>
                </w:rPr>
                <w:t>https://educationendowmentfoundation.org.uk/education-evidence/teaching-learning-toolkit/small-group-tuition</w:t>
              </w:r>
            </w:hyperlink>
          </w:p>
          <w:p w:rsidR="00C16F73" w:rsidRPr="00572FAB" w:rsidRDefault="00C16F73" w:rsidP="00C16F73">
            <w:pPr>
              <w:pStyle w:val="TableRowCentered"/>
              <w:ind w:left="0" w:right="0"/>
              <w:jc w:val="left"/>
              <w:rPr>
                <w:sz w:val="20"/>
              </w:rPr>
            </w:pPr>
          </w:p>
          <w:p w:rsidR="00C16F73" w:rsidRPr="00572FAB" w:rsidRDefault="00C16F73" w:rsidP="00C16F73">
            <w:pPr>
              <w:pStyle w:val="TableRowCentered"/>
              <w:ind w:left="0" w:right="0"/>
              <w:jc w:val="left"/>
              <w:rPr>
                <w:sz w:val="20"/>
              </w:rPr>
            </w:pPr>
            <w:r w:rsidRPr="00572FAB">
              <w:rPr>
                <w:sz w:val="20"/>
              </w:rPr>
              <w:t>+ 4 months</w:t>
            </w:r>
          </w:p>
        </w:tc>
        <w:tc>
          <w:tcPr>
            <w:tcW w:w="209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C16F73" w:rsidRPr="00572FAB" w:rsidRDefault="00C16F73" w:rsidP="00C16F73">
            <w:pPr>
              <w:rPr>
                <w:sz w:val="20"/>
                <w:szCs w:val="20"/>
              </w:rPr>
            </w:pPr>
            <w:r w:rsidRPr="00572FAB">
              <w:rPr>
                <w:sz w:val="20"/>
                <w:szCs w:val="20"/>
              </w:rPr>
              <w:t>2,3,4</w:t>
            </w:r>
          </w:p>
        </w:tc>
      </w:tr>
    </w:tbl>
    <w:p w:rsidR="00E66558" w:rsidRPr="00572FAB" w:rsidRDefault="00E66558" w:rsidP="00AA355B">
      <w:pPr>
        <w:rPr>
          <w:sz w:val="20"/>
          <w:szCs w:val="20"/>
        </w:rPr>
      </w:pPr>
    </w:p>
    <w:p w:rsidR="00E66558" w:rsidRPr="00572FAB" w:rsidRDefault="009D71E8" w:rsidP="00AA355B">
      <w:pPr>
        <w:pStyle w:val="Heading3"/>
        <w:rPr>
          <w:sz w:val="20"/>
          <w:szCs w:val="20"/>
        </w:rPr>
      </w:pPr>
      <w:r w:rsidRPr="00572FAB">
        <w:rPr>
          <w:sz w:val="20"/>
          <w:szCs w:val="20"/>
        </w:rPr>
        <w:t>Wider strategies (for example, related to attendance, behaviour, wellbeing)</w:t>
      </w:r>
    </w:p>
    <w:p w:rsidR="00E66558" w:rsidRPr="00572FAB" w:rsidRDefault="009D71E8">
      <w:pPr>
        <w:spacing w:before="240" w:after="120"/>
        <w:rPr>
          <w:i/>
          <w:iCs/>
          <w:sz w:val="20"/>
          <w:szCs w:val="20"/>
        </w:rPr>
      </w:pPr>
      <w:r w:rsidRPr="00572FAB">
        <w:rPr>
          <w:sz w:val="20"/>
          <w:szCs w:val="20"/>
        </w:rPr>
        <w:t xml:space="preserve">Budgeted cost: £ </w:t>
      </w:r>
      <w:r w:rsidR="004E21FE">
        <w:rPr>
          <w:i/>
          <w:iCs/>
          <w:sz w:val="20"/>
          <w:szCs w:val="20"/>
        </w:rPr>
        <w:t>22000</w:t>
      </w:r>
      <w:bookmarkStart w:id="3" w:name="_GoBack"/>
      <w:bookmarkEnd w:id="3"/>
    </w:p>
    <w:p w:rsidR="003E1D08" w:rsidRPr="00572FAB" w:rsidRDefault="0035511B">
      <w:pPr>
        <w:spacing w:before="240" w:after="120"/>
        <w:rPr>
          <w:sz w:val="20"/>
          <w:szCs w:val="20"/>
        </w:rPr>
      </w:pPr>
      <w:r w:rsidRPr="00572FAB">
        <w:rPr>
          <w:sz w:val="20"/>
          <w:szCs w:val="20"/>
        </w:rPr>
        <w:t xml:space="preserve">To improve </w:t>
      </w:r>
      <w:r w:rsidR="003E1D08">
        <w:rPr>
          <w:sz w:val="20"/>
          <w:szCs w:val="20"/>
        </w:rPr>
        <w:t>a</w:t>
      </w:r>
      <w:r w:rsidRPr="00572FAB">
        <w:rPr>
          <w:sz w:val="20"/>
          <w:szCs w:val="20"/>
        </w:rPr>
        <w:t xml:space="preserve">ttendance of PP pupils </w:t>
      </w:r>
    </w:p>
    <w:tbl>
      <w:tblPr>
        <w:tblW w:w="5000" w:type="pct"/>
        <w:tblCellMar>
          <w:left w:w="10" w:type="dxa"/>
          <w:right w:w="10" w:type="dxa"/>
        </w:tblCellMar>
        <w:tblLook w:val="04A0" w:firstRow="1" w:lastRow="0" w:firstColumn="1" w:lastColumn="0" w:noHBand="0" w:noVBand="1"/>
      </w:tblPr>
      <w:tblGrid>
        <w:gridCol w:w="822"/>
        <w:gridCol w:w="2717"/>
        <w:gridCol w:w="5253"/>
        <w:gridCol w:w="1664"/>
      </w:tblGrid>
      <w:tr w:rsidR="003E1D08" w:rsidRPr="00572FAB" w:rsidTr="003E1D08">
        <w:tc>
          <w:tcPr>
            <w:tcW w:w="822" w:type="dxa"/>
            <w:tcBorders>
              <w:top w:val="single" w:sz="4" w:space="0" w:color="000000"/>
              <w:left w:val="single" w:sz="4" w:space="0" w:color="000000"/>
              <w:bottom w:val="single" w:sz="4" w:space="0" w:color="000000"/>
              <w:right w:val="single" w:sz="4" w:space="0" w:color="000000"/>
            </w:tcBorders>
            <w:shd w:val="clear" w:color="auto" w:fill="CFDCE3"/>
          </w:tcPr>
          <w:p w:rsidR="0035511B" w:rsidRPr="00572FAB" w:rsidRDefault="0035511B" w:rsidP="00C31636">
            <w:pPr>
              <w:pStyle w:val="TableHeader"/>
              <w:ind w:left="0" w:right="0"/>
              <w:jc w:val="left"/>
              <w:rPr>
                <w:sz w:val="20"/>
                <w:szCs w:val="20"/>
              </w:rPr>
            </w:pPr>
          </w:p>
        </w:tc>
        <w:tc>
          <w:tcPr>
            <w:tcW w:w="27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35511B" w:rsidRPr="00572FAB" w:rsidRDefault="0035511B" w:rsidP="00C31636">
            <w:pPr>
              <w:pStyle w:val="TableHeader"/>
              <w:ind w:left="0" w:right="0"/>
              <w:jc w:val="left"/>
              <w:rPr>
                <w:sz w:val="20"/>
                <w:szCs w:val="20"/>
              </w:rPr>
            </w:pPr>
            <w:r w:rsidRPr="00572FAB">
              <w:rPr>
                <w:sz w:val="20"/>
                <w:szCs w:val="20"/>
              </w:rPr>
              <w:t>Activity</w:t>
            </w:r>
          </w:p>
        </w:tc>
        <w:tc>
          <w:tcPr>
            <w:tcW w:w="52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35511B" w:rsidRPr="00572FAB" w:rsidRDefault="0035511B" w:rsidP="00C31636">
            <w:pPr>
              <w:pStyle w:val="TableHeader"/>
              <w:ind w:left="0" w:right="0"/>
              <w:jc w:val="left"/>
              <w:rPr>
                <w:sz w:val="20"/>
                <w:szCs w:val="20"/>
              </w:rPr>
            </w:pPr>
            <w:r w:rsidRPr="00572FAB">
              <w:rPr>
                <w:sz w:val="20"/>
                <w:szCs w:val="20"/>
              </w:rPr>
              <w:t>Evidence that supports this approach</w:t>
            </w:r>
          </w:p>
        </w:tc>
        <w:tc>
          <w:tcPr>
            <w:tcW w:w="166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35511B" w:rsidRPr="00572FAB" w:rsidRDefault="0035511B" w:rsidP="00C31636">
            <w:pPr>
              <w:pStyle w:val="TableHeader"/>
              <w:ind w:left="0" w:right="0"/>
              <w:jc w:val="left"/>
              <w:rPr>
                <w:sz w:val="20"/>
                <w:szCs w:val="20"/>
              </w:rPr>
            </w:pPr>
            <w:r w:rsidRPr="00572FAB">
              <w:rPr>
                <w:sz w:val="20"/>
                <w:szCs w:val="20"/>
              </w:rPr>
              <w:t>Challenge number(s) addressed</w:t>
            </w:r>
          </w:p>
        </w:tc>
      </w:tr>
      <w:tr w:rsidR="009609F4" w:rsidRPr="00572FAB" w:rsidTr="003E1D08">
        <w:tc>
          <w:tcPr>
            <w:tcW w:w="822" w:type="dxa"/>
            <w:vMerge w:val="restart"/>
            <w:tcBorders>
              <w:top w:val="single" w:sz="4" w:space="0" w:color="000000"/>
              <w:left w:val="single" w:sz="4" w:space="0" w:color="000000"/>
              <w:right w:val="single" w:sz="4" w:space="0" w:color="000000"/>
            </w:tcBorders>
            <w:shd w:val="clear" w:color="auto" w:fill="EAF1DD" w:themeFill="accent3" w:themeFillTint="33"/>
            <w:textDirection w:val="btLr"/>
          </w:tcPr>
          <w:p w:rsidR="0035511B" w:rsidRPr="00572FAB" w:rsidRDefault="00BE1F0D" w:rsidP="0035511B">
            <w:pPr>
              <w:pStyle w:val="TableRow"/>
              <w:ind w:left="113" w:right="113"/>
              <w:jc w:val="center"/>
              <w:rPr>
                <w:sz w:val="20"/>
                <w:szCs w:val="20"/>
              </w:rPr>
            </w:pPr>
            <w:r w:rsidRPr="00572FAB">
              <w:rPr>
                <w:sz w:val="20"/>
                <w:szCs w:val="20"/>
              </w:rPr>
              <w:lastRenderedPageBreak/>
              <w:t xml:space="preserve">Wider Strategies ( </w:t>
            </w:r>
            <w:r w:rsidR="0035511B" w:rsidRPr="00572FAB">
              <w:rPr>
                <w:sz w:val="20"/>
                <w:szCs w:val="20"/>
              </w:rPr>
              <w:t>Attendance</w:t>
            </w:r>
            <w:r w:rsidRPr="00572FAB">
              <w:rPr>
                <w:sz w:val="20"/>
                <w:szCs w:val="20"/>
              </w:rPr>
              <w:t xml:space="preserve">) </w:t>
            </w:r>
          </w:p>
        </w:tc>
        <w:tc>
          <w:tcPr>
            <w:tcW w:w="27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Pr="00572FAB" w:rsidRDefault="0035511B" w:rsidP="0035511B">
            <w:pPr>
              <w:pStyle w:val="TableRow"/>
              <w:ind w:left="0" w:right="0"/>
              <w:rPr>
                <w:sz w:val="20"/>
                <w:szCs w:val="20"/>
              </w:rPr>
            </w:pPr>
            <w:r w:rsidRPr="00572FAB">
              <w:rPr>
                <w:sz w:val="20"/>
                <w:szCs w:val="20"/>
              </w:rPr>
              <w:t xml:space="preserve">Establish and develop the link with the attendance officer to work with PP families to focus on building relationships and identifying barriers to attendance </w:t>
            </w:r>
          </w:p>
        </w:tc>
        <w:tc>
          <w:tcPr>
            <w:tcW w:w="525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Pr="00572FAB" w:rsidRDefault="009609F4" w:rsidP="00C31636">
            <w:pPr>
              <w:pStyle w:val="TableRowCentered"/>
              <w:ind w:left="0" w:right="0"/>
              <w:jc w:val="left"/>
              <w:rPr>
                <w:sz w:val="20"/>
              </w:rPr>
            </w:pPr>
            <w:proofErr w:type="spellStart"/>
            <w:r w:rsidRPr="00572FAB">
              <w:rPr>
                <w:sz w:val="20"/>
              </w:rPr>
              <w:t>DfE</w:t>
            </w:r>
            <w:proofErr w:type="spellEnd"/>
            <w:r w:rsidRPr="00572FAB">
              <w:rPr>
                <w:sz w:val="20"/>
              </w:rPr>
              <w:t xml:space="preserve"> research on attendance and attainment (2022)</w:t>
            </w:r>
            <w:r w:rsidR="003E1D08" w:rsidRPr="003E1D08">
              <w:rPr>
                <w:sz w:val="20"/>
              </w:rPr>
              <w:t xml:space="preserve"> https://www.gov.uk/government/publications/link-between-attendance-and-attainment</w:t>
            </w:r>
          </w:p>
        </w:tc>
        <w:tc>
          <w:tcPr>
            <w:tcW w:w="166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Pr="00572FAB" w:rsidRDefault="0035511B" w:rsidP="00C31636">
            <w:pPr>
              <w:pStyle w:val="TableRowCentered"/>
              <w:ind w:left="0" w:right="0"/>
              <w:jc w:val="left"/>
              <w:rPr>
                <w:sz w:val="20"/>
              </w:rPr>
            </w:pPr>
            <w:r w:rsidRPr="00572FAB">
              <w:rPr>
                <w:sz w:val="20"/>
              </w:rPr>
              <w:t>2</w:t>
            </w:r>
          </w:p>
        </w:tc>
      </w:tr>
      <w:tr w:rsidR="009609F4" w:rsidRPr="00572FAB" w:rsidTr="003E1D08">
        <w:tc>
          <w:tcPr>
            <w:tcW w:w="822" w:type="dxa"/>
            <w:vMerge/>
            <w:tcBorders>
              <w:left w:val="single" w:sz="4" w:space="0" w:color="000000"/>
              <w:right w:val="single" w:sz="4" w:space="0" w:color="000000"/>
            </w:tcBorders>
            <w:shd w:val="clear" w:color="auto" w:fill="EAF1DD" w:themeFill="accent3" w:themeFillTint="33"/>
          </w:tcPr>
          <w:p w:rsidR="0035511B" w:rsidRPr="00572FAB" w:rsidRDefault="0035511B" w:rsidP="0035511B">
            <w:pPr>
              <w:pStyle w:val="TableRow"/>
              <w:ind w:left="0" w:right="0"/>
              <w:rPr>
                <w:sz w:val="20"/>
                <w:szCs w:val="20"/>
              </w:rPr>
            </w:pPr>
          </w:p>
        </w:tc>
        <w:tc>
          <w:tcPr>
            <w:tcW w:w="27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Pr="00572FAB" w:rsidRDefault="0035511B" w:rsidP="0035511B">
            <w:pPr>
              <w:pStyle w:val="TableRow"/>
              <w:ind w:left="0" w:right="0"/>
              <w:rPr>
                <w:sz w:val="20"/>
                <w:szCs w:val="20"/>
              </w:rPr>
            </w:pPr>
            <w:r w:rsidRPr="00572FAB">
              <w:rPr>
                <w:sz w:val="20"/>
                <w:szCs w:val="20"/>
              </w:rPr>
              <w:t xml:space="preserve">Continued use of Attendance buddies but focus the support on PP pupils – attendance and punctuality. </w:t>
            </w:r>
          </w:p>
        </w:tc>
        <w:tc>
          <w:tcPr>
            <w:tcW w:w="525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Default="0035511B" w:rsidP="00C31636">
            <w:pPr>
              <w:pStyle w:val="TableRowCentered"/>
              <w:ind w:left="0" w:right="0"/>
              <w:jc w:val="left"/>
              <w:rPr>
                <w:sz w:val="20"/>
              </w:rPr>
            </w:pPr>
            <w:proofErr w:type="spellStart"/>
            <w:r w:rsidRPr="00572FAB">
              <w:rPr>
                <w:sz w:val="20"/>
              </w:rPr>
              <w:t>Gorard</w:t>
            </w:r>
            <w:proofErr w:type="spellEnd"/>
            <w:r w:rsidRPr="00572FAB">
              <w:rPr>
                <w:sz w:val="20"/>
              </w:rPr>
              <w:t>, Siddiqui &amp; See (Cogent Education, 2023)</w:t>
            </w:r>
          </w:p>
          <w:p w:rsidR="003E1D08" w:rsidRPr="00572FAB" w:rsidRDefault="003E1D08" w:rsidP="00C31636">
            <w:pPr>
              <w:pStyle w:val="TableRowCentered"/>
              <w:ind w:left="0" w:right="0"/>
              <w:jc w:val="left"/>
              <w:rPr>
                <w:sz w:val="20"/>
              </w:rPr>
            </w:pPr>
          </w:p>
        </w:tc>
        <w:tc>
          <w:tcPr>
            <w:tcW w:w="166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Pr="00572FAB" w:rsidRDefault="003E1D08" w:rsidP="00C31636">
            <w:pPr>
              <w:pStyle w:val="TableRowCentered"/>
              <w:ind w:left="0" w:right="0"/>
              <w:jc w:val="left"/>
              <w:rPr>
                <w:sz w:val="20"/>
              </w:rPr>
            </w:pPr>
            <w:r>
              <w:rPr>
                <w:sz w:val="20"/>
              </w:rPr>
              <w:t>2</w:t>
            </w:r>
          </w:p>
        </w:tc>
      </w:tr>
      <w:tr w:rsidR="009609F4" w:rsidRPr="00572FAB" w:rsidTr="003E1D08">
        <w:tc>
          <w:tcPr>
            <w:tcW w:w="822" w:type="dxa"/>
            <w:vMerge/>
            <w:tcBorders>
              <w:left w:val="single" w:sz="4" w:space="0" w:color="000000"/>
              <w:right w:val="single" w:sz="4" w:space="0" w:color="000000"/>
            </w:tcBorders>
            <w:shd w:val="clear" w:color="auto" w:fill="EAF1DD" w:themeFill="accent3" w:themeFillTint="33"/>
          </w:tcPr>
          <w:p w:rsidR="0035511B" w:rsidRPr="00572FAB" w:rsidRDefault="0035511B" w:rsidP="0035511B">
            <w:pPr>
              <w:pStyle w:val="TableRow"/>
              <w:ind w:left="0" w:right="0"/>
              <w:rPr>
                <w:sz w:val="20"/>
                <w:szCs w:val="20"/>
              </w:rPr>
            </w:pPr>
          </w:p>
        </w:tc>
        <w:tc>
          <w:tcPr>
            <w:tcW w:w="27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Pr="00572FAB" w:rsidRDefault="0035511B" w:rsidP="0035511B">
            <w:pPr>
              <w:pStyle w:val="TableRow"/>
              <w:ind w:left="0" w:right="0"/>
              <w:rPr>
                <w:sz w:val="20"/>
                <w:szCs w:val="20"/>
              </w:rPr>
            </w:pPr>
            <w:proofErr w:type="spellStart"/>
            <w:r w:rsidRPr="00572FAB">
              <w:rPr>
                <w:sz w:val="20"/>
                <w:szCs w:val="20"/>
              </w:rPr>
              <w:t>Headteacher</w:t>
            </w:r>
            <w:proofErr w:type="spellEnd"/>
            <w:r w:rsidRPr="00572FAB">
              <w:rPr>
                <w:sz w:val="20"/>
                <w:szCs w:val="20"/>
              </w:rPr>
              <w:t xml:space="preserve"> to meet pupils to discuss barriers to attendance and punctuality – using ‘Day in the Life’ to identify areas of concern</w:t>
            </w:r>
          </w:p>
        </w:tc>
        <w:tc>
          <w:tcPr>
            <w:tcW w:w="525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Default="003E1D08" w:rsidP="00C31636">
            <w:pPr>
              <w:pStyle w:val="TableRowCentered"/>
              <w:ind w:left="0" w:right="0"/>
              <w:jc w:val="left"/>
              <w:rPr>
                <w:sz w:val="20"/>
              </w:rPr>
            </w:pPr>
            <w:proofErr w:type="spellStart"/>
            <w:r w:rsidRPr="00572FAB">
              <w:rPr>
                <w:sz w:val="20"/>
              </w:rPr>
              <w:t>DfE</w:t>
            </w:r>
            <w:proofErr w:type="spellEnd"/>
            <w:r w:rsidRPr="00572FAB">
              <w:rPr>
                <w:sz w:val="20"/>
              </w:rPr>
              <w:t xml:space="preserve"> research on attendance and attainment (2022)</w:t>
            </w:r>
          </w:p>
          <w:p w:rsidR="003E1D08" w:rsidRPr="00572FAB" w:rsidRDefault="003E1D08" w:rsidP="00C31636">
            <w:pPr>
              <w:pStyle w:val="TableRowCentered"/>
              <w:ind w:left="0" w:right="0"/>
              <w:jc w:val="left"/>
              <w:rPr>
                <w:sz w:val="20"/>
              </w:rPr>
            </w:pPr>
            <w:r w:rsidRPr="003E1D08">
              <w:rPr>
                <w:sz w:val="20"/>
              </w:rPr>
              <w:t>https://www.gov.uk/government/publications/link-between-attendance-and-attainment</w:t>
            </w:r>
          </w:p>
        </w:tc>
        <w:tc>
          <w:tcPr>
            <w:tcW w:w="166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Pr="00572FAB" w:rsidRDefault="003E1D08" w:rsidP="00C31636">
            <w:pPr>
              <w:pStyle w:val="TableRowCentered"/>
              <w:ind w:left="0" w:right="0"/>
              <w:jc w:val="left"/>
              <w:rPr>
                <w:sz w:val="20"/>
              </w:rPr>
            </w:pPr>
            <w:r>
              <w:rPr>
                <w:sz w:val="20"/>
              </w:rPr>
              <w:t>2</w:t>
            </w:r>
          </w:p>
        </w:tc>
      </w:tr>
      <w:tr w:rsidR="009609F4" w:rsidRPr="00572FAB" w:rsidTr="003E1D08">
        <w:trPr>
          <w:trHeight w:val="785"/>
        </w:trPr>
        <w:tc>
          <w:tcPr>
            <w:tcW w:w="822" w:type="dxa"/>
            <w:vMerge/>
            <w:tcBorders>
              <w:left w:val="single" w:sz="4" w:space="0" w:color="000000"/>
              <w:bottom w:val="single" w:sz="4" w:space="0" w:color="000000"/>
              <w:right w:val="single" w:sz="4" w:space="0" w:color="000000"/>
            </w:tcBorders>
            <w:shd w:val="clear" w:color="auto" w:fill="EAF1DD" w:themeFill="accent3" w:themeFillTint="33"/>
          </w:tcPr>
          <w:p w:rsidR="0035511B" w:rsidRPr="00572FAB" w:rsidRDefault="0035511B" w:rsidP="0035511B">
            <w:pPr>
              <w:pStyle w:val="TableRow"/>
              <w:ind w:left="0" w:right="0"/>
              <w:rPr>
                <w:sz w:val="20"/>
                <w:szCs w:val="20"/>
              </w:rPr>
            </w:pPr>
          </w:p>
        </w:tc>
        <w:tc>
          <w:tcPr>
            <w:tcW w:w="27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BE1F0D" w:rsidRPr="00572FAB" w:rsidRDefault="0035511B" w:rsidP="0035511B">
            <w:pPr>
              <w:pStyle w:val="TableRow"/>
              <w:ind w:left="0" w:right="0"/>
              <w:rPr>
                <w:sz w:val="20"/>
                <w:szCs w:val="20"/>
              </w:rPr>
            </w:pPr>
            <w:r w:rsidRPr="00572FAB">
              <w:rPr>
                <w:sz w:val="20"/>
                <w:szCs w:val="20"/>
              </w:rPr>
              <w:t>Hold termly (or half-termly) meetings with parents where attendance is low to identify sources of supp</w:t>
            </w:r>
            <w:r w:rsidR="003E1D08">
              <w:rPr>
                <w:sz w:val="20"/>
                <w:szCs w:val="20"/>
              </w:rPr>
              <w:t>ort</w:t>
            </w:r>
          </w:p>
        </w:tc>
        <w:tc>
          <w:tcPr>
            <w:tcW w:w="525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Default="003E1D08" w:rsidP="00C31636">
            <w:pPr>
              <w:pStyle w:val="TableRowCentered"/>
              <w:ind w:left="0" w:right="0"/>
              <w:jc w:val="left"/>
              <w:rPr>
                <w:sz w:val="20"/>
              </w:rPr>
            </w:pPr>
            <w:proofErr w:type="spellStart"/>
            <w:r w:rsidRPr="00572FAB">
              <w:rPr>
                <w:sz w:val="20"/>
              </w:rPr>
              <w:t>DfE</w:t>
            </w:r>
            <w:proofErr w:type="spellEnd"/>
            <w:r w:rsidRPr="00572FAB">
              <w:rPr>
                <w:sz w:val="20"/>
              </w:rPr>
              <w:t xml:space="preserve"> research on attendance and attainment (2022)</w:t>
            </w:r>
          </w:p>
          <w:p w:rsidR="003E1D08" w:rsidRPr="00572FAB" w:rsidRDefault="003E1D08" w:rsidP="00C31636">
            <w:pPr>
              <w:pStyle w:val="TableRowCentered"/>
              <w:ind w:left="0" w:right="0"/>
              <w:jc w:val="left"/>
              <w:rPr>
                <w:sz w:val="20"/>
              </w:rPr>
            </w:pPr>
            <w:r w:rsidRPr="003E1D08">
              <w:rPr>
                <w:sz w:val="20"/>
              </w:rPr>
              <w:t>https://www.gov.uk/government/publications/link-between-attendance-and-attainment</w:t>
            </w:r>
          </w:p>
        </w:tc>
        <w:tc>
          <w:tcPr>
            <w:tcW w:w="166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rsidR="0035511B" w:rsidRPr="00572FAB" w:rsidRDefault="003E1D08" w:rsidP="00C31636">
            <w:pPr>
              <w:pStyle w:val="TableRowCentered"/>
              <w:ind w:left="0" w:right="0"/>
              <w:jc w:val="left"/>
              <w:rPr>
                <w:sz w:val="20"/>
              </w:rPr>
            </w:pPr>
            <w:r>
              <w:rPr>
                <w:sz w:val="20"/>
              </w:rPr>
              <w:t>2</w:t>
            </w:r>
          </w:p>
        </w:tc>
      </w:tr>
      <w:tr w:rsidR="003E1D08" w:rsidRPr="00572FAB" w:rsidTr="003E1D08">
        <w:trPr>
          <w:trHeight w:val="994"/>
        </w:trPr>
        <w:tc>
          <w:tcPr>
            <w:tcW w:w="822" w:type="dxa"/>
            <w:vMerge w:val="restart"/>
            <w:tcBorders>
              <w:left w:val="single" w:sz="4" w:space="0" w:color="000000"/>
              <w:right w:val="single" w:sz="4" w:space="0" w:color="000000"/>
            </w:tcBorders>
            <w:shd w:val="clear" w:color="auto" w:fill="DBE5F1" w:themeFill="accent1" w:themeFillTint="33"/>
            <w:textDirection w:val="btLr"/>
          </w:tcPr>
          <w:p w:rsidR="003E1D08" w:rsidRPr="00572FAB" w:rsidRDefault="003E1D08" w:rsidP="003E1D08">
            <w:pPr>
              <w:pStyle w:val="TableRow"/>
              <w:ind w:left="113" w:right="113"/>
              <w:jc w:val="center"/>
              <w:rPr>
                <w:sz w:val="20"/>
                <w:szCs w:val="20"/>
              </w:rPr>
            </w:pPr>
            <w:r>
              <w:rPr>
                <w:sz w:val="20"/>
                <w:szCs w:val="20"/>
              </w:rPr>
              <w:t>Wider strategies (Parental Engagement )</w:t>
            </w:r>
          </w:p>
        </w:tc>
        <w:tc>
          <w:tcPr>
            <w:tcW w:w="27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3E1D08">
            <w:pPr>
              <w:pStyle w:val="TableRow"/>
              <w:ind w:left="0" w:right="0"/>
              <w:rPr>
                <w:sz w:val="20"/>
                <w:szCs w:val="20"/>
              </w:rPr>
            </w:pPr>
            <w:r w:rsidRPr="00572FAB">
              <w:rPr>
                <w:sz w:val="20"/>
                <w:szCs w:val="20"/>
              </w:rPr>
              <w:t>Contact parents who are often absent at events to ensure they know about the event and encourage attendance, identify and remove barriers</w:t>
            </w:r>
          </w:p>
        </w:tc>
        <w:tc>
          <w:tcPr>
            <w:tcW w:w="5253" w:type="dxa"/>
            <w:tcBorders>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3E1D08">
            <w:pPr>
              <w:pStyle w:val="TableRowCentered"/>
              <w:ind w:left="0" w:right="0"/>
              <w:jc w:val="left"/>
              <w:rPr>
                <w:sz w:val="20"/>
              </w:rPr>
            </w:pPr>
            <w:r w:rsidRPr="00572FAB">
              <w:rPr>
                <w:sz w:val="20"/>
              </w:rPr>
              <w:t>EEF Parental Engagement Guidance Report (2018); Working with Parents to Support Children’s Learning</w:t>
            </w:r>
          </w:p>
          <w:p w:rsidR="003E1D08" w:rsidRPr="00572FAB" w:rsidRDefault="003E1D08" w:rsidP="003E1D08">
            <w:pPr>
              <w:pStyle w:val="TableRowCentered"/>
              <w:ind w:left="0" w:right="0"/>
              <w:jc w:val="left"/>
              <w:rPr>
                <w:sz w:val="20"/>
              </w:rPr>
            </w:pPr>
          </w:p>
          <w:p w:rsidR="003E1D08" w:rsidRPr="00572FAB" w:rsidRDefault="004E21FE" w:rsidP="003E1D08">
            <w:pPr>
              <w:pStyle w:val="TableRowCentered"/>
              <w:ind w:left="0" w:right="0"/>
              <w:jc w:val="left"/>
              <w:rPr>
                <w:sz w:val="20"/>
              </w:rPr>
            </w:pPr>
            <w:hyperlink r:id="rId13" w:history="1">
              <w:r w:rsidR="003E1D08" w:rsidRPr="00572FAB">
                <w:rPr>
                  <w:rStyle w:val="Hyperlink"/>
                  <w:sz w:val="20"/>
                </w:rPr>
                <w:t>https://educationendowmentfoundation.org.uk/education-evidence/teaching-learning-toolkit/parental-engagement</w:t>
              </w:r>
            </w:hyperlink>
          </w:p>
          <w:p w:rsidR="003E1D08" w:rsidRPr="00572FAB" w:rsidRDefault="003E1D08" w:rsidP="003E1D08">
            <w:pPr>
              <w:pStyle w:val="TableRowCentered"/>
              <w:ind w:left="0" w:right="0"/>
              <w:jc w:val="left"/>
              <w:rPr>
                <w:sz w:val="20"/>
              </w:rPr>
            </w:pPr>
            <w:r w:rsidRPr="00572FAB">
              <w:rPr>
                <w:sz w:val="20"/>
              </w:rPr>
              <w:t>About 4 months+ progress</w:t>
            </w:r>
          </w:p>
          <w:p w:rsidR="003E1D08" w:rsidRPr="00572FAB" w:rsidRDefault="003E1D08" w:rsidP="003E1D08">
            <w:pPr>
              <w:pStyle w:val="TableRowCentered"/>
              <w:ind w:left="0" w:right="0"/>
              <w:jc w:val="left"/>
              <w:rPr>
                <w:sz w:val="20"/>
              </w:rPr>
            </w:pPr>
          </w:p>
        </w:tc>
        <w:tc>
          <w:tcPr>
            <w:tcW w:w="1664" w:type="dxa"/>
            <w:tcBorders>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4B3D17" w:rsidRDefault="003E1D08" w:rsidP="003E1D08">
            <w:pPr>
              <w:pStyle w:val="TableRowCentered"/>
              <w:rPr>
                <w:sz w:val="20"/>
              </w:rPr>
            </w:pPr>
            <w:r w:rsidRPr="004B3D17">
              <w:rPr>
                <w:sz w:val="20"/>
              </w:rPr>
              <w:t>2</w:t>
            </w:r>
          </w:p>
        </w:tc>
      </w:tr>
      <w:tr w:rsidR="003E1D08" w:rsidRPr="00572FAB" w:rsidTr="003E1D08">
        <w:trPr>
          <w:trHeight w:val="994"/>
        </w:trPr>
        <w:tc>
          <w:tcPr>
            <w:tcW w:w="822" w:type="dxa"/>
            <w:vMerge/>
            <w:tcBorders>
              <w:left w:val="single" w:sz="4" w:space="0" w:color="000000"/>
              <w:right w:val="single" w:sz="4" w:space="0" w:color="000000"/>
            </w:tcBorders>
            <w:shd w:val="clear" w:color="auto" w:fill="DBE5F1" w:themeFill="accent1" w:themeFillTint="33"/>
          </w:tcPr>
          <w:p w:rsidR="003E1D08" w:rsidRPr="00572FAB" w:rsidRDefault="003E1D08" w:rsidP="003E1D08">
            <w:pPr>
              <w:pStyle w:val="TableRow"/>
              <w:ind w:left="0" w:right="0"/>
              <w:rPr>
                <w:sz w:val="20"/>
                <w:szCs w:val="20"/>
              </w:rPr>
            </w:pPr>
          </w:p>
        </w:tc>
        <w:tc>
          <w:tcPr>
            <w:tcW w:w="27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3E1D08">
            <w:pPr>
              <w:pStyle w:val="TableRow"/>
              <w:ind w:left="0" w:right="0"/>
              <w:rPr>
                <w:sz w:val="20"/>
                <w:szCs w:val="20"/>
              </w:rPr>
            </w:pPr>
            <w:r w:rsidRPr="00572FAB">
              <w:rPr>
                <w:sz w:val="20"/>
                <w:szCs w:val="20"/>
              </w:rPr>
              <w:t>FSM application support. Encourage the uptake of FSM funding with an incentive of books vouchers or equipment or school trips to benefit the pupils</w:t>
            </w:r>
          </w:p>
        </w:tc>
        <w:tc>
          <w:tcPr>
            <w:tcW w:w="5253" w:type="dxa"/>
            <w:tcBorders>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3E1D08">
            <w:pPr>
              <w:pStyle w:val="TableRowCentered"/>
              <w:ind w:left="0" w:right="0"/>
              <w:jc w:val="left"/>
              <w:rPr>
                <w:sz w:val="20"/>
              </w:rPr>
            </w:pPr>
            <w:r w:rsidRPr="00572FAB">
              <w:rPr>
                <w:sz w:val="20"/>
              </w:rPr>
              <w:t>EEF Parental Engagement Guidance Report (2018); Working with Parents to Support Children’s Learning</w:t>
            </w:r>
          </w:p>
          <w:p w:rsidR="003E1D08" w:rsidRPr="00572FAB" w:rsidRDefault="003E1D08" w:rsidP="003E1D08">
            <w:pPr>
              <w:pStyle w:val="TableRowCentered"/>
              <w:ind w:left="0" w:right="0"/>
              <w:jc w:val="left"/>
              <w:rPr>
                <w:sz w:val="20"/>
              </w:rPr>
            </w:pPr>
          </w:p>
          <w:p w:rsidR="003E1D08" w:rsidRPr="00572FAB" w:rsidRDefault="004E21FE" w:rsidP="003E1D08">
            <w:pPr>
              <w:pStyle w:val="TableRowCentered"/>
              <w:ind w:left="0" w:right="0"/>
              <w:jc w:val="left"/>
              <w:rPr>
                <w:sz w:val="20"/>
              </w:rPr>
            </w:pPr>
            <w:hyperlink r:id="rId14" w:history="1">
              <w:r w:rsidR="003E1D08" w:rsidRPr="00572FAB">
                <w:rPr>
                  <w:rStyle w:val="Hyperlink"/>
                  <w:sz w:val="20"/>
                </w:rPr>
                <w:t>https://educationendowmentfoundation.org.uk/education-evidence/teaching-learning-toolkit/parental-engagement</w:t>
              </w:r>
            </w:hyperlink>
          </w:p>
          <w:p w:rsidR="003E1D08" w:rsidRPr="00572FAB" w:rsidRDefault="003E1D08" w:rsidP="003E1D08">
            <w:pPr>
              <w:pStyle w:val="TableRowCentered"/>
              <w:ind w:left="0" w:right="0"/>
              <w:jc w:val="left"/>
              <w:rPr>
                <w:sz w:val="20"/>
              </w:rPr>
            </w:pPr>
            <w:r w:rsidRPr="00572FAB">
              <w:rPr>
                <w:sz w:val="20"/>
              </w:rPr>
              <w:t>About 4 months+ progress</w:t>
            </w:r>
          </w:p>
          <w:p w:rsidR="003E1D08" w:rsidRPr="00572FAB" w:rsidRDefault="003E1D08" w:rsidP="003E1D08">
            <w:pPr>
              <w:pStyle w:val="TableRowCentered"/>
              <w:ind w:left="0" w:right="0"/>
              <w:jc w:val="left"/>
              <w:rPr>
                <w:sz w:val="20"/>
              </w:rPr>
            </w:pPr>
          </w:p>
        </w:tc>
        <w:tc>
          <w:tcPr>
            <w:tcW w:w="1664" w:type="dxa"/>
            <w:tcBorders>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Default="003E1D08" w:rsidP="003E1D08">
            <w:r w:rsidRPr="004B3D17">
              <w:rPr>
                <w:sz w:val="20"/>
                <w:szCs w:val="20"/>
              </w:rPr>
              <w:t>5</w:t>
            </w:r>
          </w:p>
        </w:tc>
      </w:tr>
      <w:tr w:rsidR="003E1D08" w:rsidRPr="00572FAB" w:rsidTr="003E1D08">
        <w:trPr>
          <w:trHeight w:val="994"/>
        </w:trPr>
        <w:tc>
          <w:tcPr>
            <w:tcW w:w="822" w:type="dxa"/>
            <w:vMerge/>
            <w:tcBorders>
              <w:left w:val="single" w:sz="4" w:space="0" w:color="000000"/>
              <w:right w:val="single" w:sz="4" w:space="0" w:color="000000"/>
            </w:tcBorders>
            <w:shd w:val="clear" w:color="auto" w:fill="DBE5F1" w:themeFill="accent1" w:themeFillTint="33"/>
          </w:tcPr>
          <w:p w:rsidR="003E1D08" w:rsidRPr="00572FAB" w:rsidRDefault="003E1D08" w:rsidP="00C31636">
            <w:pPr>
              <w:pStyle w:val="TableRow"/>
              <w:ind w:left="0" w:right="0"/>
              <w:rPr>
                <w:sz w:val="20"/>
                <w:szCs w:val="20"/>
              </w:rPr>
            </w:pPr>
          </w:p>
        </w:tc>
        <w:tc>
          <w:tcPr>
            <w:tcW w:w="27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C31636">
            <w:pPr>
              <w:pStyle w:val="TableRow"/>
              <w:ind w:left="0" w:right="0"/>
              <w:rPr>
                <w:sz w:val="20"/>
                <w:szCs w:val="20"/>
              </w:rPr>
            </w:pPr>
            <w:r w:rsidRPr="00572FAB">
              <w:rPr>
                <w:sz w:val="20"/>
                <w:szCs w:val="20"/>
              </w:rPr>
              <w:t>Conduct an in-person survey of PP parents at parents’ evening to discuss the newsletter communication and homework uptake and analyse responses for actions</w:t>
            </w:r>
          </w:p>
        </w:tc>
        <w:tc>
          <w:tcPr>
            <w:tcW w:w="5253" w:type="dxa"/>
            <w:tcBorders>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3E1D08">
            <w:pPr>
              <w:pStyle w:val="TableRowCentered"/>
              <w:ind w:left="0" w:right="0"/>
              <w:jc w:val="left"/>
              <w:rPr>
                <w:sz w:val="20"/>
              </w:rPr>
            </w:pPr>
            <w:r w:rsidRPr="00572FAB">
              <w:rPr>
                <w:sz w:val="20"/>
              </w:rPr>
              <w:t>EEF Parental Engagement Guidance Report (2018); Working with Parents to Support Children’s Learning</w:t>
            </w:r>
          </w:p>
          <w:p w:rsidR="003E1D08" w:rsidRPr="00572FAB" w:rsidRDefault="003E1D08" w:rsidP="003E1D08">
            <w:pPr>
              <w:pStyle w:val="TableRowCentered"/>
              <w:ind w:left="0" w:right="0"/>
              <w:jc w:val="left"/>
              <w:rPr>
                <w:sz w:val="20"/>
              </w:rPr>
            </w:pPr>
          </w:p>
          <w:p w:rsidR="003E1D08" w:rsidRPr="00572FAB" w:rsidRDefault="004E21FE" w:rsidP="003E1D08">
            <w:pPr>
              <w:pStyle w:val="TableRowCentered"/>
              <w:ind w:left="0" w:right="0"/>
              <w:jc w:val="left"/>
              <w:rPr>
                <w:sz w:val="20"/>
              </w:rPr>
            </w:pPr>
            <w:hyperlink r:id="rId15" w:history="1">
              <w:r w:rsidR="003E1D08" w:rsidRPr="00572FAB">
                <w:rPr>
                  <w:rStyle w:val="Hyperlink"/>
                  <w:sz w:val="20"/>
                </w:rPr>
                <w:t>https://educationendowmentfoundation.org.uk/education-evidence/teaching-learning-toolkit/parental-engagement</w:t>
              </w:r>
            </w:hyperlink>
          </w:p>
          <w:p w:rsidR="003E1D08" w:rsidRPr="00572FAB" w:rsidRDefault="003E1D08" w:rsidP="003E1D08">
            <w:pPr>
              <w:pStyle w:val="TableRowCentered"/>
              <w:ind w:left="0" w:right="0"/>
              <w:jc w:val="left"/>
              <w:rPr>
                <w:sz w:val="20"/>
              </w:rPr>
            </w:pPr>
            <w:r w:rsidRPr="00572FAB">
              <w:rPr>
                <w:sz w:val="20"/>
              </w:rPr>
              <w:t>About 4 months+ progress</w:t>
            </w:r>
          </w:p>
          <w:p w:rsidR="003E1D08" w:rsidRPr="00572FAB" w:rsidRDefault="003E1D08" w:rsidP="00C31636">
            <w:pPr>
              <w:pStyle w:val="TableRowCentered"/>
              <w:ind w:left="0" w:right="0"/>
              <w:jc w:val="left"/>
              <w:rPr>
                <w:sz w:val="20"/>
              </w:rPr>
            </w:pPr>
          </w:p>
        </w:tc>
        <w:tc>
          <w:tcPr>
            <w:tcW w:w="1664" w:type="dxa"/>
            <w:tcBorders>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3E1D08">
            <w:pPr>
              <w:pStyle w:val="TableRowCentered"/>
              <w:ind w:left="0" w:right="0"/>
              <w:jc w:val="left"/>
              <w:rPr>
                <w:sz w:val="20"/>
              </w:rPr>
            </w:pPr>
            <w:r w:rsidRPr="00572FAB">
              <w:rPr>
                <w:sz w:val="20"/>
              </w:rPr>
              <w:t>2</w:t>
            </w:r>
          </w:p>
          <w:p w:rsidR="003E1D08" w:rsidRPr="00572FAB" w:rsidRDefault="003E1D08" w:rsidP="003E1D08">
            <w:pPr>
              <w:pStyle w:val="TableRowCentered"/>
              <w:ind w:left="0" w:right="0"/>
              <w:jc w:val="left"/>
              <w:rPr>
                <w:sz w:val="20"/>
              </w:rPr>
            </w:pPr>
            <w:r w:rsidRPr="00572FAB">
              <w:rPr>
                <w:sz w:val="20"/>
              </w:rPr>
              <w:t>5</w:t>
            </w:r>
          </w:p>
        </w:tc>
      </w:tr>
      <w:tr w:rsidR="003E1D08" w:rsidRPr="00572FAB" w:rsidTr="003E1D08">
        <w:trPr>
          <w:trHeight w:val="994"/>
        </w:trPr>
        <w:tc>
          <w:tcPr>
            <w:tcW w:w="822" w:type="dxa"/>
            <w:vMerge/>
            <w:tcBorders>
              <w:left w:val="single" w:sz="4" w:space="0" w:color="000000"/>
              <w:bottom w:val="single" w:sz="4" w:space="0" w:color="000000"/>
              <w:right w:val="single" w:sz="4" w:space="0" w:color="000000"/>
            </w:tcBorders>
            <w:shd w:val="clear" w:color="auto" w:fill="DBE5F1" w:themeFill="accent1" w:themeFillTint="33"/>
          </w:tcPr>
          <w:p w:rsidR="003E1D08" w:rsidRPr="00572FAB" w:rsidRDefault="003E1D08" w:rsidP="00C31636">
            <w:pPr>
              <w:pStyle w:val="TableRow"/>
              <w:ind w:left="0" w:right="0"/>
              <w:rPr>
                <w:sz w:val="20"/>
                <w:szCs w:val="20"/>
              </w:rPr>
            </w:pPr>
          </w:p>
        </w:tc>
        <w:tc>
          <w:tcPr>
            <w:tcW w:w="27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C31636">
            <w:pPr>
              <w:pStyle w:val="TableRow"/>
              <w:ind w:left="0" w:right="0"/>
              <w:rPr>
                <w:sz w:val="20"/>
                <w:szCs w:val="20"/>
              </w:rPr>
            </w:pPr>
            <w:r w:rsidRPr="00572FAB">
              <w:rPr>
                <w:sz w:val="20"/>
                <w:szCs w:val="20"/>
              </w:rPr>
              <w:t>Hold individual parent meetings with those who are not attending the workshops or open meetings</w:t>
            </w:r>
          </w:p>
        </w:tc>
        <w:tc>
          <w:tcPr>
            <w:tcW w:w="5253" w:type="dxa"/>
            <w:tcBorders>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3E1D08">
            <w:pPr>
              <w:pStyle w:val="TableRowCentered"/>
              <w:ind w:left="0" w:right="0"/>
              <w:jc w:val="left"/>
              <w:rPr>
                <w:sz w:val="20"/>
              </w:rPr>
            </w:pPr>
            <w:r w:rsidRPr="00572FAB">
              <w:rPr>
                <w:sz w:val="20"/>
              </w:rPr>
              <w:t>EEF Parental Engagement Guidance Report (2018); Working with Parents to Support Children’s Learning</w:t>
            </w:r>
          </w:p>
          <w:p w:rsidR="003E1D08" w:rsidRPr="00572FAB" w:rsidRDefault="003E1D08" w:rsidP="003E1D08">
            <w:pPr>
              <w:pStyle w:val="TableRowCentered"/>
              <w:ind w:left="0" w:right="0"/>
              <w:jc w:val="left"/>
              <w:rPr>
                <w:sz w:val="20"/>
              </w:rPr>
            </w:pPr>
          </w:p>
          <w:p w:rsidR="003E1D08" w:rsidRPr="00572FAB" w:rsidRDefault="004E21FE" w:rsidP="003E1D08">
            <w:pPr>
              <w:pStyle w:val="TableRowCentered"/>
              <w:ind w:left="0" w:right="0"/>
              <w:jc w:val="left"/>
              <w:rPr>
                <w:sz w:val="20"/>
              </w:rPr>
            </w:pPr>
            <w:hyperlink r:id="rId16" w:history="1">
              <w:r w:rsidR="003E1D08" w:rsidRPr="00572FAB">
                <w:rPr>
                  <w:rStyle w:val="Hyperlink"/>
                  <w:sz w:val="20"/>
                </w:rPr>
                <w:t>https://educationendowmentfoundation.org.uk/education-evidence/teaching-learning-toolkit/parental-engagement</w:t>
              </w:r>
            </w:hyperlink>
          </w:p>
          <w:p w:rsidR="003E1D08" w:rsidRPr="00572FAB" w:rsidRDefault="003E1D08" w:rsidP="003E1D08">
            <w:pPr>
              <w:pStyle w:val="TableRowCentered"/>
              <w:ind w:left="0" w:right="0"/>
              <w:jc w:val="left"/>
              <w:rPr>
                <w:sz w:val="20"/>
              </w:rPr>
            </w:pPr>
            <w:r w:rsidRPr="00572FAB">
              <w:rPr>
                <w:sz w:val="20"/>
              </w:rPr>
              <w:t>About 4 months+ progress</w:t>
            </w:r>
          </w:p>
          <w:p w:rsidR="003E1D08" w:rsidRPr="00572FAB" w:rsidRDefault="003E1D08" w:rsidP="00C31636">
            <w:pPr>
              <w:pStyle w:val="TableRowCentered"/>
              <w:ind w:left="0" w:right="0"/>
              <w:jc w:val="left"/>
              <w:rPr>
                <w:sz w:val="20"/>
              </w:rPr>
            </w:pPr>
          </w:p>
        </w:tc>
        <w:tc>
          <w:tcPr>
            <w:tcW w:w="1664" w:type="dxa"/>
            <w:tcBorders>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3E1D08" w:rsidRPr="00572FAB" w:rsidRDefault="003E1D08" w:rsidP="003E1D08">
            <w:pPr>
              <w:pStyle w:val="TableRowCentered"/>
              <w:ind w:left="0" w:right="0"/>
              <w:jc w:val="left"/>
              <w:rPr>
                <w:sz w:val="20"/>
              </w:rPr>
            </w:pPr>
            <w:r w:rsidRPr="00572FAB">
              <w:rPr>
                <w:sz w:val="20"/>
              </w:rPr>
              <w:t>2</w:t>
            </w:r>
          </w:p>
          <w:p w:rsidR="003E1D08" w:rsidRPr="00572FAB" w:rsidRDefault="003E1D08" w:rsidP="003E1D08">
            <w:pPr>
              <w:pStyle w:val="TableRowCentered"/>
              <w:ind w:left="0" w:right="0"/>
              <w:jc w:val="left"/>
              <w:rPr>
                <w:sz w:val="20"/>
              </w:rPr>
            </w:pPr>
            <w:r w:rsidRPr="00572FAB">
              <w:rPr>
                <w:sz w:val="20"/>
              </w:rPr>
              <w:t>5</w:t>
            </w:r>
          </w:p>
        </w:tc>
      </w:tr>
      <w:tr w:rsidR="00740BED" w:rsidRPr="00572FAB" w:rsidTr="003E1D08">
        <w:trPr>
          <w:trHeight w:val="1224"/>
        </w:trPr>
        <w:tc>
          <w:tcPr>
            <w:tcW w:w="822" w:type="dxa"/>
            <w:vMerge w:val="restart"/>
            <w:tcBorders>
              <w:top w:val="single" w:sz="4" w:space="0" w:color="000000"/>
              <w:left w:val="single" w:sz="4" w:space="0" w:color="000000"/>
              <w:right w:val="single" w:sz="4" w:space="0" w:color="000000"/>
            </w:tcBorders>
            <w:shd w:val="clear" w:color="auto" w:fill="F2DBDB" w:themeFill="accent2" w:themeFillTint="33"/>
            <w:textDirection w:val="btLr"/>
          </w:tcPr>
          <w:p w:rsidR="00740BED" w:rsidRPr="00572FAB" w:rsidRDefault="00BE1F0D" w:rsidP="009609F4">
            <w:pPr>
              <w:pStyle w:val="TableRow"/>
              <w:ind w:left="113" w:right="113"/>
              <w:jc w:val="center"/>
              <w:rPr>
                <w:sz w:val="20"/>
                <w:szCs w:val="20"/>
              </w:rPr>
            </w:pPr>
            <w:r w:rsidRPr="00572FAB">
              <w:rPr>
                <w:sz w:val="20"/>
                <w:szCs w:val="20"/>
              </w:rPr>
              <w:t>Wider Strategies (</w:t>
            </w:r>
            <w:r w:rsidR="00740BED" w:rsidRPr="00572FAB">
              <w:rPr>
                <w:sz w:val="20"/>
                <w:szCs w:val="20"/>
              </w:rPr>
              <w:t>Wellbeing</w:t>
            </w:r>
            <w:r w:rsidRPr="00572FAB">
              <w:rPr>
                <w:sz w:val="20"/>
                <w:szCs w:val="20"/>
              </w:rPr>
              <w:t>)</w:t>
            </w:r>
          </w:p>
        </w:tc>
        <w:tc>
          <w:tcPr>
            <w:tcW w:w="2717" w:type="dxa"/>
            <w:tcBorders>
              <w:top w:val="single" w:sz="4" w:space="0" w:color="000000"/>
              <w:left w:val="single" w:sz="4" w:space="0" w:color="000000"/>
              <w:right w:val="single" w:sz="4" w:space="0" w:color="000000"/>
            </w:tcBorders>
            <w:shd w:val="clear" w:color="auto" w:fill="F2DBDB" w:themeFill="accent2" w:themeFillTint="33"/>
            <w:tcMar>
              <w:top w:w="0" w:type="dxa"/>
              <w:left w:w="108" w:type="dxa"/>
              <w:bottom w:w="0" w:type="dxa"/>
              <w:right w:w="108" w:type="dxa"/>
            </w:tcMar>
          </w:tcPr>
          <w:p w:rsidR="00740BED" w:rsidRPr="00572FAB" w:rsidRDefault="00740BED" w:rsidP="00C31636">
            <w:pPr>
              <w:pStyle w:val="TableRow"/>
              <w:ind w:left="0" w:right="0"/>
              <w:rPr>
                <w:sz w:val="20"/>
                <w:szCs w:val="20"/>
              </w:rPr>
            </w:pPr>
            <w:r w:rsidRPr="00572FAB">
              <w:rPr>
                <w:sz w:val="20"/>
                <w:szCs w:val="20"/>
              </w:rPr>
              <w:t>Increase wellbeing group uptake for PP pupils to focus on self-efficacy and confidence; and forming positive relationships with peers and staff</w:t>
            </w:r>
          </w:p>
        </w:tc>
        <w:tc>
          <w:tcPr>
            <w:tcW w:w="5253" w:type="dxa"/>
            <w:tcBorders>
              <w:top w:val="single" w:sz="4" w:space="0" w:color="000000"/>
              <w:left w:val="single" w:sz="4" w:space="0" w:color="000000"/>
              <w:right w:val="single" w:sz="4" w:space="0" w:color="000000"/>
            </w:tcBorders>
            <w:shd w:val="clear" w:color="auto" w:fill="F2DBDB" w:themeFill="accent2" w:themeFillTint="33"/>
            <w:tcMar>
              <w:top w:w="0" w:type="dxa"/>
              <w:left w:w="108" w:type="dxa"/>
              <w:bottom w:w="0" w:type="dxa"/>
              <w:right w:w="108" w:type="dxa"/>
            </w:tcMar>
          </w:tcPr>
          <w:p w:rsidR="00740BED" w:rsidRPr="00572FAB" w:rsidRDefault="003E1D08" w:rsidP="00C31636">
            <w:pPr>
              <w:pStyle w:val="TableRowCentered"/>
              <w:ind w:left="0" w:right="0"/>
              <w:jc w:val="left"/>
              <w:rPr>
                <w:sz w:val="20"/>
              </w:rPr>
            </w:pPr>
            <w:r w:rsidRPr="00572FAB">
              <w:rPr>
                <w:sz w:val="20"/>
              </w:rPr>
              <w:t>EEF Toolkit: Homework, Digital Technology, and Enrichment; EEF Social and Emotional Learning evidence</w:t>
            </w:r>
          </w:p>
        </w:tc>
        <w:tc>
          <w:tcPr>
            <w:tcW w:w="1664" w:type="dxa"/>
            <w:tcBorders>
              <w:top w:val="single" w:sz="4" w:space="0" w:color="000000"/>
              <w:left w:val="single" w:sz="4" w:space="0" w:color="000000"/>
              <w:right w:val="single" w:sz="4" w:space="0" w:color="000000"/>
            </w:tcBorders>
            <w:shd w:val="clear" w:color="auto" w:fill="F2DBDB" w:themeFill="accent2" w:themeFillTint="33"/>
            <w:tcMar>
              <w:top w:w="0" w:type="dxa"/>
              <w:left w:w="108" w:type="dxa"/>
              <w:bottom w:w="0" w:type="dxa"/>
              <w:right w:w="108" w:type="dxa"/>
            </w:tcMar>
          </w:tcPr>
          <w:p w:rsidR="00740BED" w:rsidRPr="00572FAB" w:rsidRDefault="003E1D08" w:rsidP="00C31636">
            <w:pPr>
              <w:pStyle w:val="TableRowCentered"/>
              <w:ind w:left="0" w:right="0"/>
              <w:jc w:val="left"/>
              <w:rPr>
                <w:sz w:val="20"/>
              </w:rPr>
            </w:pPr>
            <w:r>
              <w:rPr>
                <w:sz w:val="20"/>
              </w:rPr>
              <w:t>6</w:t>
            </w:r>
          </w:p>
        </w:tc>
      </w:tr>
      <w:tr w:rsidR="00740BED" w:rsidRPr="00572FAB" w:rsidTr="003E1D08">
        <w:trPr>
          <w:trHeight w:val="4008"/>
        </w:trPr>
        <w:tc>
          <w:tcPr>
            <w:tcW w:w="822" w:type="dxa"/>
            <w:vMerge/>
            <w:tcBorders>
              <w:left w:val="single" w:sz="4" w:space="0" w:color="000000"/>
              <w:right w:val="single" w:sz="4" w:space="0" w:color="000000"/>
            </w:tcBorders>
            <w:shd w:val="clear" w:color="auto" w:fill="F2DBDB" w:themeFill="accent2" w:themeFillTint="33"/>
          </w:tcPr>
          <w:p w:rsidR="00740BED" w:rsidRPr="00572FAB" w:rsidRDefault="00740BED" w:rsidP="00D052CD">
            <w:pPr>
              <w:pStyle w:val="TableRow"/>
              <w:ind w:left="0" w:right="0"/>
              <w:rPr>
                <w:sz w:val="20"/>
                <w:szCs w:val="20"/>
              </w:rPr>
            </w:pPr>
          </w:p>
        </w:tc>
        <w:tc>
          <w:tcPr>
            <w:tcW w:w="2717" w:type="dxa"/>
            <w:tcBorders>
              <w:top w:val="single" w:sz="4" w:space="0" w:color="000000"/>
              <w:left w:val="single" w:sz="4" w:space="0" w:color="000000"/>
              <w:right w:val="single" w:sz="4" w:space="0" w:color="000000"/>
            </w:tcBorders>
            <w:shd w:val="clear" w:color="auto" w:fill="F2DBDB" w:themeFill="accent2" w:themeFillTint="33"/>
            <w:tcMar>
              <w:top w:w="0" w:type="dxa"/>
              <w:left w:w="108" w:type="dxa"/>
              <w:bottom w:w="0" w:type="dxa"/>
              <w:right w:w="108" w:type="dxa"/>
            </w:tcMar>
          </w:tcPr>
          <w:p w:rsidR="00740BED" w:rsidRPr="00572FAB" w:rsidRDefault="00740BED" w:rsidP="00431AC8">
            <w:pPr>
              <w:pStyle w:val="TableRow"/>
              <w:ind w:left="0" w:right="0"/>
              <w:rPr>
                <w:sz w:val="20"/>
                <w:szCs w:val="20"/>
              </w:rPr>
            </w:pPr>
            <w:r w:rsidRPr="00572FAB">
              <w:rPr>
                <w:sz w:val="20"/>
                <w:szCs w:val="20"/>
              </w:rPr>
              <w:t>Develop the induction plan for new pupils to include:</w:t>
            </w:r>
          </w:p>
          <w:p w:rsidR="00740BED" w:rsidRPr="00572FAB" w:rsidRDefault="00740BED" w:rsidP="009609F4">
            <w:pPr>
              <w:pStyle w:val="TableRow"/>
              <w:ind w:right="0"/>
              <w:rPr>
                <w:sz w:val="20"/>
                <w:szCs w:val="20"/>
              </w:rPr>
            </w:pPr>
            <w:r w:rsidRPr="00572FAB">
              <w:rPr>
                <w:sz w:val="20"/>
                <w:szCs w:val="20"/>
              </w:rPr>
              <w:t>* Buddy system (peer and member of staff)</w:t>
            </w:r>
          </w:p>
          <w:p w:rsidR="00740BED" w:rsidRPr="00572FAB" w:rsidRDefault="00740BED" w:rsidP="00431AC8">
            <w:pPr>
              <w:pStyle w:val="TableRow"/>
              <w:ind w:left="0" w:right="0"/>
              <w:rPr>
                <w:sz w:val="20"/>
                <w:szCs w:val="20"/>
              </w:rPr>
            </w:pPr>
            <w:r w:rsidRPr="00572FAB">
              <w:rPr>
                <w:sz w:val="20"/>
                <w:szCs w:val="20"/>
              </w:rPr>
              <w:t xml:space="preserve">* link an staff member to check- in with new parents </w:t>
            </w:r>
          </w:p>
          <w:p w:rsidR="00740BED" w:rsidRPr="00572FAB" w:rsidRDefault="00740BED" w:rsidP="00431AC8">
            <w:pPr>
              <w:pStyle w:val="TableRow"/>
              <w:ind w:left="0" w:right="0"/>
              <w:rPr>
                <w:sz w:val="20"/>
                <w:szCs w:val="20"/>
              </w:rPr>
            </w:pPr>
            <w:r w:rsidRPr="00572FAB">
              <w:rPr>
                <w:sz w:val="20"/>
                <w:szCs w:val="20"/>
              </w:rPr>
              <w:t xml:space="preserve">* Share info quickly between schools </w:t>
            </w:r>
          </w:p>
          <w:p w:rsidR="00740BED" w:rsidRPr="00572FAB" w:rsidRDefault="00740BED" w:rsidP="00431AC8">
            <w:pPr>
              <w:pStyle w:val="TableRow"/>
              <w:ind w:left="0" w:right="0"/>
              <w:rPr>
                <w:sz w:val="20"/>
                <w:szCs w:val="20"/>
              </w:rPr>
            </w:pPr>
            <w:r w:rsidRPr="00572FAB">
              <w:rPr>
                <w:sz w:val="20"/>
                <w:szCs w:val="20"/>
              </w:rPr>
              <w:t>* Ensure new parents meet the office staff to establish relationships</w:t>
            </w:r>
          </w:p>
          <w:p w:rsidR="00740BED" w:rsidRPr="00572FAB" w:rsidRDefault="00740BED" w:rsidP="00431AC8">
            <w:pPr>
              <w:pStyle w:val="TableRow"/>
              <w:ind w:left="0" w:right="0"/>
              <w:rPr>
                <w:sz w:val="20"/>
                <w:szCs w:val="20"/>
              </w:rPr>
            </w:pPr>
            <w:r w:rsidRPr="00572FAB">
              <w:rPr>
                <w:sz w:val="20"/>
                <w:szCs w:val="20"/>
              </w:rPr>
              <w:t>* Create ‘New to school’ (in-year and Reception) forms for nursery visits/ school hand-overs to understand any wellbeing issues and academic proficiency prior to the baseline.</w:t>
            </w:r>
          </w:p>
        </w:tc>
        <w:tc>
          <w:tcPr>
            <w:tcW w:w="5253" w:type="dxa"/>
            <w:vMerge w:val="restart"/>
            <w:tcBorders>
              <w:top w:val="single" w:sz="4" w:space="0" w:color="000000"/>
              <w:left w:val="single" w:sz="4" w:space="0" w:color="000000"/>
              <w:right w:val="single" w:sz="4" w:space="0" w:color="000000"/>
            </w:tcBorders>
            <w:shd w:val="clear" w:color="auto" w:fill="F2DBDB" w:themeFill="accent2" w:themeFillTint="33"/>
            <w:tcMar>
              <w:top w:w="0" w:type="dxa"/>
              <w:left w:w="108" w:type="dxa"/>
              <w:bottom w:w="0" w:type="dxa"/>
              <w:right w:w="108" w:type="dxa"/>
            </w:tcMar>
          </w:tcPr>
          <w:p w:rsidR="00740BED" w:rsidRPr="00572FAB" w:rsidRDefault="003E1D08" w:rsidP="00C31636">
            <w:pPr>
              <w:pStyle w:val="TableRowCentered"/>
              <w:ind w:left="0" w:right="0"/>
              <w:jc w:val="left"/>
              <w:rPr>
                <w:sz w:val="20"/>
              </w:rPr>
            </w:pPr>
            <w:r w:rsidRPr="00572FAB">
              <w:rPr>
                <w:sz w:val="20"/>
              </w:rPr>
              <w:t>EEF Toolkit: Homework, Digital Technology, and Enrichment; EEF Social and Emotional Learning evidence</w:t>
            </w:r>
          </w:p>
        </w:tc>
        <w:tc>
          <w:tcPr>
            <w:tcW w:w="1664" w:type="dxa"/>
            <w:vMerge w:val="restart"/>
            <w:tcBorders>
              <w:top w:val="single" w:sz="4" w:space="0" w:color="000000"/>
              <w:left w:val="single" w:sz="4" w:space="0" w:color="000000"/>
              <w:right w:val="single" w:sz="4" w:space="0" w:color="000000"/>
            </w:tcBorders>
            <w:shd w:val="clear" w:color="auto" w:fill="F2DBDB" w:themeFill="accent2" w:themeFillTint="33"/>
            <w:tcMar>
              <w:top w:w="0" w:type="dxa"/>
              <w:left w:w="108" w:type="dxa"/>
              <w:bottom w:w="0" w:type="dxa"/>
              <w:right w:w="108" w:type="dxa"/>
            </w:tcMar>
          </w:tcPr>
          <w:p w:rsidR="00740BED" w:rsidRPr="00572FAB" w:rsidRDefault="003E1D08" w:rsidP="00C31636">
            <w:pPr>
              <w:pStyle w:val="TableRowCentered"/>
              <w:ind w:left="0" w:right="0"/>
              <w:jc w:val="left"/>
              <w:rPr>
                <w:sz w:val="20"/>
              </w:rPr>
            </w:pPr>
            <w:r>
              <w:rPr>
                <w:sz w:val="20"/>
              </w:rPr>
              <w:t>6</w:t>
            </w:r>
          </w:p>
        </w:tc>
      </w:tr>
      <w:tr w:rsidR="00740BED" w:rsidRPr="00572FAB" w:rsidTr="003E1D08">
        <w:trPr>
          <w:trHeight w:val="1554"/>
        </w:trPr>
        <w:tc>
          <w:tcPr>
            <w:tcW w:w="822" w:type="dxa"/>
            <w:vMerge/>
            <w:tcBorders>
              <w:left w:val="single" w:sz="4" w:space="0" w:color="000000"/>
              <w:right w:val="single" w:sz="4" w:space="0" w:color="000000"/>
            </w:tcBorders>
            <w:shd w:val="clear" w:color="auto" w:fill="F2DBDB" w:themeFill="accent2" w:themeFillTint="33"/>
          </w:tcPr>
          <w:p w:rsidR="00740BED" w:rsidRPr="00572FAB" w:rsidRDefault="00740BED" w:rsidP="00D052CD">
            <w:pPr>
              <w:pStyle w:val="TableRow"/>
              <w:ind w:left="0" w:right="0"/>
              <w:rPr>
                <w:sz w:val="20"/>
                <w:szCs w:val="20"/>
              </w:rPr>
            </w:pPr>
          </w:p>
        </w:tc>
        <w:tc>
          <w:tcPr>
            <w:tcW w:w="2717" w:type="dxa"/>
            <w:tcBorders>
              <w:top w:val="single" w:sz="4" w:space="0" w:color="000000"/>
              <w:left w:val="single" w:sz="4" w:space="0" w:color="000000"/>
              <w:right w:val="single" w:sz="4" w:space="0" w:color="000000"/>
            </w:tcBorders>
            <w:shd w:val="clear" w:color="auto" w:fill="F2DBDB" w:themeFill="accent2" w:themeFillTint="33"/>
            <w:tcMar>
              <w:top w:w="0" w:type="dxa"/>
              <w:left w:w="108" w:type="dxa"/>
              <w:bottom w:w="0" w:type="dxa"/>
              <w:right w:w="108" w:type="dxa"/>
            </w:tcMar>
          </w:tcPr>
          <w:p w:rsidR="00740BED" w:rsidRPr="00572FAB" w:rsidRDefault="00740BED" w:rsidP="009609F4">
            <w:pPr>
              <w:pStyle w:val="TableRow"/>
              <w:ind w:left="0" w:right="0"/>
              <w:rPr>
                <w:sz w:val="20"/>
                <w:szCs w:val="20"/>
              </w:rPr>
            </w:pPr>
            <w:r w:rsidRPr="00572FAB">
              <w:rPr>
                <w:sz w:val="20"/>
                <w:szCs w:val="20"/>
              </w:rPr>
              <w:t xml:space="preserve">Improve uptake of clubs for PP pupils: </w:t>
            </w:r>
          </w:p>
          <w:p w:rsidR="00740BED" w:rsidRPr="00572FAB" w:rsidRDefault="00740BED" w:rsidP="009609F4">
            <w:pPr>
              <w:pStyle w:val="TableRow"/>
              <w:ind w:left="0" w:right="0"/>
              <w:rPr>
                <w:sz w:val="20"/>
                <w:szCs w:val="20"/>
              </w:rPr>
            </w:pPr>
            <w:r w:rsidRPr="00572FAB">
              <w:rPr>
                <w:sz w:val="20"/>
                <w:szCs w:val="20"/>
              </w:rPr>
              <w:t xml:space="preserve">Offer free clubs to PP pupils </w:t>
            </w:r>
          </w:p>
          <w:p w:rsidR="00740BED" w:rsidRPr="00572FAB" w:rsidRDefault="00740BED" w:rsidP="009609F4">
            <w:pPr>
              <w:pStyle w:val="TableRow"/>
              <w:ind w:left="0" w:right="0"/>
              <w:rPr>
                <w:sz w:val="20"/>
                <w:szCs w:val="20"/>
              </w:rPr>
            </w:pPr>
            <w:r w:rsidRPr="00572FAB">
              <w:rPr>
                <w:sz w:val="20"/>
                <w:szCs w:val="20"/>
              </w:rPr>
              <w:t>Meet pupils to identify barriers and work to remove them</w:t>
            </w:r>
          </w:p>
          <w:p w:rsidR="00740BED" w:rsidRPr="00572FAB" w:rsidRDefault="00740BED" w:rsidP="009609F4">
            <w:pPr>
              <w:pStyle w:val="TableRow"/>
              <w:ind w:left="0" w:right="0"/>
              <w:rPr>
                <w:sz w:val="20"/>
                <w:szCs w:val="20"/>
              </w:rPr>
            </w:pPr>
            <w:r w:rsidRPr="00572FAB">
              <w:rPr>
                <w:sz w:val="20"/>
                <w:szCs w:val="20"/>
              </w:rPr>
              <w:t>Offer free after school club for siblings at that time</w:t>
            </w:r>
          </w:p>
          <w:p w:rsidR="00740BED" w:rsidRPr="00572FAB" w:rsidRDefault="00740BED" w:rsidP="009609F4">
            <w:pPr>
              <w:pStyle w:val="TableRow"/>
              <w:ind w:left="0" w:right="0"/>
              <w:rPr>
                <w:sz w:val="20"/>
                <w:szCs w:val="20"/>
              </w:rPr>
            </w:pPr>
          </w:p>
        </w:tc>
        <w:tc>
          <w:tcPr>
            <w:tcW w:w="5253" w:type="dxa"/>
            <w:vMerge/>
            <w:tcBorders>
              <w:left w:val="single" w:sz="4" w:space="0" w:color="000000"/>
              <w:right w:val="single" w:sz="4" w:space="0" w:color="000000"/>
            </w:tcBorders>
            <w:shd w:val="clear" w:color="auto" w:fill="auto"/>
            <w:tcMar>
              <w:top w:w="0" w:type="dxa"/>
              <w:left w:w="108" w:type="dxa"/>
              <w:bottom w:w="0" w:type="dxa"/>
              <w:right w:w="108" w:type="dxa"/>
            </w:tcMar>
          </w:tcPr>
          <w:p w:rsidR="00740BED" w:rsidRPr="00572FAB" w:rsidRDefault="00740BED" w:rsidP="00C31636">
            <w:pPr>
              <w:pStyle w:val="TableRowCentered"/>
              <w:ind w:left="0" w:right="0"/>
              <w:jc w:val="left"/>
              <w:rPr>
                <w:sz w:val="20"/>
              </w:rPr>
            </w:pPr>
          </w:p>
        </w:tc>
        <w:tc>
          <w:tcPr>
            <w:tcW w:w="1664" w:type="dxa"/>
            <w:vMerge/>
            <w:tcBorders>
              <w:left w:val="single" w:sz="4" w:space="0" w:color="000000"/>
              <w:right w:val="single" w:sz="4" w:space="0" w:color="000000"/>
            </w:tcBorders>
            <w:shd w:val="clear" w:color="auto" w:fill="auto"/>
            <w:tcMar>
              <w:top w:w="0" w:type="dxa"/>
              <w:left w:w="108" w:type="dxa"/>
              <w:bottom w:w="0" w:type="dxa"/>
              <w:right w:w="108" w:type="dxa"/>
            </w:tcMar>
          </w:tcPr>
          <w:p w:rsidR="00740BED" w:rsidRPr="00572FAB" w:rsidRDefault="00740BED" w:rsidP="00C31636">
            <w:pPr>
              <w:pStyle w:val="TableRowCentered"/>
              <w:ind w:left="0" w:right="0"/>
              <w:jc w:val="left"/>
              <w:rPr>
                <w:sz w:val="20"/>
              </w:rPr>
            </w:pPr>
          </w:p>
        </w:tc>
      </w:tr>
      <w:tr w:rsidR="00740BED" w:rsidRPr="00572FAB" w:rsidTr="003E1D08">
        <w:trPr>
          <w:cantSplit/>
          <w:trHeight w:val="50"/>
        </w:trPr>
        <w:tc>
          <w:tcPr>
            <w:tcW w:w="822" w:type="dxa"/>
            <w:tcBorders>
              <w:left w:val="single" w:sz="4" w:space="0" w:color="000000"/>
              <w:bottom w:val="single" w:sz="4" w:space="0" w:color="000000"/>
              <w:right w:val="single" w:sz="4" w:space="0" w:color="000000"/>
            </w:tcBorders>
            <w:textDirection w:val="btLr"/>
          </w:tcPr>
          <w:p w:rsidR="00740BED" w:rsidRPr="00572FAB" w:rsidRDefault="00740BED" w:rsidP="009609F4">
            <w:pPr>
              <w:pStyle w:val="TableRow"/>
              <w:ind w:left="113" w:right="113"/>
              <w:rPr>
                <w:sz w:val="20"/>
                <w:szCs w:val="20"/>
              </w:rPr>
            </w:pPr>
          </w:p>
        </w:tc>
        <w:tc>
          <w:tcPr>
            <w:tcW w:w="2717" w:type="dxa"/>
            <w:vMerge w:val="restart"/>
            <w:tcBorders>
              <w:top w:val="single" w:sz="4" w:space="0" w:color="000000"/>
              <w:left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740BED" w:rsidP="00431AC8">
            <w:pPr>
              <w:pStyle w:val="TableRow"/>
              <w:ind w:left="0" w:right="0"/>
              <w:rPr>
                <w:sz w:val="20"/>
                <w:szCs w:val="20"/>
              </w:rPr>
            </w:pPr>
            <w:r w:rsidRPr="00572FAB">
              <w:rPr>
                <w:sz w:val="20"/>
                <w:szCs w:val="20"/>
              </w:rPr>
              <w:t>Buy tablets for pupils who are not able to complete homework</w:t>
            </w:r>
          </w:p>
        </w:tc>
        <w:tc>
          <w:tcPr>
            <w:tcW w:w="5253" w:type="dxa"/>
            <w:vMerge w:val="restart"/>
            <w:tcBorders>
              <w:top w:val="single" w:sz="4" w:space="0" w:color="000000"/>
              <w:left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740BED" w:rsidP="00C31636">
            <w:pPr>
              <w:pStyle w:val="TableRowCentered"/>
              <w:ind w:left="0" w:right="0"/>
              <w:jc w:val="left"/>
              <w:rPr>
                <w:sz w:val="20"/>
              </w:rPr>
            </w:pPr>
            <w:r w:rsidRPr="00572FAB">
              <w:rPr>
                <w:sz w:val="20"/>
              </w:rPr>
              <w:t>EEF Toolkit: Homework, Digital Technology, and Enrichment; EEF Social and Emotional Learning evidence</w:t>
            </w:r>
          </w:p>
          <w:p w:rsidR="00B72AC6" w:rsidRPr="00572FAB" w:rsidRDefault="00B72AC6" w:rsidP="00C31636">
            <w:pPr>
              <w:pStyle w:val="TableRowCentered"/>
              <w:ind w:left="0" w:right="0"/>
              <w:jc w:val="left"/>
              <w:rPr>
                <w:sz w:val="20"/>
              </w:rPr>
            </w:pPr>
          </w:p>
          <w:p w:rsidR="00B72AC6" w:rsidRPr="00572FAB" w:rsidRDefault="00B72AC6" w:rsidP="00C31636">
            <w:pPr>
              <w:pStyle w:val="TableRowCentered"/>
              <w:ind w:left="0" w:right="0"/>
              <w:jc w:val="left"/>
              <w:rPr>
                <w:sz w:val="20"/>
              </w:rPr>
            </w:pPr>
            <w:r w:rsidRPr="00572FAB">
              <w:rPr>
                <w:sz w:val="20"/>
              </w:rPr>
              <w:t>https://educationendowmentfoundation.org.uk/education-evidence/teaching-learning-toolkit/homework</w:t>
            </w:r>
          </w:p>
        </w:tc>
        <w:tc>
          <w:tcPr>
            <w:tcW w:w="1664" w:type="dxa"/>
            <w:vMerge w:val="restart"/>
            <w:tcBorders>
              <w:top w:val="single" w:sz="4" w:space="0" w:color="000000"/>
              <w:left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3E1D08" w:rsidP="00C31636">
            <w:pPr>
              <w:pStyle w:val="TableRowCentered"/>
              <w:ind w:left="0" w:right="0"/>
              <w:jc w:val="left"/>
              <w:rPr>
                <w:sz w:val="20"/>
              </w:rPr>
            </w:pPr>
            <w:r>
              <w:rPr>
                <w:sz w:val="20"/>
              </w:rPr>
              <w:t>6</w:t>
            </w:r>
          </w:p>
        </w:tc>
      </w:tr>
      <w:tr w:rsidR="00740BED" w:rsidRPr="00572FAB" w:rsidTr="003E1D08">
        <w:trPr>
          <w:cantSplit/>
          <w:trHeight w:val="745"/>
        </w:trPr>
        <w:tc>
          <w:tcPr>
            <w:tcW w:w="822" w:type="dxa"/>
            <w:vMerge w:val="restart"/>
            <w:tcBorders>
              <w:left w:val="single" w:sz="4" w:space="0" w:color="000000"/>
              <w:right w:val="single" w:sz="4" w:space="0" w:color="000000"/>
            </w:tcBorders>
            <w:shd w:val="clear" w:color="auto" w:fill="E5DFEC" w:themeFill="accent4" w:themeFillTint="33"/>
            <w:textDirection w:val="btLr"/>
          </w:tcPr>
          <w:p w:rsidR="00740BED" w:rsidRPr="00572FAB" w:rsidRDefault="00AB1740" w:rsidP="00AB1740">
            <w:pPr>
              <w:pStyle w:val="TableRow"/>
              <w:ind w:left="113" w:right="113"/>
              <w:rPr>
                <w:sz w:val="20"/>
                <w:szCs w:val="20"/>
              </w:rPr>
            </w:pPr>
            <w:r w:rsidRPr="00572FAB">
              <w:rPr>
                <w:sz w:val="20"/>
                <w:szCs w:val="20"/>
              </w:rPr>
              <w:t>Wider Strategies (</w:t>
            </w:r>
            <w:r w:rsidR="00740BED" w:rsidRPr="00572FAB">
              <w:rPr>
                <w:sz w:val="20"/>
                <w:szCs w:val="20"/>
              </w:rPr>
              <w:t>Academic support</w:t>
            </w:r>
            <w:r w:rsidRPr="00572FAB">
              <w:rPr>
                <w:sz w:val="20"/>
                <w:szCs w:val="20"/>
              </w:rPr>
              <w:t>)</w:t>
            </w:r>
          </w:p>
        </w:tc>
        <w:tc>
          <w:tcPr>
            <w:tcW w:w="2717" w:type="dxa"/>
            <w:vMerge/>
            <w:tcBorders>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740BED" w:rsidP="00431AC8">
            <w:pPr>
              <w:pStyle w:val="TableRow"/>
              <w:ind w:left="0" w:right="0"/>
              <w:rPr>
                <w:sz w:val="20"/>
                <w:szCs w:val="20"/>
              </w:rPr>
            </w:pPr>
          </w:p>
        </w:tc>
        <w:tc>
          <w:tcPr>
            <w:tcW w:w="5253" w:type="dxa"/>
            <w:vMerge/>
            <w:tcBorders>
              <w:left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740BED" w:rsidP="00C31636">
            <w:pPr>
              <w:pStyle w:val="TableRowCentered"/>
              <w:ind w:left="0" w:right="0"/>
              <w:jc w:val="left"/>
              <w:rPr>
                <w:sz w:val="20"/>
              </w:rPr>
            </w:pPr>
          </w:p>
        </w:tc>
        <w:tc>
          <w:tcPr>
            <w:tcW w:w="1664" w:type="dxa"/>
            <w:vMerge/>
            <w:tcBorders>
              <w:left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740BED" w:rsidP="00C31636">
            <w:pPr>
              <w:pStyle w:val="TableRowCentered"/>
              <w:ind w:left="0" w:right="0"/>
              <w:jc w:val="left"/>
              <w:rPr>
                <w:sz w:val="20"/>
              </w:rPr>
            </w:pPr>
          </w:p>
        </w:tc>
      </w:tr>
      <w:tr w:rsidR="00740BED" w:rsidRPr="00572FAB" w:rsidTr="003E1D08">
        <w:tc>
          <w:tcPr>
            <w:tcW w:w="822" w:type="dxa"/>
            <w:vMerge/>
            <w:tcBorders>
              <w:left w:val="single" w:sz="4" w:space="0" w:color="000000"/>
              <w:right w:val="single" w:sz="4" w:space="0" w:color="000000"/>
            </w:tcBorders>
            <w:shd w:val="clear" w:color="auto" w:fill="E5DFEC" w:themeFill="accent4" w:themeFillTint="33"/>
          </w:tcPr>
          <w:p w:rsidR="00740BED" w:rsidRPr="00572FAB" w:rsidRDefault="00740BED" w:rsidP="00431AC8">
            <w:pPr>
              <w:pStyle w:val="TableRow"/>
              <w:ind w:left="0" w:right="0"/>
              <w:rPr>
                <w:sz w:val="20"/>
                <w:szCs w:val="20"/>
              </w:rPr>
            </w:pPr>
          </w:p>
        </w:tc>
        <w:tc>
          <w:tcPr>
            <w:tcW w:w="271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740BED" w:rsidP="00431AC8">
            <w:pPr>
              <w:pStyle w:val="TableRow"/>
              <w:ind w:left="0" w:right="0"/>
              <w:rPr>
                <w:sz w:val="20"/>
                <w:szCs w:val="20"/>
              </w:rPr>
            </w:pPr>
            <w:r w:rsidRPr="00572FAB">
              <w:rPr>
                <w:sz w:val="20"/>
                <w:szCs w:val="20"/>
              </w:rPr>
              <w:t>Offer breakfast club to FSM pupils</w:t>
            </w:r>
          </w:p>
        </w:tc>
        <w:tc>
          <w:tcPr>
            <w:tcW w:w="5253" w:type="dxa"/>
            <w:vMerge/>
            <w:tcBorders>
              <w:left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740BED" w:rsidP="00C31636">
            <w:pPr>
              <w:pStyle w:val="TableRowCentered"/>
              <w:ind w:left="0" w:right="0"/>
              <w:jc w:val="left"/>
              <w:rPr>
                <w:sz w:val="20"/>
              </w:rPr>
            </w:pPr>
          </w:p>
        </w:tc>
        <w:tc>
          <w:tcPr>
            <w:tcW w:w="1664" w:type="dxa"/>
            <w:vMerge/>
            <w:tcBorders>
              <w:left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740BED" w:rsidP="00C31636">
            <w:pPr>
              <w:pStyle w:val="TableRowCentered"/>
              <w:ind w:left="0" w:right="0"/>
              <w:jc w:val="left"/>
              <w:rPr>
                <w:sz w:val="20"/>
              </w:rPr>
            </w:pPr>
          </w:p>
        </w:tc>
      </w:tr>
      <w:tr w:rsidR="00740BED" w:rsidRPr="00572FAB" w:rsidTr="003E1D08">
        <w:tc>
          <w:tcPr>
            <w:tcW w:w="822" w:type="dxa"/>
            <w:vMerge/>
            <w:tcBorders>
              <w:left w:val="single" w:sz="4" w:space="0" w:color="000000"/>
              <w:bottom w:val="single" w:sz="4" w:space="0" w:color="000000"/>
              <w:right w:val="single" w:sz="4" w:space="0" w:color="000000"/>
            </w:tcBorders>
            <w:shd w:val="clear" w:color="auto" w:fill="E5DFEC" w:themeFill="accent4" w:themeFillTint="33"/>
          </w:tcPr>
          <w:p w:rsidR="00740BED" w:rsidRPr="00572FAB" w:rsidRDefault="00740BED" w:rsidP="00431AC8">
            <w:pPr>
              <w:pStyle w:val="TableRow"/>
              <w:ind w:left="0" w:right="0"/>
              <w:rPr>
                <w:sz w:val="20"/>
                <w:szCs w:val="20"/>
              </w:rPr>
            </w:pPr>
          </w:p>
        </w:tc>
        <w:tc>
          <w:tcPr>
            <w:tcW w:w="271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tcPr>
          <w:p w:rsidR="00740BED" w:rsidRPr="00572FAB" w:rsidRDefault="00740BED" w:rsidP="00431AC8">
            <w:pPr>
              <w:pStyle w:val="TableRow"/>
              <w:ind w:left="0" w:right="0"/>
              <w:rPr>
                <w:sz w:val="20"/>
                <w:szCs w:val="20"/>
              </w:rPr>
            </w:pPr>
            <w:r w:rsidRPr="00572FAB">
              <w:rPr>
                <w:sz w:val="20"/>
                <w:szCs w:val="20"/>
              </w:rPr>
              <w:t xml:space="preserve">Offering after school homework clubs for PP pupils to attend to get their homework done somewhere quiet </w:t>
            </w:r>
            <w:proofErr w:type="spellStart"/>
            <w:r w:rsidRPr="00572FAB">
              <w:rPr>
                <w:sz w:val="20"/>
                <w:szCs w:val="20"/>
              </w:rPr>
              <w:t>etc</w:t>
            </w:r>
            <w:proofErr w:type="spellEnd"/>
          </w:p>
        </w:tc>
        <w:tc>
          <w:tcPr>
            <w:tcW w:w="52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BED" w:rsidRPr="00572FAB" w:rsidRDefault="00740BED" w:rsidP="00C31636">
            <w:pPr>
              <w:pStyle w:val="TableRowCentered"/>
              <w:ind w:left="0" w:right="0"/>
              <w:jc w:val="left"/>
              <w:rPr>
                <w:sz w:val="20"/>
              </w:rPr>
            </w:pPr>
          </w:p>
        </w:tc>
        <w:tc>
          <w:tcPr>
            <w:tcW w:w="166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BED" w:rsidRPr="00572FAB" w:rsidRDefault="00740BED" w:rsidP="00C31636">
            <w:pPr>
              <w:pStyle w:val="TableRowCentered"/>
              <w:ind w:left="0" w:right="0"/>
              <w:jc w:val="left"/>
              <w:rPr>
                <w:sz w:val="20"/>
              </w:rPr>
            </w:pPr>
          </w:p>
        </w:tc>
      </w:tr>
    </w:tbl>
    <w:p w:rsidR="00E66558" w:rsidRPr="00572FAB" w:rsidRDefault="00E66558">
      <w:pPr>
        <w:spacing w:before="240" w:after="0"/>
        <w:rPr>
          <w:b/>
          <w:bCs/>
          <w:color w:val="104F75"/>
          <w:sz w:val="20"/>
          <w:szCs w:val="20"/>
        </w:rPr>
      </w:pPr>
    </w:p>
    <w:p w:rsidR="00E66558" w:rsidRDefault="009D71E8" w:rsidP="00120AB1">
      <w:r>
        <w:rPr>
          <w:b/>
          <w:bCs/>
          <w:color w:val="104F75"/>
          <w:sz w:val="28"/>
          <w:szCs w:val="28"/>
        </w:rPr>
        <w:t xml:space="preserve">Total budgeted cost: £ </w:t>
      </w:r>
      <w:r>
        <w:rPr>
          <w:i/>
          <w:iCs/>
          <w:color w:val="104F75"/>
          <w:sz w:val="28"/>
          <w:szCs w:val="28"/>
        </w:rPr>
        <w:t>[insert sum of 3 amounts stated above]</w:t>
      </w:r>
    </w:p>
    <w:p w:rsidR="00E66558" w:rsidRPr="00064366" w:rsidRDefault="009D71E8" w:rsidP="00064366">
      <w:pPr>
        <w:pStyle w:val="Heading1"/>
      </w:pPr>
      <w:r w:rsidRPr="00064366">
        <w:lastRenderedPageBreak/>
        <w:t>Part B: Review of the previous academic year</w:t>
      </w:r>
    </w:p>
    <w:p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10319"/>
      </w:tblGrid>
      <w:tr w:rsidR="00173D4C"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B856F4" w:rsidRPr="00A01C2E" w:rsidRDefault="00B856F4" w:rsidP="00A01C2E">
            <w:pPr>
              <w:spacing w:after="0"/>
              <w:rPr>
                <w:sz w:val="20"/>
                <w:szCs w:val="20"/>
              </w:rPr>
            </w:pPr>
            <w:r w:rsidRPr="00A01C2E">
              <w:rPr>
                <w:sz w:val="20"/>
                <w:szCs w:val="20"/>
              </w:rPr>
              <w:t>PP outcomes 2024/25 show a narrowing in some areas but gaps still remain and have grown in some areas.</w:t>
            </w:r>
          </w:p>
          <w:p w:rsidR="00301081" w:rsidRPr="00A01C2E" w:rsidRDefault="00301081" w:rsidP="00A01C2E">
            <w:pPr>
              <w:spacing w:after="0"/>
              <w:rPr>
                <w:sz w:val="20"/>
                <w:szCs w:val="20"/>
              </w:rPr>
            </w:pPr>
            <w:r w:rsidRPr="00A01C2E">
              <w:rPr>
                <w:sz w:val="20"/>
                <w:szCs w:val="20"/>
              </w:rPr>
              <w:t>In 2024/25, outcomes for disadvantaged pupils</w:t>
            </w:r>
            <w:r w:rsidR="00B856F4" w:rsidRPr="00A01C2E">
              <w:rPr>
                <w:sz w:val="20"/>
                <w:szCs w:val="20"/>
              </w:rPr>
              <w:t xml:space="preserve"> in Y6</w:t>
            </w:r>
            <w:r w:rsidRPr="00A01C2E">
              <w:rPr>
                <w:sz w:val="20"/>
                <w:szCs w:val="20"/>
              </w:rPr>
              <w:t xml:space="preserve"> remained significantly below those of their peers</w:t>
            </w:r>
            <w:r w:rsidR="00B856F4" w:rsidRPr="00A01C2E">
              <w:rPr>
                <w:sz w:val="20"/>
                <w:szCs w:val="20"/>
              </w:rPr>
              <w:t>, particularly in reading (PP 38% vs Non-PP 80</w:t>
            </w:r>
            <w:r w:rsidRPr="00A01C2E">
              <w:rPr>
                <w:sz w:val="20"/>
                <w:szCs w:val="20"/>
              </w:rPr>
              <w:t>%).</w:t>
            </w:r>
          </w:p>
          <w:p w:rsidR="00301081" w:rsidRPr="00A01C2E" w:rsidRDefault="00301081" w:rsidP="00A01C2E">
            <w:pPr>
              <w:spacing w:after="0"/>
              <w:rPr>
                <w:sz w:val="20"/>
                <w:szCs w:val="20"/>
              </w:rPr>
            </w:pPr>
            <w:r w:rsidRPr="00A01C2E">
              <w:rPr>
                <w:sz w:val="20"/>
                <w:szCs w:val="20"/>
              </w:rPr>
              <w:t>The attainme</w:t>
            </w:r>
            <w:r w:rsidR="00B856F4" w:rsidRPr="00A01C2E">
              <w:rPr>
                <w:sz w:val="20"/>
                <w:szCs w:val="20"/>
              </w:rPr>
              <w:t>nt gap in reading widened from 20</w:t>
            </w:r>
            <w:r w:rsidRPr="00A01C2E">
              <w:rPr>
                <w:sz w:val="20"/>
                <w:szCs w:val="20"/>
              </w:rPr>
              <w:t xml:space="preserve"> points to 2</w:t>
            </w:r>
            <w:r w:rsidR="00B856F4" w:rsidRPr="00A01C2E">
              <w:rPr>
                <w:sz w:val="20"/>
                <w:szCs w:val="20"/>
              </w:rPr>
              <w:t>9</w:t>
            </w:r>
            <w:r w:rsidRPr="00A01C2E">
              <w:rPr>
                <w:sz w:val="20"/>
                <w:szCs w:val="20"/>
              </w:rPr>
              <w:t xml:space="preserve"> points. </w:t>
            </w:r>
            <w:r w:rsidR="00A01C2E" w:rsidRPr="00A01C2E">
              <w:rPr>
                <w:sz w:val="20"/>
                <w:szCs w:val="20"/>
              </w:rPr>
              <w:t>The gap in</w:t>
            </w:r>
            <w:r w:rsidRPr="00A01C2E">
              <w:rPr>
                <w:sz w:val="20"/>
                <w:szCs w:val="20"/>
              </w:rPr>
              <w:t xml:space="preserve"> maths showed some slight narrowing but remain below peers.</w:t>
            </w:r>
          </w:p>
          <w:p w:rsidR="00301081" w:rsidRPr="00A01C2E" w:rsidRDefault="00301081" w:rsidP="00A01C2E">
            <w:pPr>
              <w:spacing w:after="0"/>
              <w:rPr>
                <w:sz w:val="20"/>
                <w:szCs w:val="20"/>
              </w:rPr>
            </w:pPr>
            <w:r w:rsidRPr="00A01C2E">
              <w:rPr>
                <w:sz w:val="20"/>
                <w:szCs w:val="20"/>
              </w:rPr>
              <w:t>Persistent absence was 28% for PP pupils compared to 3% for non-PP, well above the national PP average (13%).</w:t>
            </w:r>
          </w:p>
          <w:p w:rsidR="00301081" w:rsidRPr="00A01C2E" w:rsidRDefault="00301081" w:rsidP="00A01C2E">
            <w:pPr>
              <w:spacing w:after="0"/>
              <w:rPr>
                <w:sz w:val="20"/>
                <w:szCs w:val="20"/>
              </w:rPr>
            </w:pPr>
            <w:r w:rsidRPr="00A01C2E">
              <w:rPr>
                <w:sz w:val="20"/>
                <w:szCs w:val="20"/>
              </w:rPr>
              <w:t>Maths interventions were successful, with Year 6 PP outcomes rising from 33% to 63% at EXS+ (closing the gap by 21 points).</w:t>
            </w:r>
          </w:p>
          <w:p w:rsidR="00A01C2E" w:rsidRPr="00A01C2E" w:rsidRDefault="00301081" w:rsidP="00A01C2E">
            <w:pPr>
              <w:spacing w:after="0"/>
              <w:rPr>
                <w:sz w:val="20"/>
                <w:szCs w:val="20"/>
              </w:rPr>
            </w:pPr>
            <w:r w:rsidRPr="00A01C2E">
              <w:rPr>
                <w:sz w:val="20"/>
                <w:szCs w:val="20"/>
              </w:rPr>
              <w:t>However, reading outcomes declined for Year 6 PP pupils (67% to 38%), signalling a need to replicate maths intervention approaches in reading and writing.</w:t>
            </w:r>
          </w:p>
          <w:p w:rsidR="00A01C2E" w:rsidRPr="00A01C2E" w:rsidRDefault="00A01C2E" w:rsidP="00A01C2E">
            <w:pPr>
              <w:spacing w:after="0"/>
              <w:rPr>
                <w:sz w:val="20"/>
                <w:szCs w:val="20"/>
              </w:rPr>
            </w:pPr>
            <w:r w:rsidRPr="00A01C2E">
              <w:rPr>
                <w:sz w:val="20"/>
                <w:szCs w:val="20"/>
              </w:rPr>
              <w:t xml:space="preserve">The whole school picture is a similar picture – the gap in PP v non PP reading has increased. However in Maths and Writing the gap has closed. </w:t>
            </w:r>
          </w:p>
          <w:tbl>
            <w:tblPr>
              <w:tblW w:w="10093" w:type="dxa"/>
              <w:tblCellMar>
                <w:left w:w="10" w:type="dxa"/>
                <w:right w:w="10" w:type="dxa"/>
              </w:tblCellMar>
              <w:tblLook w:val="04A0" w:firstRow="1" w:lastRow="0" w:firstColumn="1" w:lastColumn="0" w:noHBand="0" w:noVBand="1"/>
            </w:tblPr>
            <w:tblGrid>
              <w:gridCol w:w="1447"/>
              <w:gridCol w:w="4394"/>
              <w:gridCol w:w="4252"/>
            </w:tblGrid>
            <w:tr w:rsidR="00583139" w:rsidRPr="00A01C2E" w:rsidTr="00003C1B">
              <w:tc>
                <w:tcPr>
                  <w:tcW w:w="14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583139" w:rsidRPr="00A01C2E" w:rsidRDefault="00583139" w:rsidP="00572FAB">
                  <w:pPr>
                    <w:pStyle w:val="TableHeader"/>
                    <w:jc w:val="left"/>
                    <w:rPr>
                      <w:sz w:val="20"/>
                      <w:szCs w:val="20"/>
                    </w:rPr>
                  </w:pPr>
                  <w:r w:rsidRPr="00A01C2E">
                    <w:rPr>
                      <w:sz w:val="20"/>
                      <w:szCs w:val="20"/>
                    </w:rPr>
                    <w:t>Intended outcome from previous plan</w:t>
                  </w:r>
                </w:p>
              </w:tc>
              <w:tc>
                <w:tcPr>
                  <w:tcW w:w="43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583139" w:rsidRPr="00A01C2E" w:rsidRDefault="00583139" w:rsidP="00572FAB">
                  <w:pPr>
                    <w:pStyle w:val="TableHeader"/>
                    <w:jc w:val="left"/>
                    <w:rPr>
                      <w:sz w:val="20"/>
                      <w:szCs w:val="20"/>
                    </w:rPr>
                  </w:pPr>
                  <w:r w:rsidRPr="00A01C2E">
                    <w:rPr>
                      <w:sz w:val="20"/>
                      <w:szCs w:val="20"/>
                    </w:rPr>
                    <w:t>Success criteria from previous plan</w:t>
                  </w:r>
                </w:p>
              </w:tc>
              <w:tc>
                <w:tcPr>
                  <w:tcW w:w="4252" w:type="dxa"/>
                  <w:tcBorders>
                    <w:top w:val="single" w:sz="4" w:space="0" w:color="000000"/>
                    <w:left w:val="single" w:sz="4" w:space="0" w:color="000000"/>
                    <w:bottom w:val="single" w:sz="4" w:space="0" w:color="000000"/>
                    <w:right w:val="single" w:sz="4" w:space="0" w:color="000000"/>
                  </w:tcBorders>
                  <w:shd w:val="clear" w:color="auto" w:fill="D8E2E9"/>
                </w:tcPr>
                <w:p w:rsidR="00583139" w:rsidRPr="00A01C2E" w:rsidRDefault="00583139" w:rsidP="00572FAB">
                  <w:pPr>
                    <w:pStyle w:val="TableHeader"/>
                    <w:jc w:val="left"/>
                    <w:rPr>
                      <w:sz w:val="20"/>
                      <w:szCs w:val="20"/>
                    </w:rPr>
                  </w:pPr>
                  <w:r w:rsidRPr="00A01C2E">
                    <w:rPr>
                      <w:sz w:val="20"/>
                      <w:szCs w:val="20"/>
                    </w:rPr>
                    <w:t>Outcomes/ Success</w:t>
                  </w:r>
                </w:p>
              </w:tc>
            </w:tr>
            <w:tr w:rsidR="00583139" w:rsidRPr="00A01C2E" w:rsidTr="00003C1B">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139" w:rsidRPr="00003C1B" w:rsidRDefault="00583139" w:rsidP="00572FAB">
                  <w:pPr>
                    <w:pStyle w:val="TableRow"/>
                    <w:rPr>
                      <w:rFonts w:cs="Arial"/>
                      <w:color w:val="auto"/>
                      <w:sz w:val="18"/>
                      <w:szCs w:val="18"/>
                    </w:rPr>
                  </w:pPr>
                  <w:r w:rsidRPr="00003C1B">
                    <w:rPr>
                      <w:rFonts w:cs="Arial"/>
                      <w:color w:val="auto"/>
                      <w:sz w:val="18"/>
                      <w:szCs w:val="18"/>
                    </w:rPr>
                    <w:t xml:space="preserve">To improve the attendance of PP pupils.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139" w:rsidRPr="00003C1B" w:rsidRDefault="00583139" w:rsidP="00572FAB">
                  <w:pPr>
                    <w:pStyle w:val="7Tablebodycopy"/>
                    <w:rPr>
                      <w:rFonts w:cs="Arial"/>
                      <w:sz w:val="18"/>
                      <w:szCs w:val="18"/>
                    </w:rPr>
                  </w:pPr>
                  <w:r w:rsidRPr="00003C1B">
                    <w:rPr>
                      <w:rFonts w:cs="Arial"/>
                      <w:sz w:val="18"/>
                      <w:szCs w:val="18"/>
                    </w:rPr>
                    <w:t xml:space="preserve">The attendance of PP pupils will be equal to or above that of the non-pp pupils (93.8% v 90%). </w:t>
                  </w:r>
                </w:p>
                <w:p w:rsidR="00583139" w:rsidRPr="00003C1B" w:rsidRDefault="00583139" w:rsidP="00572FAB">
                  <w:pPr>
                    <w:pStyle w:val="TableRowCentered"/>
                    <w:jc w:val="left"/>
                    <w:rPr>
                      <w:rFonts w:cs="Arial"/>
                      <w:sz w:val="18"/>
                      <w:szCs w:val="18"/>
                    </w:rPr>
                  </w:pPr>
                  <w:r w:rsidRPr="00003C1B">
                    <w:rPr>
                      <w:rFonts w:cs="Arial"/>
                      <w:sz w:val="18"/>
                      <w:szCs w:val="18"/>
                    </w:rPr>
                    <w:br/>
                    <w:t xml:space="preserve">School attendance will exceed the national </w:t>
                  </w:r>
                </w:p>
              </w:tc>
              <w:tc>
                <w:tcPr>
                  <w:tcW w:w="4252" w:type="dxa"/>
                  <w:tcBorders>
                    <w:top w:val="single" w:sz="4" w:space="0" w:color="000000"/>
                    <w:left w:val="single" w:sz="4" w:space="0" w:color="000000"/>
                    <w:bottom w:val="single" w:sz="4" w:space="0" w:color="000000"/>
                    <w:right w:val="single" w:sz="4" w:space="0" w:color="000000"/>
                  </w:tcBorders>
                </w:tcPr>
                <w:p w:rsidR="00583139" w:rsidRPr="00003C1B" w:rsidRDefault="00583139" w:rsidP="00572FAB">
                  <w:pPr>
                    <w:pStyle w:val="7Tablebodycopy"/>
                    <w:rPr>
                      <w:rFonts w:cs="Arial"/>
                      <w:sz w:val="18"/>
                      <w:szCs w:val="18"/>
                    </w:rPr>
                  </w:pPr>
                  <w:r w:rsidRPr="00003C1B">
                    <w:rPr>
                      <w:rFonts w:cs="Arial"/>
                      <w:sz w:val="18"/>
                      <w:szCs w:val="18"/>
                    </w:rPr>
                    <w:t xml:space="preserve">Attendance of PP pupils increased but was still below non-PP peers. </w:t>
                  </w:r>
                </w:p>
                <w:p w:rsidR="00583139" w:rsidRPr="00003C1B" w:rsidRDefault="00583139" w:rsidP="00572FAB">
                  <w:pPr>
                    <w:pStyle w:val="7Tablebodycopy"/>
                    <w:rPr>
                      <w:rFonts w:cs="Arial"/>
                      <w:sz w:val="18"/>
                      <w:szCs w:val="18"/>
                    </w:rPr>
                  </w:pPr>
                  <w:r w:rsidRPr="00003C1B">
                    <w:rPr>
                      <w:rFonts w:cs="Arial"/>
                      <w:sz w:val="18"/>
                      <w:szCs w:val="18"/>
                    </w:rPr>
                    <w:t xml:space="preserve">(92.8% v 96.4%) and the gap widened. </w:t>
                  </w:r>
                </w:p>
              </w:tc>
            </w:tr>
            <w:tr w:rsidR="00583139" w:rsidRPr="00A01C2E" w:rsidTr="00003C1B">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139" w:rsidRPr="00003C1B" w:rsidRDefault="00583139" w:rsidP="00583139">
                  <w:pPr>
                    <w:pStyle w:val="TableRow"/>
                    <w:ind w:left="0"/>
                    <w:rPr>
                      <w:rFonts w:cs="Arial"/>
                      <w:color w:val="auto"/>
                      <w:sz w:val="18"/>
                      <w:szCs w:val="18"/>
                    </w:rPr>
                  </w:pPr>
                  <w:r w:rsidRPr="00003C1B">
                    <w:rPr>
                      <w:rFonts w:cs="Arial"/>
                      <w:color w:val="auto"/>
                      <w:sz w:val="18"/>
                      <w:szCs w:val="18"/>
                    </w:rPr>
                    <w:t xml:space="preserve">To diminish the difference between PP and non-PP attainment in writing and maths at the expected level.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139" w:rsidRPr="00003C1B" w:rsidRDefault="00583139" w:rsidP="00572FAB">
                  <w:pPr>
                    <w:pStyle w:val="7Tablebodycopy"/>
                    <w:rPr>
                      <w:rFonts w:cs="Arial"/>
                      <w:sz w:val="18"/>
                      <w:szCs w:val="18"/>
                    </w:rPr>
                  </w:pPr>
                  <w:r w:rsidRPr="00003C1B">
                    <w:rPr>
                      <w:rFonts w:cs="Arial"/>
                      <w:sz w:val="18"/>
                      <w:szCs w:val="18"/>
                    </w:rPr>
                    <w:t xml:space="preserve">The difference in attainment between pupil premium and non-pupil premium groups is diminished in writing </w:t>
                  </w:r>
                </w:p>
                <w:p w:rsidR="00583139" w:rsidRPr="00003C1B" w:rsidRDefault="00583139" w:rsidP="00572FAB">
                  <w:pPr>
                    <w:pStyle w:val="TableRowCentered"/>
                    <w:ind w:left="0"/>
                    <w:jc w:val="left"/>
                    <w:rPr>
                      <w:rFonts w:cs="Arial"/>
                      <w:sz w:val="18"/>
                      <w:szCs w:val="18"/>
                    </w:rPr>
                  </w:pPr>
                </w:p>
              </w:tc>
              <w:tc>
                <w:tcPr>
                  <w:tcW w:w="4252" w:type="dxa"/>
                  <w:tcBorders>
                    <w:top w:val="single" w:sz="4" w:space="0" w:color="000000"/>
                    <w:left w:val="single" w:sz="4" w:space="0" w:color="000000"/>
                    <w:bottom w:val="single" w:sz="4" w:space="0" w:color="000000"/>
                    <w:right w:val="single" w:sz="4" w:space="0" w:color="000000"/>
                  </w:tcBorders>
                </w:tcPr>
                <w:p w:rsidR="00583139" w:rsidRPr="00003C1B" w:rsidRDefault="00583139" w:rsidP="00583139">
                  <w:pPr>
                    <w:rPr>
                      <w:sz w:val="18"/>
                      <w:szCs w:val="18"/>
                    </w:rPr>
                  </w:pPr>
                  <w:r w:rsidRPr="00003C1B">
                    <w:rPr>
                      <w:sz w:val="18"/>
                      <w:szCs w:val="18"/>
                    </w:rPr>
                    <w:t>Maths interventions were successful, with Year 6 PP outcomes rising from 33% to 63% at EXS+ (closing the gap by 21 points).</w:t>
                  </w:r>
                </w:p>
                <w:p w:rsidR="00583139" w:rsidRPr="00003C1B" w:rsidRDefault="00583139" w:rsidP="00583139">
                  <w:pPr>
                    <w:rPr>
                      <w:sz w:val="18"/>
                      <w:szCs w:val="18"/>
                    </w:rPr>
                  </w:pPr>
                  <w:r w:rsidRPr="00003C1B">
                    <w:rPr>
                      <w:sz w:val="18"/>
                      <w:szCs w:val="18"/>
                    </w:rPr>
                    <w:t xml:space="preserve">Non PP = 75% (12% difference) </w:t>
                  </w:r>
                  <w:r w:rsidR="00003C1B" w:rsidRPr="00003C1B">
                    <w:rPr>
                      <w:sz w:val="18"/>
                      <w:szCs w:val="18"/>
                    </w:rPr>
                    <w:t>whereas the g</w:t>
                  </w:r>
                  <w:r w:rsidRPr="00003C1B">
                    <w:rPr>
                      <w:sz w:val="18"/>
                      <w:szCs w:val="18"/>
                    </w:rPr>
                    <w:t>ap in 2023/24 was 86% v 33% = 53% difference)</w:t>
                  </w:r>
                </w:p>
                <w:p w:rsidR="00583139" w:rsidRPr="00003C1B" w:rsidRDefault="00583139" w:rsidP="00CF3FE6">
                  <w:pPr>
                    <w:rPr>
                      <w:sz w:val="18"/>
                      <w:szCs w:val="18"/>
                    </w:rPr>
                  </w:pPr>
                  <w:r w:rsidRPr="00003C1B">
                    <w:rPr>
                      <w:sz w:val="18"/>
                      <w:szCs w:val="18"/>
                    </w:rPr>
                    <w:t xml:space="preserve">The gap in writing increased. In 2023/24 the difference was 24%and in 2024/25 the difference was 37% </w:t>
                  </w:r>
                </w:p>
              </w:tc>
            </w:tr>
            <w:tr w:rsidR="00583139" w:rsidRPr="00A01C2E" w:rsidTr="00003C1B">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139" w:rsidRPr="00003C1B" w:rsidRDefault="00583139" w:rsidP="00572FAB">
                  <w:pPr>
                    <w:pStyle w:val="TableRow"/>
                    <w:rPr>
                      <w:rFonts w:cs="Arial"/>
                      <w:color w:val="auto"/>
                      <w:sz w:val="18"/>
                      <w:szCs w:val="18"/>
                    </w:rPr>
                  </w:pPr>
                  <w:r w:rsidRPr="00003C1B">
                    <w:rPr>
                      <w:rFonts w:cs="Arial"/>
                      <w:color w:val="auto"/>
                      <w:sz w:val="18"/>
                      <w:szCs w:val="18"/>
                    </w:rPr>
                    <w:t xml:space="preserve">To increase the percentage of PP pupils achieving the higher standing in Reading.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139" w:rsidRPr="00003C1B" w:rsidRDefault="00583139" w:rsidP="00572FAB">
                  <w:pPr>
                    <w:spacing w:line="226" w:lineRule="exact"/>
                    <w:rPr>
                      <w:rFonts w:cs="Arial"/>
                      <w:color w:val="auto"/>
                      <w:sz w:val="18"/>
                      <w:szCs w:val="18"/>
                    </w:rPr>
                  </w:pPr>
                  <w:r w:rsidRPr="00003C1B">
                    <w:rPr>
                      <w:rFonts w:cs="Arial"/>
                      <w:color w:val="auto"/>
                      <w:sz w:val="18"/>
                      <w:szCs w:val="18"/>
                    </w:rPr>
                    <w:t xml:space="preserve">The percentage of pupils achieving the higher standard in reading is closer to the non-PP percentage </w:t>
                  </w:r>
                </w:p>
                <w:p w:rsidR="00583139" w:rsidRPr="00003C1B" w:rsidRDefault="00583139" w:rsidP="00572FAB">
                  <w:pPr>
                    <w:spacing w:line="226" w:lineRule="exact"/>
                    <w:rPr>
                      <w:rFonts w:cs="Arial"/>
                      <w:color w:val="auto"/>
                      <w:sz w:val="18"/>
                      <w:szCs w:val="18"/>
                    </w:rPr>
                  </w:pPr>
                  <w:r w:rsidRPr="00003C1B">
                    <w:rPr>
                      <w:rFonts w:cs="Arial"/>
                      <w:color w:val="auto"/>
                      <w:w w:val="98"/>
                      <w:sz w:val="18"/>
                      <w:szCs w:val="18"/>
                    </w:rPr>
                    <w:t>Pp pupils passing the phonics screening is in line with non-pp peers.</w:t>
                  </w:r>
                </w:p>
                <w:p w:rsidR="00583139" w:rsidRPr="00003C1B" w:rsidRDefault="00583139" w:rsidP="00572FAB">
                  <w:pPr>
                    <w:spacing w:after="0" w:line="226" w:lineRule="exact"/>
                    <w:rPr>
                      <w:rFonts w:cs="Arial"/>
                      <w:color w:val="auto"/>
                      <w:sz w:val="18"/>
                      <w:szCs w:val="18"/>
                    </w:rPr>
                  </w:pPr>
                </w:p>
              </w:tc>
              <w:tc>
                <w:tcPr>
                  <w:tcW w:w="4252" w:type="dxa"/>
                  <w:tcBorders>
                    <w:top w:val="single" w:sz="4" w:space="0" w:color="000000"/>
                    <w:left w:val="single" w:sz="4" w:space="0" w:color="000000"/>
                    <w:bottom w:val="single" w:sz="4" w:space="0" w:color="000000"/>
                    <w:right w:val="single" w:sz="4" w:space="0" w:color="000000"/>
                  </w:tcBorders>
                </w:tcPr>
                <w:p w:rsidR="00583139" w:rsidRPr="00003C1B" w:rsidRDefault="00583139" w:rsidP="00572FAB">
                  <w:pPr>
                    <w:spacing w:line="226" w:lineRule="exact"/>
                    <w:rPr>
                      <w:rFonts w:cs="Arial"/>
                      <w:sz w:val="18"/>
                      <w:szCs w:val="18"/>
                    </w:rPr>
                  </w:pPr>
                  <w:r w:rsidRPr="00003C1B">
                    <w:rPr>
                      <w:rFonts w:cs="Arial"/>
                      <w:sz w:val="18"/>
                      <w:szCs w:val="18"/>
                    </w:rPr>
                    <w:t xml:space="preserve">KS2 Reading in 2023/24 no pupils achieved the higher standard. </w:t>
                  </w:r>
                </w:p>
                <w:p w:rsidR="00583139" w:rsidRPr="00003C1B" w:rsidRDefault="00583139" w:rsidP="00572FAB">
                  <w:pPr>
                    <w:spacing w:line="226" w:lineRule="exact"/>
                    <w:rPr>
                      <w:rFonts w:cs="Arial"/>
                      <w:sz w:val="18"/>
                      <w:szCs w:val="18"/>
                    </w:rPr>
                  </w:pPr>
                  <w:r w:rsidRPr="00003C1B">
                    <w:rPr>
                      <w:rFonts w:cs="Arial"/>
                      <w:sz w:val="18"/>
                      <w:szCs w:val="18"/>
                    </w:rPr>
                    <w:t>In 2024/25 13% achieved the higher level</w:t>
                  </w:r>
                </w:p>
                <w:p w:rsidR="00583139" w:rsidRPr="00003C1B" w:rsidRDefault="00583139" w:rsidP="00583139">
                  <w:pPr>
                    <w:spacing w:line="226" w:lineRule="exact"/>
                    <w:rPr>
                      <w:rFonts w:cs="Arial"/>
                      <w:sz w:val="18"/>
                      <w:szCs w:val="18"/>
                    </w:rPr>
                  </w:pPr>
                  <w:r w:rsidRPr="00003C1B">
                    <w:rPr>
                      <w:rFonts w:cs="Arial"/>
                      <w:sz w:val="18"/>
                      <w:szCs w:val="18"/>
                    </w:rPr>
                    <w:t>However, overall fewer PP pupils achieved the expected standard</w:t>
                  </w:r>
                </w:p>
                <w:p w:rsidR="00583139" w:rsidRPr="00003C1B" w:rsidRDefault="00583139" w:rsidP="00583139">
                  <w:pPr>
                    <w:spacing w:line="226" w:lineRule="exact"/>
                    <w:rPr>
                      <w:rFonts w:cs="Arial"/>
                      <w:sz w:val="18"/>
                      <w:szCs w:val="18"/>
                    </w:rPr>
                  </w:pPr>
                  <w:r w:rsidRPr="00003C1B">
                    <w:rPr>
                      <w:rFonts w:cs="Arial"/>
                      <w:sz w:val="18"/>
                      <w:szCs w:val="18"/>
                    </w:rPr>
                    <w:t>100% of PP pupils passed the phonics screening v 83% of non-PP peers</w:t>
                  </w:r>
                </w:p>
              </w:tc>
            </w:tr>
            <w:tr w:rsidR="00583139" w:rsidRPr="00A01C2E" w:rsidTr="00003C1B">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139" w:rsidRPr="00003C1B" w:rsidRDefault="00583139" w:rsidP="00572FAB">
                  <w:pPr>
                    <w:pStyle w:val="TableRow"/>
                    <w:rPr>
                      <w:rFonts w:cs="Arial"/>
                      <w:color w:val="auto"/>
                      <w:sz w:val="18"/>
                      <w:szCs w:val="18"/>
                    </w:rPr>
                  </w:pPr>
                  <w:r w:rsidRPr="00003C1B">
                    <w:rPr>
                      <w:rFonts w:cs="Arial"/>
                      <w:color w:val="auto"/>
                      <w:sz w:val="18"/>
                      <w:szCs w:val="18"/>
                    </w:rPr>
                    <w:t>Pupil Premium pupils have access to a range of activities and trips and uptake is comparable</w:t>
                  </w:r>
                  <w:r w:rsidR="00B856F4" w:rsidRPr="00003C1B">
                    <w:rPr>
                      <w:rFonts w:cs="Arial"/>
                      <w:color w:val="auto"/>
                      <w:sz w:val="18"/>
                      <w:szCs w:val="18"/>
                    </w:rPr>
                    <w:t xml:space="preserve"> with peers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139" w:rsidRPr="00003C1B" w:rsidRDefault="00583139" w:rsidP="00572FAB">
                  <w:pPr>
                    <w:spacing w:line="226" w:lineRule="exact"/>
                    <w:rPr>
                      <w:rFonts w:cs="Arial"/>
                      <w:color w:val="auto"/>
                      <w:sz w:val="18"/>
                      <w:szCs w:val="18"/>
                    </w:rPr>
                  </w:pPr>
                  <w:r w:rsidRPr="00003C1B">
                    <w:rPr>
                      <w:rFonts w:cs="Arial"/>
                      <w:color w:val="auto"/>
                      <w:sz w:val="18"/>
                      <w:szCs w:val="18"/>
                    </w:rPr>
                    <w:t>All PP pupils participate in at least one residential and all school trips</w:t>
                  </w:r>
                </w:p>
                <w:p w:rsidR="00583139" w:rsidRPr="00003C1B" w:rsidRDefault="00583139" w:rsidP="00572FAB">
                  <w:pPr>
                    <w:spacing w:line="226" w:lineRule="exact"/>
                    <w:rPr>
                      <w:rFonts w:cs="Arial"/>
                      <w:color w:val="auto"/>
                      <w:sz w:val="18"/>
                      <w:szCs w:val="18"/>
                    </w:rPr>
                  </w:pPr>
                  <w:r w:rsidRPr="00003C1B">
                    <w:rPr>
                      <w:rFonts w:cs="Arial"/>
                      <w:color w:val="auto"/>
                      <w:sz w:val="18"/>
                      <w:szCs w:val="18"/>
                    </w:rPr>
                    <w:t xml:space="preserve">All PP pupils have access to at least one extra-curricular club </w:t>
                  </w:r>
                </w:p>
              </w:tc>
              <w:tc>
                <w:tcPr>
                  <w:tcW w:w="4252" w:type="dxa"/>
                  <w:tcBorders>
                    <w:top w:val="single" w:sz="4" w:space="0" w:color="000000"/>
                    <w:left w:val="single" w:sz="4" w:space="0" w:color="000000"/>
                    <w:bottom w:val="single" w:sz="4" w:space="0" w:color="000000"/>
                    <w:right w:val="single" w:sz="4" w:space="0" w:color="000000"/>
                  </w:tcBorders>
                </w:tcPr>
                <w:p w:rsidR="00583139" w:rsidRPr="00003C1B" w:rsidRDefault="00CF3FE6" w:rsidP="00572FAB">
                  <w:pPr>
                    <w:spacing w:line="226" w:lineRule="exact"/>
                    <w:rPr>
                      <w:rFonts w:cs="Arial"/>
                      <w:sz w:val="18"/>
                      <w:szCs w:val="18"/>
                    </w:rPr>
                  </w:pPr>
                  <w:r w:rsidRPr="00003C1B">
                    <w:rPr>
                      <w:rFonts w:cs="Arial"/>
                      <w:sz w:val="18"/>
                      <w:szCs w:val="18"/>
                    </w:rPr>
                    <w:t>Uptake of clubs is 26% but is an inc</w:t>
                  </w:r>
                  <w:r w:rsidR="00B856F4" w:rsidRPr="00003C1B">
                    <w:rPr>
                      <w:rFonts w:cs="Arial"/>
                      <w:sz w:val="18"/>
                      <w:szCs w:val="18"/>
                    </w:rPr>
                    <w:t>rease of 4% from last year and the gap is closing</w:t>
                  </w:r>
                </w:p>
              </w:tc>
            </w:tr>
          </w:tbl>
          <w:p w:rsidR="0064167B" w:rsidRPr="002F4C6F" w:rsidRDefault="0064167B" w:rsidP="00242093">
            <w:pPr>
              <w:spacing w:before="60"/>
              <w:rPr>
                <w:i/>
                <w:iCs/>
                <w:lang w:eastAsia="en-US"/>
              </w:rPr>
            </w:pPr>
          </w:p>
        </w:tc>
      </w:tr>
      <w:bookmarkEnd w:id="0"/>
      <w:bookmarkEnd w:id="1"/>
      <w:bookmarkEnd w:id="2"/>
    </w:tbl>
    <w:p w:rsidR="00E66558" w:rsidRDefault="00E66558" w:rsidP="00003C1B">
      <w:pPr>
        <w:pStyle w:val="Heading1"/>
      </w:pPr>
    </w:p>
    <w:sectPr w:rsidR="00E66558" w:rsidSect="00003C1B">
      <w:headerReference w:type="default" r:id="rId17"/>
      <w:footerReference w:type="default" r:id="rId18"/>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D08" w:rsidRDefault="003E1D08">
      <w:pPr>
        <w:spacing w:after="0" w:line="240" w:lineRule="auto"/>
      </w:pPr>
      <w:r>
        <w:separator/>
      </w:r>
    </w:p>
  </w:endnote>
  <w:endnote w:type="continuationSeparator" w:id="0">
    <w:p w:rsidR="003E1D08" w:rsidRDefault="003E1D08">
      <w:pPr>
        <w:spacing w:after="0" w:line="240" w:lineRule="auto"/>
      </w:pPr>
      <w:r>
        <w:continuationSeparator/>
      </w:r>
    </w:p>
  </w:endnote>
  <w:endnote w:type="continuationNotice" w:id="1">
    <w:p w:rsidR="003E1D08" w:rsidRDefault="003E1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08" w:rsidRDefault="003E1D08">
    <w:pPr>
      <w:pStyle w:val="Footer"/>
      <w:ind w:firstLine="4513"/>
    </w:pPr>
    <w:r>
      <w:fldChar w:fldCharType="begin"/>
    </w:r>
    <w:r>
      <w:instrText xml:space="preserve"> PAGE </w:instrText>
    </w:r>
    <w:r>
      <w:fldChar w:fldCharType="separate"/>
    </w:r>
    <w:r w:rsidR="004E21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D08" w:rsidRDefault="003E1D08">
      <w:pPr>
        <w:spacing w:after="0" w:line="240" w:lineRule="auto"/>
      </w:pPr>
      <w:r>
        <w:separator/>
      </w:r>
    </w:p>
  </w:footnote>
  <w:footnote w:type="continuationSeparator" w:id="0">
    <w:p w:rsidR="003E1D08" w:rsidRDefault="003E1D08">
      <w:pPr>
        <w:spacing w:after="0" w:line="240" w:lineRule="auto"/>
      </w:pPr>
      <w:r>
        <w:continuationSeparator/>
      </w:r>
    </w:p>
  </w:footnote>
  <w:footnote w:type="continuationNotice" w:id="1">
    <w:p w:rsidR="003E1D08" w:rsidRDefault="003E1D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08" w:rsidRDefault="003E1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5E906D5"/>
    <w:multiLevelType w:val="multilevel"/>
    <w:tmpl w:val="753E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77A3D8B"/>
    <w:multiLevelType w:val="multilevel"/>
    <w:tmpl w:val="7538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0F55E1D"/>
    <w:multiLevelType w:val="multilevel"/>
    <w:tmpl w:val="B194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C4EE3"/>
    <w:multiLevelType w:val="multilevel"/>
    <w:tmpl w:val="3942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79C0B81"/>
    <w:multiLevelType w:val="multilevel"/>
    <w:tmpl w:val="3064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7C20F5"/>
    <w:multiLevelType w:val="multilevel"/>
    <w:tmpl w:val="110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0AC4A08"/>
    <w:multiLevelType w:val="multilevel"/>
    <w:tmpl w:val="EB34B5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7"/>
  </w:num>
  <w:num w:numId="4">
    <w:abstractNumId w:val="9"/>
  </w:num>
  <w:num w:numId="5">
    <w:abstractNumId w:val="0"/>
  </w:num>
  <w:num w:numId="6">
    <w:abstractNumId w:val="11"/>
  </w:num>
  <w:num w:numId="7">
    <w:abstractNumId w:val="19"/>
  </w:num>
  <w:num w:numId="8">
    <w:abstractNumId w:val="24"/>
  </w:num>
  <w:num w:numId="9">
    <w:abstractNumId w:val="22"/>
  </w:num>
  <w:num w:numId="10">
    <w:abstractNumId w:val="20"/>
  </w:num>
  <w:num w:numId="11">
    <w:abstractNumId w:val="4"/>
  </w:num>
  <w:num w:numId="12">
    <w:abstractNumId w:val="23"/>
  </w:num>
  <w:num w:numId="13">
    <w:abstractNumId w:val="16"/>
  </w:num>
  <w:num w:numId="14">
    <w:abstractNumId w:val="12"/>
  </w:num>
  <w:num w:numId="15">
    <w:abstractNumId w:val="2"/>
  </w:num>
  <w:num w:numId="16">
    <w:abstractNumId w:val="1"/>
  </w:num>
  <w:num w:numId="17">
    <w:abstractNumId w:val="14"/>
  </w:num>
  <w:num w:numId="18">
    <w:abstractNumId w:val="18"/>
  </w:num>
  <w:num w:numId="19">
    <w:abstractNumId w:val="8"/>
  </w:num>
  <w:num w:numId="20">
    <w:abstractNumId w:val="6"/>
  </w:num>
  <w:num w:numId="21">
    <w:abstractNumId w:val="10"/>
  </w:num>
  <w:num w:numId="22">
    <w:abstractNumId w:val="17"/>
  </w:num>
  <w:num w:numId="23">
    <w:abstractNumId w:val="21"/>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3C1B"/>
    <w:rsid w:val="00007067"/>
    <w:rsid w:val="00023729"/>
    <w:rsid w:val="000243B4"/>
    <w:rsid w:val="0002530E"/>
    <w:rsid w:val="0002710D"/>
    <w:rsid w:val="00031EA0"/>
    <w:rsid w:val="000346A6"/>
    <w:rsid w:val="00036678"/>
    <w:rsid w:val="000452EB"/>
    <w:rsid w:val="00045603"/>
    <w:rsid w:val="000463AE"/>
    <w:rsid w:val="000507A3"/>
    <w:rsid w:val="00060A62"/>
    <w:rsid w:val="00064366"/>
    <w:rsid w:val="00066B73"/>
    <w:rsid w:val="00071481"/>
    <w:rsid w:val="00071D77"/>
    <w:rsid w:val="000756CA"/>
    <w:rsid w:val="00075FAE"/>
    <w:rsid w:val="00082F38"/>
    <w:rsid w:val="000837DB"/>
    <w:rsid w:val="0008384B"/>
    <w:rsid w:val="00084E11"/>
    <w:rsid w:val="000929EC"/>
    <w:rsid w:val="00093CDE"/>
    <w:rsid w:val="000A5C58"/>
    <w:rsid w:val="000A6379"/>
    <w:rsid w:val="000B0D49"/>
    <w:rsid w:val="000B203E"/>
    <w:rsid w:val="000D22B0"/>
    <w:rsid w:val="000D318D"/>
    <w:rsid w:val="000D35C9"/>
    <w:rsid w:val="000D520C"/>
    <w:rsid w:val="000D6596"/>
    <w:rsid w:val="000D6779"/>
    <w:rsid w:val="000E6DF0"/>
    <w:rsid w:val="000F1201"/>
    <w:rsid w:val="000F14BA"/>
    <w:rsid w:val="00101672"/>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865"/>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1081"/>
    <w:rsid w:val="00306CB7"/>
    <w:rsid w:val="00307ABF"/>
    <w:rsid w:val="003111F5"/>
    <w:rsid w:val="00317664"/>
    <w:rsid w:val="003228FC"/>
    <w:rsid w:val="00336200"/>
    <w:rsid w:val="00337418"/>
    <w:rsid w:val="00343373"/>
    <w:rsid w:val="00351D83"/>
    <w:rsid w:val="00352197"/>
    <w:rsid w:val="00353E46"/>
    <w:rsid w:val="00353E77"/>
    <w:rsid w:val="0035511B"/>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3D05"/>
    <w:rsid w:val="003B588A"/>
    <w:rsid w:val="003B621D"/>
    <w:rsid w:val="003C4388"/>
    <w:rsid w:val="003C4C27"/>
    <w:rsid w:val="003C7F7B"/>
    <w:rsid w:val="003D0CD6"/>
    <w:rsid w:val="003D2EAA"/>
    <w:rsid w:val="003D448C"/>
    <w:rsid w:val="003E054C"/>
    <w:rsid w:val="003E1D08"/>
    <w:rsid w:val="003E1EC5"/>
    <w:rsid w:val="003E27A0"/>
    <w:rsid w:val="003E3872"/>
    <w:rsid w:val="004044AA"/>
    <w:rsid w:val="004044C8"/>
    <w:rsid w:val="00404F3F"/>
    <w:rsid w:val="00410B5D"/>
    <w:rsid w:val="00413BEC"/>
    <w:rsid w:val="0042265E"/>
    <w:rsid w:val="00424ED7"/>
    <w:rsid w:val="00425258"/>
    <w:rsid w:val="00426217"/>
    <w:rsid w:val="00431A80"/>
    <w:rsid w:val="00431AC8"/>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36E6"/>
    <w:rsid w:val="004C42F0"/>
    <w:rsid w:val="004D50C8"/>
    <w:rsid w:val="004D6B72"/>
    <w:rsid w:val="004E1D73"/>
    <w:rsid w:val="004E21FE"/>
    <w:rsid w:val="004E5450"/>
    <w:rsid w:val="004E57C3"/>
    <w:rsid w:val="004E72DD"/>
    <w:rsid w:val="004F22CD"/>
    <w:rsid w:val="005025FB"/>
    <w:rsid w:val="00503462"/>
    <w:rsid w:val="00504BC9"/>
    <w:rsid w:val="0051286E"/>
    <w:rsid w:val="00514E84"/>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2FAB"/>
    <w:rsid w:val="00573E1D"/>
    <w:rsid w:val="005750E2"/>
    <w:rsid w:val="00583139"/>
    <w:rsid w:val="0058313F"/>
    <w:rsid w:val="00585859"/>
    <w:rsid w:val="00586FBC"/>
    <w:rsid w:val="005879C9"/>
    <w:rsid w:val="00594CAD"/>
    <w:rsid w:val="005A1D0B"/>
    <w:rsid w:val="005A3C6B"/>
    <w:rsid w:val="005B1EA5"/>
    <w:rsid w:val="005B7F12"/>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59B9"/>
    <w:rsid w:val="0061762D"/>
    <w:rsid w:val="00626633"/>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9CB"/>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0BE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67E8F"/>
    <w:rsid w:val="00771902"/>
    <w:rsid w:val="00781713"/>
    <w:rsid w:val="00785285"/>
    <w:rsid w:val="0078529D"/>
    <w:rsid w:val="00785E77"/>
    <w:rsid w:val="0078720B"/>
    <w:rsid w:val="00787DC1"/>
    <w:rsid w:val="00794070"/>
    <w:rsid w:val="007A63CA"/>
    <w:rsid w:val="007A713B"/>
    <w:rsid w:val="007A7DA0"/>
    <w:rsid w:val="007B64E5"/>
    <w:rsid w:val="007C2F04"/>
    <w:rsid w:val="007F06E5"/>
    <w:rsid w:val="007F5B8B"/>
    <w:rsid w:val="007F6A82"/>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774D2"/>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59D5"/>
    <w:rsid w:val="0092660E"/>
    <w:rsid w:val="00936519"/>
    <w:rsid w:val="009413AA"/>
    <w:rsid w:val="00941DA3"/>
    <w:rsid w:val="00942C0C"/>
    <w:rsid w:val="00951711"/>
    <w:rsid w:val="00951E5D"/>
    <w:rsid w:val="009539E3"/>
    <w:rsid w:val="00954083"/>
    <w:rsid w:val="00954A5E"/>
    <w:rsid w:val="009551B2"/>
    <w:rsid w:val="0096022C"/>
    <w:rsid w:val="009609F4"/>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239B"/>
    <w:rsid w:val="009F34FB"/>
    <w:rsid w:val="009F3BBD"/>
    <w:rsid w:val="00A01C2E"/>
    <w:rsid w:val="00A022AB"/>
    <w:rsid w:val="00A063DD"/>
    <w:rsid w:val="00A112B5"/>
    <w:rsid w:val="00A14EEA"/>
    <w:rsid w:val="00A33636"/>
    <w:rsid w:val="00A44FBB"/>
    <w:rsid w:val="00A50104"/>
    <w:rsid w:val="00A512A1"/>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1740"/>
    <w:rsid w:val="00AB24FA"/>
    <w:rsid w:val="00AB5161"/>
    <w:rsid w:val="00AD7B5A"/>
    <w:rsid w:val="00AE229F"/>
    <w:rsid w:val="00AF0618"/>
    <w:rsid w:val="00AF5E20"/>
    <w:rsid w:val="00B002FA"/>
    <w:rsid w:val="00B00327"/>
    <w:rsid w:val="00B024B3"/>
    <w:rsid w:val="00B11DE8"/>
    <w:rsid w:val="00B15C02"/>
    <w:rsid w:val="00B179ED"/>
    <w:rsid w:val="00B20E18"/>
    <w:rsid w:val="00B331E1"/>
    <w:rsid w:val="00B4532A"/>
    <w:rsid w:val="00B47C66"/>
    <w:rsid w:val="00B572C4"/>
    <w:rsid w:val="00B60858"/>
    <w:rsid w:val="00B60D69"/>
    <w:rsid w:val="00B6234E"/>
    <w:rsid w:val="00B72AC6"/>
    <w:rsid w:val="00B74D4E"/>
    <w:rsid w:val="00B80219"/>
    <w:rsid w:val="00B856F4"/>
    <w:rsid w:val="00B87184"/>
    <w:rsid w:val="00B91453"/>
    <w:rsid w:val="00BA19A5"/>
    <w:rsid w:val="00BB2907"/>
    <w:rsid w:val="00BB6902"/>
    <w:rsid w:val="00BC078B"/>
    <w:rsid w:val="00BC3A7D"/>
    <w:rsid w:val="00BC67F6"/>
    <w:rsid w:val="00BD2004"/>
    <w:rsid w:val="00BD4B12"/>
    <w:rsid w:val="00BD700D"/>
    <w:rsid w:val="00BE1F0D"/>
    <w:rsid w:val="00BE2F92"/>
    <w:rsid w:val="00BE44AC"/>
    <w:rsid w:val="00BF0D5F"/>
    <w:rsid w:val="00BF30FC"/>
    <w:rsid w:val="00BF59B3"/>
    <w:rsid w:val="00BF6C15"/>
    <w:rsid w:val="00BF6F95"/>
    <w:rsid w:val="00C10BCF"/>
    <w:rsid w:val="00C11EB4"/>
    <w:rsid w:val="00C12746"/>
    <w:rsid w:val="00C16F73"/>
    <w:rsid w:val="00C23C11"/>
    <w:rsid w:val="00C2441E"/>
    <w:rsid w:val="00C25827"/>
    <w:rsid w:val="00C31636"/>
    <w:rsid w:val="00C31BB8"/>
    <w:rsid w:val="00C373EA"/>
    <w:rsid w:val="00C425F9"/>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85C75"/>
    <w:rsid w:val="00C97A7F"/>
    <w:rsid w:val="00CA4421"/>
    <w:rsid w:val="00CA5363"/>
    <w:rsid w:val="00CA7D07"/>
    <w:rsid w:val="00CB24A4"/>
    <w:rsid w:val="00CB5B17"/>
    <w:rsid w:val="00CB6AA0"/>
    <w:rsid w:val="00CC19E6"/>
    <w:rsid w:val="00CC4443"/>
    <w:rsid w:val="00CC5CAF"/>
    <w:rsid w:val="00CE7E1B"/>
    <w:rsid w:val="00CF3FE6"/>
    <w:rsid w:val="00D04F25"/>
    <w:rsid w:val="00D052CD"/>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2B1"/>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47F7A"/>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E5816"/>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09C9"/>
    <w:rsid w:val="00FE3136"/>
    <w:rsid w:val="00FE50A3"/>
    <w:rsid w:val="00FE5204"/>
    <w:rsid w:val="00FE604C"/>
    <w:rsid w:val="00FF1C6B"/>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6C6F"/>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B15C02"/>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B15C02"/>
    <w:rPr>
      <w:b/>
      <w:bCs/>
    </w:rPr>
  </w:style>
  <w:style w:type="character" w:customStyle="1" w:styleId="relative">
    <w:name w:val="relative"/>
    <w:basedOn w:val="DefaultParagraphFont"/>
    <w:rsid w:val="00B15C02"/>
  </w:style>
  <w:style w:type="paragraph" w:customStyle="1" w:styleId="not-prose">
    <w:name w:val="not-prose"/>
    <w:basedOn w:val="Normal"/>
    <w:rsid w:val="00B15C02"/>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B72AC6"/>
    <w:rPr>
      <w:i/>
      <w:iCs/>
    </w:rPr>
  </w:style>
  <w:style w:type="paragraph" w:customStyle="1" w:styleId="7Tablebodycopy">
    <w:name w:val="7 Table body copy"/>
    <w:basedOn w:val="Normal"/>
    <w:qFormat/>
    <w:rsid w:val="00572FAB"/>
    <w:pPr>
      <w:suppressAutoHyphens w:val="0"/>
      <w:autoSpaceDN/>
      <w:spacing w:after="60" w:line="240" w:lineRule="auto"/>
    </w:pPr>
    <w:rPr>
      <w:rFonts w:eastAsia="MS Mincho"/>
      <w:color w:val="auto"/>
      <w:sz w:val="20"/>
      <w:lang w:val="en-US" w:eastAsia="en-US"/>
    </w:rPr>
  </w:style>
  <w:style w:type="paragraph" w:customStyle="1" w:styleId="7Tablebodybulleted">
    <w:name w:val="7 Table body bulleted"/>
    <w:basedOn w:val="Normal"/>
    <w:qFormat/>
    <w:rsid w:val="00CF3FE6"/>
    <w:pPr>
      <w:numPr>
        <w:numId w:val="25"/>
      </w:numPr>
      <w:suppressAutoHyphens w:val="0"/>
      <w:autoSpaceDN/>
      <w:spacing w:after="120" w:line="240" w:lineRule="auto"/>
      <w:ind w:right="284"/>
    </w:pPr>
    <w:rPr>
      <w:rFonts w:eastAsia="MS Mincho"/>
      <w:color w:val="auto"/>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11308159">
      <w:bodyDiv w:val="1"/>
      <w:marLeft w:val="0"/>
      <w:marRight w:val="0"/>
      <w:marTop w:val="0"/>
      <w:marBottom w:val="0"/>
      <w:divBdr>
        <w:top w:val="none" w:sz="0" w:space="0" w:color="auto"/>
        <w:left w:val="none" w:sz="0" w:space="0" w:color="auto"/>
        <w:bottom w:val="none" w:sz="0" w:space="0" w:color="auto"/>
        <w:right w:val="none" w:sz="0" w:space="0" w:color="auto"/>
      </w:divBdr>
    </w:div>
    <w:div w:id="337074682">
      <w:bodyDiv w:val="1"/>
      <w:marLeft w:val="0"/>
      <w:marRight w:val="0"/>
      <w:marTop w:val="0"/>
      <w:marBottom w:val="0"/>
      <w:divBdr>
        <w:top w:val="none" w:sz="0" w:space="0" w:color="auto"/>
        <w:left w:val="none" w:sz="0" w:space="0" w:color="auto"/>
        <w:bottom w:val="none" w:sz="0" w:space="0" w:color="auto"/>
        <w:right w:val="none" w:sz="0" w:space="0" w:color="auto"/>
      </w:divBdr>
    </w:div>
    <w:div w:id="413165599">
      <w:bodyDiv w:val="1"/>
      <w:marLeft w:val="0"/>
      <w:marRight w:val="0"/>
      <w:marTop w:val="0"/>
      <w:marBottom w:val="0"/>
      <w:divBdr>
        <w:top w:val="none" w:sz="0" w:space="0" w:color="auto"/>
        <w:left w:val="none" w:sz="0" w:space="0" w:color="auto"/>
        <w:bottom w:val="none" w:sz="0" w:space="0" w:color="auto"/>
        <w:right w:val="none" w:sz="0" w:space="0" w:color="auto"/>
      </w:divBdr>
    </w:div>
    <w:div w:id="897011870">
      <w:bodyDiv w:val="1"/>
      <w:marLeft w:val="0"/>
      <w:marRight w:val="0"/>
      <w:marTop w:val="0"/>
      <w:marBottom w:val="0"/>
      <w:divBdr>
        <w:top w:val="none" w:sz="0" w:space="0" w:color="auto"/>
        <w:left w:val="none" w:sz="0" w:space="0" w:color="auto"/>
        <w:bottom w:val="none" w:sz="0" w:space="0" w:color="auto"/>
        <w:right w:val="none" w:sz="0" w:space="0" w:color="auto"/>
      </w:divBdr>
    </w:div>
    <w:div w:id="1020668595">
      <w:bodyDiv w:val="1"/>
      <w:marLeft w:val="0"/>
      <w:marRight w:val="0"/>
      <w:marTop w:val="0"/>
      <w:marBottom w:val="0"/>
      <w:divBdr>
        <w:top w:val="none" w:sz="0" w:space="0" w:color="auto"/>
        <w:left w:val="none" w:sz="0" w:space="0" w:color="auto"/>
        <w:bottom w:val="none" w:sz="0" w:space="0" w:color="auto"/>
        <w:right w:val="none" w:sz="0" w:space="0" w:color="auto"/>
      </w:divBdr>
    </w:div>
    <w:div w:id="1065837397">
      <w:bodyDiv w:val="1"/>
      <w:marLeft w:val="0"/>
      <w:marRight w:val="0"/>
      <w:marTop w:val="0"/>
      <w:marBottom w:val="0"/>
      <w:divBdr>
        <w:top w:val="none" w:sz="0" w:space="0" w:color="auto"/>
        <w:left w:val="none" w:sz="0" w:space="0" w:color="auto"/>
        <w:bottom w:val="none" w:sz="0" w:space="0" w:color="auto"/>
        <w:right w:val="none" w:sz="0" w:space="0" w:color="auto"/>
      </w:divBdr>
    </w:div>
    <w:div w:id="1321271331">
      <w:bodyDiv w:val="1"/>
      <w:marLeft w:val="0"/>
      <w:marRight w:val="0"/>
      <w:marTop w:val="0"/>
      <w:marBottom w:val="0"/>
      <w:divBdr>
        <w:top w:val="none" w:sz="0" w:space="0" w:color="auto"/>
        <w:left w:val="none" w:sz="0" w:space="0" w:color="auto"/>
        <w:bottom w:val="none" w:sz="0" w:space="0" w:color="auto"/>
        <w:right w:val="none" w:sz="0" w:space="0" w:color="auto"/>
      </w:divBdr>
    </w:div>
    <w:div w:id="1564752401">
      <w:bodyDiv w:val="1"/>
      <w:marLeft w:val="0"/>
      <w:marRight w:val="0"/>
      <w:marTop w:val="0"/>
      <w:marBottom w:val="0"/>
      <w:divBdr>
        <w:top w:val="none" w:sz="0" w:space="0" w:color="auto"/>
        <w:left w:val="none" w:sz="0" w:space="0" w:color="auto"/>
        <w:bottom w:val="none" w:sz="0" w:space="0" w:color="auto"/>
        <w:right w:val="none" w:sz="0" w:space="0" w:color="auto"/>
      </w:divBdr>
    </w:div>
    <w:div w:id="1836411307">
      <w:bodyDiv w:val="1"/>
      <w:marLeft w:val="0"/>
      <w:marRight w:val="0"/>
      <w:marTop w:val="0"/>
      <w:marBottom w:val="0"/>
      <w:divBdr>
        <w:top w:val="none" w:sz="0" w:space="0" w:color="auto"/>
        <w:left w:val="none" w:sz="0" w:space="0" w:color="auto"/>
        <w:bottom w:val="none" w:sz="0" w:space="0" w:color="auto"/>
        <w:right w:val="none" w:sz="0" w:space="0" w:color="auto"/>
      </w:divBdr>
    </w:div>
    <w:div w:id="1956862120">
      <w:bodyDiv w:val="1"/>
      <w:marLeft w:val="0"/>
      <w:marRight w:val="0"/>
      <w:marTop w:val="0"/>
      <w:marBottom w:val="0"/>
      <w:divBdr>
        <w:top w:val="none" w:sz="0" w:space="0" w:color="auto"/>
        <w:left w:val="none" w:sz="0" w:space="0" w:color="auto"/>
        <w:bottom w:val="none" w:sz="0" w:space="0" w:color="auto"/>
        <w:right w:val="none" w:sz="0" w:space="0" w:color="auto"/>
      </w:divBdr>
    </w:div>
    <w:div w:id="2041121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teaching-assistant-interventions" TargetMode="External"/><Relationship Id="rId13" Type="http://schemas.openxmlformats.org/officeDocument/2006/relationships/hyperlink" Target="https://educationendowmentfoundation.org.uk/education-evidence/teaching-learning-toolkit/parental-engagemen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small-group-tui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parental-engag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small-group-tuition"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parental-engagement" TargetMode="External"/><Relationship Id="rId10" Type="http://schemas.openxmlformats.org/officeDocument/2006/relationships/hyperlink" Target="https://educationendowmentfoundation.org.uk/education-evidence/teaching-learning-toolkit/small-group-tui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small-group-tuition" TargetMode="External"/><Relationship Id="rId14" Type="http://schemas.openxmlformats.org/officeDocument/2006/relationships/hyperlink" Target="https://educationendowmentfoundation.org.uk/education-evidence/teaching-learning-toolkit/parental-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3B43-EC3B-435B-BAB9-99BC9C59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Hannah McGuire</cp:lastModifiedBy>
  <cp:revision>3</cp:revision>
  <cp:lastPrinted>2025-09-16T16:26:00Z</cp:lastPrinted>
  <dcterms:created xsi:type="dcterms:W3CDTF">2025-09-18T19:36:00Z</dcterms:created>
  <dcterms:modified xsi:type="dcterms:W3CDTF">2025-09-18T19:55:00Z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