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40"/>
          <w:szCs w:val="40"/>
          <w:rtl w:val="0"/>
        </w:rPr>
        <w:t xml:space="preserve">Provision Map KS1 &amp; KS2 - E code</w:t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13016731</wp:posOffset>
            </wp:positionH>
            <wp:positionV relativeFrom="paragraph">
              <wp:posOffset>-117994</wp:posOffset>
            </wp:positionV>
            <wp:extent cx="1188777" cy="1296648"/>
            <wp:effectExtent b="0" l="0" r="0" t="0"/>
            <wp:wrapNone/>
            <wp:docPr descr="Logo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77" cy="1296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rtl w:val="0"/>
        </w:rPr>
        <w:t xml:space="preserve">Code of Practice 6.1: All children and young people are entitled to an appropriate education, one that is appropriate to their needs, promotes high standards and the fulfilment of potential.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Name: </w:t>
      </w:r>
    </w:p>
    <w:p w:rsidR="00000000" w:rsidDel="00000000" w:rsidP="00000000" w:rsidRDefault="00000000" w:rsidRPr="00000000" w14:paraId="00000004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Year /</w:t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Class: </w:t>
      </w:r>
    </w:p>
    <w:p w:rsidR="00000000" w:rsidDel="00000000" w:rsidP="00000000" w:rsidRDefault="00000000" w:rsidRPr="00000000" w14:paraId="00000005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Academic Year: </w:t>
      </w:r>
    </w:p>
    <w:tbl>
      <w:tblPr>
        <w:tblStyle w:val="Table1"/>
        <w:tblW w:w="22963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345"/>
        <w:gridCol w:w="5528"/>
        <w:tblGridChange w:id="0">
          <w:tblGrid>
            <w:gridCol w:w="1590"/>
            <w:gridCol w:w="5250"/>
            <w:gridCol w:w="5250"/>
            <w:gridCol w:w="5345"/>
            <w:gridCol w:w="5528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Universal Provision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Cognition and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Communication and Interaction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Social, emotional and mental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Sensory and/or Physical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Learning Environment Toolkit</w:t>
            </w:r>
          </w:p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(these practices - are our ‘Must Have’ in our universal SEND provision)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information on working walls is accessible to all children and appropriate to current learning.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displayed print is large enough to be read by all children.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phonics charts, vocabulary rainbow and subject specific words are displayed and used in the lessons.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English resources, appropriate to the chns needs are available writing frames,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vocabulary mats, word banks, phonic prompts, dictionaries.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Maths resources appropriate to the needs of the chn are available e.g.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ead string, 100 square/number line,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ase 10 frames, numicon,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Flexible seating responds to the learning within the lessons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Calm, structured classroom environment with clear, visual information about what is happening and what is expected - visual timetable is displayed on the SMART board and removed through the day.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widget symbols scaffold routines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and Language rich environment developing receptive and expressive language skills.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Adults response to individual children regarding SEND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SHINE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principles – displayed and referred to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Practices to support social interactions - buddy systems, friendship strategies,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Practices to support emotional literacy - 5-point scale 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places support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social / emotional needs - the teacher is available.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Consistent practices / routines to support self-regulation / co-regulation – through relationship 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Classroom organisation is responsive to individual children regarding physical needs including VI &amp; HI and sensory processing.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Alternative strategies, routines and practices to reduce sensory overload /supporting sensory regulation for individual children.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places support individual needs - HI, VI, Physical, attention, emotional state.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Teacher Toolkit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Adapted Teaching &amp; Learning in the lesson.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Support with skills for successful learning – practices to help hold attention, develop active listening skills.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Pre-teaching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talk partners for oral rehearsal / shared practice.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Extra time given to complete tasks.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for spelling strategies.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spell checkers (upper KS2)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Daily opportunities to experience success, focusing on praising effort.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positive live marking.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for learning number facts.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Writing / planning frames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Additional support with accessing class texts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Pre-teaching vocabulary or concepts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 to support language - dual coding.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Target child – to check for understanding.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Explicit instructions - process / respond to verbal information.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 to support routines / expectations.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hinking time when answering / asking questions.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Revisit / repeat information back to the adult.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dditional support when copying from the board.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dditional support with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writing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tas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ks.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Mind mapping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Shared practices - My turn / Your turn – say it again better.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– generalisation (SALT) support in class.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Specific practices to develop social interaction and promote positive peer relationships.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Specific structured routines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Teach calming strategies.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Adults tune in to signs of dysregulation – Use of specific routines, practices e.g. breakout time, movement jobs, heavy work tasks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pre-empt difficult situations and need strategies, routines, practices.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estorative conversation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Comic strip conversations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Teach emotional literacy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Timers / wait buttons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Modified routines / practices – e.g. child not expected to write the LO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pre-prepared work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enlarged text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Audio books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Pre-writing activities/warm up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Fine motor skills activities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Gross motor skills activities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Writing tools – pencil grip, writing slope, seat wedge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Develop note taking skills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/ use of sound buttons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Daily routines for movement/sensory breaks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Alternative methods of recording – use of speech to text (365 Office online), word processing, Clicker 7, power point, video/recording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Pupil Toolkit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task planner or learning jig.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Writing / reading tool kit – Phonics chart / spellin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lists / word banks.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Pop-up with non-negotiables.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sentence openers / writing prompts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Using dyslexia friendly strategies to support learning - coloured overlays, easier to access font, reading guides,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5-point scaling tools to support independence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IT resources – Office 365 online immersive reader, google read aloud, sound buttons.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Sentence toolkit visuals (hammer, screwdriver, paintbrushes, tape measure, spanner)</w:t>
            </w:r>
          </w:p>
        </w:tc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Prompt cards for group roles and conversation skills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Social stories to develop understanding of social situations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Opportunities for verbal rehearsal before writing-language for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5-point scaling tool – how much help will you need / how hard.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Widget communication choice board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Task planner or Learning jig.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TEEACH strategies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IT resources – Microsoft dictation, dragon speak, sound buttons 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Now and Next Board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task planner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Emotional-scaling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tools / strategies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Personal 5-point scale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break out space.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workstation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e.g. I know / I don’t know what to do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Time in with a trusted adult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Brilliant boards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equipment.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Handheld fidget toys – squeezy objects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Resources for concentration-sensory cushions, blu tac, chewelry,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Now / Next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break out time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sensory breaks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specific equipment - Ear defenders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TEEACH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chn with HI or VI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metre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from the teacher for inputs, seating plan to support individual difficulties.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chn with physical needs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7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Other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provision</w:t>
            </w:r>
          </w:p>
          <w:p w:rsidR="00000000" w:rsidDel="00000000" w:rsidP="00000000" w:rsidRDefault="00000000" w:rsidRPr="00000000" w14:paraId="0000007B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e.g. lunchtime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Lunch time provision (add in what)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Reading with Roddy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4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Assessment tools </w:t>
            </w:r>
          </w:p>
          <w:p w:rsidR="00000000" w:rsidDel="00000000" w:rsidP="00000000" w:rsidRDefault="00000000" w:rsidRPr="00000000" w14:paraId="0000008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 assessment tool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Number stacks assessment tool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Reading Recovery assessment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Trugs reading fluency assessment </w:t>
            </w:r>
          </w:p>
          <w:p w:rsidR="00000000" w:rsidDel="00000000" w:rsidP="00000000" w:rsidRDefault="00000000" w:rsidRPr="00000000" w14:paraId="0000008B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DST diagnostic spelling assessment </w:t>
            </w:r>
          </w:p>
          <w:p w:rsidR="00000000" w:rsidDel="00000000" w:rsidP="00000000" w:rsidRDefault="00000000" w:rsidRPr="00000000" w14:paraId="0000008C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Stairway to spelling</w:t>
            </w:r>
          </w:p>
          <w:p w:rsidR="00000000" w:rsidDel="00000000" w:rsidP="00000000" w:rsidRDefault="00000000" w:rsidRPr="00000000" w14:paraId="0000008D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dyslexia assessment </w:t>
            </w:r>
          </w:p>
          <w:p w:rsidR="00000000" w:rsidDel="00000000" w:rsidP="00000000" w:rsidRDefault="00000000" w:rsidRPr="00000000" w14:paraId="0000008E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Accelerated Reader </w:t>
            </w:r>
          </w:p>
          <w:p w:rsidR="00000000" w:rsidDel="00000000" w:rsidP="00000000" w:rsidRDefault="00000000" w:rsidRPr="00000000" w14:paraId="0000008F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Cognitive Learning 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Link assessment </w:t>
            </w:r>
          </w:p>
          <w:p w:rsidR="00000000" w:rsidDel="00000000" w:rsidP="00000000" w:rsidRDefault="00000000" w:rsidRPr="00000000" w14:paraId="00000091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 assessment</w:t>
            </w:r>
          </w:p>
          <w:p w:rsidR="00000000" w:rsidDel="00000000" w:rsidP="00000000" w:rsidRDefault="00000000" w:rsidRPr="00000000" w14:paraId="00000092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SEMH v SLCN – tool (CiT &amp; SEMH team)</w:t>
            </w:r>
          </w:p>
          <w:p w:rsidR="00000000" w:rsidDel="00000000" w:rsidP="00000000" w:rsidRDefault="00000000" w:rsidRPr="00000000" w14:paraId="00000093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TALC – I can</w:t>
            </w:r>
          </w:p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Working memory – Memory Box</w:t>
            </w:r>
          </w:p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Communication and interaction. 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assessment </w:t>
            </w:r>
          </w:p>
          <w:p w:rsidR="00000000" w:rsidDel="00000000" w:rsidP="00000000" w:rsidRDefault="00000000" w:rsidRPr="00000000" w14:paraId="00000098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progression framework (autism) </w:t>
            </w:r>
          </w:p>
          <w:p w:rsidR="00000000" w:rsidDel="00000000" w:rsidP="00000000" w:rsidRDefault="00000000" w:rsidRPr="00000000" w14:paraId="00000099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for Thinking </w:t>
            </w:r>
          </w:p>
          <w:p w:rsidR="00000000" w:rsidDel="00000000" w:rsidP="00000000" w:rsidRDefault="00000000" w:rsidRPr="00000000" w14:paraId="0000009A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Boxall assessment (SEMH)</w:t>
            </w:r>
          </w:p>
          <w:p w:rsidR="00000000" w:rsidDel="00000000" w:rsidP="00000000" w:rsidRDefault="00000000" w:rsidRPr="00000000" w14:paraId="0000009B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SEMH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Fun Fit</w:t>
            </w:r>
          </w:p>
          <w:p w:rsidR="00000000" w:rsidDel="00000000" w:rsidP="00000000" w:rsidRDefault="00000000" w:rsidRPr="00000000" w14:paraId="0000009E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High Five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Physical / Sensory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379"/>
        <w:gridCol w:w="2871"/>
        <w:gridCol w:w="2625"/>
        <w:gridCol w:w="2625"/>
        <w:gridCol w:w="2227"/>
        <w:gridCol w:w="3023"/>
        <w:gridCol w:w="1875"/>
        <w:gridCol w:w="3375"/>
        <w:tblGridChange w:id="0">
          <w:tblGrid>
            <w:gridCol w:w="1590"/>
            <w:gridCol w:w="2379"/>
            <w:gridCol w:w="2871"/>
            <w:gridCol w:w="2625"/>
            <w:gridCol w:w="2625"/>
            <w:gridCol w:w="2227"/>
            <w:gridCol w:w="3023"/>
            <w:gridCol w:w="1875"/>
            <w:gridCol w:w="33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Targeted</w:t>
            </w:r>
          </w:p>
          <w:p w:rsidR="00000000" w:rsidDel="00000000" w:rsidP="00000000" w:rsidRDefault="00000000" w:rsidRPr="00000000" w14:paraId="000000A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Provision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interventions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Precision teaching xtables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Clicker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TRUGs 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Reading Recovery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Phonic play (KS1) 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Project X (upper KS2)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Number stacks 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Wandle: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catch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repeated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priority reader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Colourful semantics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Stairway to spelling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Toe by Toe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Stride ahead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interventions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Language link interventions 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Lego-therap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 speech programme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Working memory – Memory Box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Forest Nurture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Drawing &amp; Talking 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for Thinking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progression framework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Attachment based mentoring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- intervention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Emotional Logic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School Mental Health team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FunFit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Balance boards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Physio/OT programmes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LED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High-five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Dough disco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Theraputty 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Typing club - typing fluency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https://www.typingclub.com/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 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D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Plan, do, assess, review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SMART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Duration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 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6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Led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7">
            <w:pPr>
              <w:spacing w:after="60" w:before="60" w:lineRule="auto"/>
              <w:ind w:left="36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Entry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Exit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D9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Evaluation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rtl w:val="0"/>
        </w:rPr>
        <w:t xml:space="preserve"> highlight diagnosis and any additional support plans </w:t>
      </w:r>
      <w:r w:rsidDel="00000000" w:rsidR="00000000" w:rsidRPr="00000000">
        <w:rPr>
          <w:rtl w:val="0"/>
        </w:rPr>
      </w:r>
    </w:p>
    <w:tbl>
      <w:tblPr>
        <w:tblStyle w:val="Table3"/>
        <w:tblW w:w="22605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340"/>
        <w:gridCol w:w="5175"/>
        <w:tblGridChange w:id="0">
          <w:tblGrid>
            <w:gridCol w:w="1590"/>
            <w:gridCol w:w="5250"/>
            <w:gridCol w:w="5250"/>
            <w:gridCol w:w="5340"/>
            <w:gridCol w:w="5175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0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Diagnosis 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Dyslexia </w:t>
            </w:r>
          </w:p>
          <w:p w:rsidR="00000000" w:rsidDel="00000000" w:rsidP="00000000" w:rsidRDefault="00000000" w:rsidRPr="00000000" w14:paraId="0000010C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Global delay 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Autism </w:t>
            </w:r>
          </w:p>
          <w:p w:rsidR="00000000" w:rsidDel="00000000" w:rsidP="00000000" w:rsidRDefault="00000000" w:rsidRPr="00000000" w14:paraId="0000010E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Dyspraxia </w:t>
            </w:r>
          </w:p>
          <w:p w:rsidR="00000000" w:rsidDel="00000000" w:rsidP="00000000" w:rsidRDefault="00000000" w:rsidRPr="00000000" w14:paraId="0000010F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 Language Disorder </w:t>
            </w:r>
          </w:p>
          <w:p w:rsidR="00000000" w:rsidDel="00000000" w:rsidP="00000000" w:rsidRDefault="00000000" w:rsidRPr="00000000" w14:paraId="0000011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Language Delay </w:t>
            </w:r>
          </w:p>
          <w:p w:rsidR="00000000" w:rsidDel="00000000" w:rsidP="00000000" w:rsidRDefault="00000000" w:rsidRPr="00000000" w14:paraId="00000111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Speech Delay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ADHD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Hearing impairment       </w:t>
            </w:r>
          </w:p>
          <w:p w:rsidR="00000000" w:rsidDel="00000000" w:rsidP="00000000" w:rsidRDefault="00000000" w:rsidRPr="00000000" w14:paraId="00000114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Visual impairment</w:t>
            </w:r>
          </w:p>
          <w:p w:rsidR="00000000" w:rsidDel="00000000" w:rsidP="00000000" w:rsidRDefault="00000000" w:rsidRPr="00000000" w14:paraId="00000115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Other:  (add in)</w:t>
            </w:r>
          </w:p>
        </w:tc>
      </w:tr>
      <w:tr>
        <w:trPr>
          <w:cantSplit w:val="0"/>
          <w:trHeight w:val="964.9999999999989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1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Support Plans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PeP (CiC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Risk assessment</w:t>
            </w:r>
          </w:p>
          <w:p w:rsidR="00000000" w:rsidDel="00000000" w:rsidP="00000000" w:rsidRDefault="00000000" w:rsidRPr="00000000" w14:paraId="0000011B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Alternative timetable</w:t>
            </w:r>
          </w:p>
          <w:p w:rsidR="00000000" w:rsidDel="00000000" w:rsidP="00000000" w:rsidRDefault="00000000" w:rsidRPr="00000000" w14:paraId="0000011C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Relational support plan 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Personal emergency evacuation Plan (PeeP)</w:t>
            </w:r>
          </w:p>
          <w:p w:rsidR="00000000" w:rsidDel="00000000" w:rsidP="00000000" w:rsidRDefault="00000000" w:rsidRPr="00000000" w14:paraId="0000011E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Individual Health Care Plan (IHCP)</w:t>
            </w:r>
          </w:p>
          <w:p w:rsidR="00000000" w:rsidDel="00000000" w:rsidP="00000000" w:rsidRDefault="00000000" w:rsidRPr="00000000" w14:paraId="0000011F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Individual Care Plan (ICP)</w:t>
            </w:r>
          </w:p>
        </w:tc>
      </w:tr>
    </w:tbl>
    <w:p w:rsidR="00000000" w:rsidDel="00000000" w:rsidP="00000000" w:rsidRDefault="00000000" w:rsidRPr="00000000" w14:paraId="00000120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265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625"/>
        <w:gridCol w:w="2625"/>
        <w:gridCol w:w="2625"/>
        <w:gridCol w:w="2625"/>
        <w:gridCol w:w="2670"/>
        <w:gridCol w:w="2670"/>
        <w:gridCol w:w="2610"/>
        <w:gridCol w:w="2610"/>
        <w:tblGridChange w:id="0">
          <w:tblGrid>
            <w:gridCol w:w="1590"/>
            <w:gridCol w:w="2625"/>
            <w:gridCol w:w="2625"/>
            <w:gridCol w:w="2625"/>
            <w:gridCol w:w="2625"/>
            <w:gridCol w:w="2670"/>
            <w:gridCol w:w="2670"/>
            <w:gridCol w:w="2610"/>
            <w:gridCol w:w="2610"/>
          </w:tblGrid>
        </w:tblGridChange>
      </w:tblGrid>
      <w:tr>
        <w:trPr>
          <w:cantSplit w:val="0"/>
          <w:trHeight w:val="979.1200000000002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4f81bd" w:val="clear"/>
          </w:tcPr>
          <w:p w:rsidR="00000000" w:rsidDel="00000000" w:rsidP="00000000" w:rsidRDefault="00000000" w:rsidRPr="00000000" w14:paraId="00000121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External Agencies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EP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"/>
              </w:numPr>
              <w:spacing w:after="60" w:before="60" w:line="240" w:lineRule="auto"/>
              <w:ind w:left="182" w:hanging="36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Paediatrics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Inclusion team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SEMH team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OT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Physiotherapy </w:t>
            </w:r>
          </w:p>
        </w:tc>
      </w:tr>
      <w:tr>
        <w:trPr>
          <w:cantSplit w:val="0"/>
          <w:trHeight w:val="979.120000000000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Dyslexia outreach team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CAMHs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PHN - school nursing team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 / HI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Advisory service for chn with phys difficulty </w:t>
            </w:r>
          </w:p>
        </w:tc>
      </w:tr>
    </w:tbl>
    <w:p w:rsidR="00000000" w:rsidDel="00000000" w:rsidP="00000000" w:rsidRDefault="00000000" w:rsidRPr="00000000" w14:paraId="00000136">
      <w:pP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2625"/>
        <w:gridCol w:w="2625"/>
        <w:gridCol w:w="1875"/>
        <w:gridCol w:w="3375"/>
        <w:tblGridChange w:id="0">
          <w:tblGrid>
            <w:gridCol w:w="1590"/>
            <w:gridCol w:w="5250"/>
            <w:gridCol w:w="5250"/>
            <w:gridCol w:w="2625"/>
            <w:gridCol w:w="2625"/>
            <w:gridCol w:w="1875"/>
            <w:gridCol w:w="33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37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spacing w:after="60" w:before="6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Cognitive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spacing w:after="60" w:before="6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Communication and Interaction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3A">
            <w:pPr>
              <w:spacing w:after="60" w:before="6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3C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Sensory / Physical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3E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Outcomes on reports from other professionals’ services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47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EHCP </w:t>
            </w:r>
          </w:p>
          <w:p w:rsidR="00000000" w:rsidDel="00000000" w:rsidP="00000000" w:rsidRDefault="00000000" w:rsidRPr="00000000" w14:paraId="00000148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outcomes 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54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EHCP </w:t>
            </w:r>
          </w:p>
          <w:p w:rsidR="00000000" w:rsidDel="00000000" w:rsidP="00000000" w:rsidRDefault="00000000" w:rsidRPr="00000000" w14:paraId="00000155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provision </w:t>
            </w:r>
          </w:p>
          <w:p w:rsidR="00000000" w:rsidDel="00000000" w:rsidP="00000000" w:rsidRDefault="00000000" w:rsidRPr="00000000" w14:paraId="00000156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F section 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0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9" w:w="23814" w:orient="landscape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5321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D313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typingclub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DfRdhJzhM8qV4EgwnNq9BLIMCQ==">AMUW2mWo3Tq7CBffgZzq2JiyUX4/fCBvae9SwAnw1kR8c9FU4Z+s3FUxnltd72UooaLBiUKmEd45Xv4AtBk8Gx+KB3rQnyl+Yi0RfyURcC4D2haX7Jt0Qgo=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2023-02-01T08:04:00Z</dcterms:created>
</cp:coreProperties>
</file>