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97B4" w14:textId="77777777" w:rsidR="00472B98" w:rsidRDefault="00000000">
      <w:pPr>
        <w:jc w:val="center"/>
        <w:rPr>
          <w:color w:val="000000"/>
          <w:u w:val="single"/>
        </w:rPr>
      </w:pPr>
      <w:r>
        <w:rPr>
          <w:noProof/>
          <w:color w:val="000000"/>
        </w:rPr>
        <w:drawing>
          <wp:inline distT="0" distB="0" distL="114300" distR="114300" wp14:anchorId="581ACE4B" wp14:editId="1768FC86">
            <wp:extent cx="5733415" cy="1755775"/>
            <wp:effectExtent l="0" t="0" r="0" b="0"/>
            <wp:docPr id="2" name="image3.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Logo&#10;&#10;Description automatically generated"/>
                    <pic:cNvPicPr preferRelativeResize="0"/>
                  </pic:nvPicPr>
                  <pic:blipFill>
                    <a:blip r:embed="rId8"/>
                    <a:srcRect/>
                    <a:stretch>
                      <a:fillRect/>
                    </a:stretch>
                  </pic:blipFill>
                  <pic:spPr>
                    <a:xfrm>
                      <a:off x="0" y="0"/>
                      <a:ext cx="5733415" cy="1755775"/>
                    </a:xfrm>
                    <a:prstGeom prst="rect">
                      <a:avLst/>
                    </a:prstGeom>
                    <a:ln/>
                  </pic:spPr>
                </pic:pic>
              </a:graphicData>
            </a:graphic>
          </wp:inline>
        </w:drawing>
      </w:r>
    </w:p>
    <w:p w14:paraId="5A8AC3BC" w14:textId="77777777" w:rsidR="00472B98" w:rsidRDefault="00472B98">
      <w:pPr>
        <w:jc w:val="center"/>
        <w:rPr>
          <w:color w:val="000000"/>
          <w:u w:val="single"/>
        </w:rPr>
      </w:pPr>
    </w:p>
    <w:p w14:paraId="1883DA24" w14:textId="77777777" w:rsidR="00472B98" w:rsidRDefault="00472B98">
      <w:pPr>
        <w:jc w:val="center"/>
        <w:rPr>
          <w:color w:val="000000"/>
          <w:u w:val="single"/>
        </w:rPr>
      </w:pPr>
    </w:p>
    <w:p w14:paraId="15545E90" w14:textId="77777777" w:rsidR="00472B98" w:rsidRDefault="00472B98">
      <w:pPr>
        <w:jc w:val="center"/>
        <w:rPr>
          <w:color w:val="000000"/>
          <w:u w:val="single"/>
        </w:rPr>
      </w:pPr>
    </w:p>
    <w:p w14:paraId="60BC78BA" w14:textId="77777777" w:rsidR="00472B98" w:rsidRDefault="00472B98">
      <w:pPr>
        <w:jc w:val="center"/>
        <w:rPr>
          <w:color w:val="000000"/>
          <w:u w:val="single"/>
        </w:rPr>
      </w:pPr>
    </w:p>
    <w:p w14:paraId="39705D2C" w14:textId="77777777" w:rsidR="00472B98" w:rsidRDefault="00472B98">
      <w:pPr>
        <w:jc w:val="center"/>
        <w:rPr>
          <w:color w:val="000000"/>
        </w:rPr>
      </w:pPr>
    </w:p>
    <w:p w14:paraId="26B34684" w14:textId="77777777" w:rsidR="00472B98" w:rsidRDefault="00472B98">
      <w:pPr>
        <w:jc w:val="center"/>
        <w:rPr>
          <w:color w:val="000000"/>
        </w:rPr>
      </w:pPr>
    </w:p>
    <w:p w14:paraId="46A4EE26" w14:textId="77777777" w:rsidR="00472B98" w:rsidRDefault="00472B98">
      <w:pPr>
        <w:jc w:val="center"/>
        <w:rPr>
          <w:color w:val="000000"/>
        </w:rPr>
      </w:pPr>
    </w:p>
    <w:p w14:paraId="40510A7C" w14:textId="77777777" w:rsidR="00472B98" w:rsidRDefault="00000000">
      <w:pPr>
        <w:jc w:val="center"/>
        <w:rPr>
          <w:color w:val="000000"/>
          <w:sz w:val="56"/>
          <w:szCs w:val="56"/>
        </w:rPr>
      </w:pPr>
      <w:r>
        <w:rPr>
          <w:b/>
          <w:color w:val="000000"/>
          <w:sz w:val="56"/>
          <w:szCs w:val="56"/>
        </w:rPr>
        <w:t xml:space="preserve">Admissions </w:t>
      </w:r>
      <w:r>
        <w:rPr>
          <w:b/>
          <w:sz w:val="56"/>
          <w:szCs w:val="56"/>
        </w:rPr>
        <w:t>Policy</w:t>
      </w:r>
    </w:p>
    <w:p w14:paraId="000C195B" w14:textId="77777777" w:rsidR="00472B98" w:rsidRDefault="00472B98">
      <w:pPr>
        <w:jc w:val="center"/>
        <w:rPr>
          <w:color w:val="000000"/>
          <w:sz w:val="56"/>
          <w:szCs w:val="56"/>
        </w:rPr>
      </w:pPr>
    </w:p>
    <w:p w14:paraId="6B357785" w14:textId="77777777" w:rsidR="00472B98" w:rsidRDefault="00000000">
      <w:pPr>
        <w:jc w:val="center"/>
        <w:rPr>
          <w:color w:val="000000"/>
          <w:sz w:val="56"/>
          <w:szCs w:val="56"/>
        </w:rPr>
      </w:pPr>
      <w:r>
        <w:rPr>
          <w:b/>
          <w:color w:val="000000"/>
          <w:sz w:val="56"/>
          <w:szCs w:val="56"/>
        </w:rPr>
        <w:t xml:space="preserve">Reviewed: </w:t>
      </w:r>
      <w:r>
        <w:rPr>
          <w:b/>
          <w:sz w:val="56"/>
          <w:szCs w:val="56"/>
        </w:rPr>
        <w:t>January</w:t>
      </w:r>
      <w:r>
        <w:rPr>
          <w:b/>
          <w:color w:val="000000"/>
          <w:sz w:val="56"/>
          <w:szCs w:val="56"/>
        </w:rPr>
        <w:t xml:space="preserve"> 202</w:t>
      </w:r>
      <w:r>
        <w:rPr>
          <w:b/>
          <w:sz w:val="56"/>
          <w:szCs w:val="56"/>
        </w:rPr>
        <w:t>4</w:t>
      </w:r>
    </w:p>
    <w:p w14:paraId="7D3723BF" w14:textId="77777777" w:rsidR="00472B98" w:rsidRDefault="00000000">
      <w:pPr>
        <w:jc w:val="center"/>
        <w:rPr>
          <w:color w:val="000000"/>
          <w:sz w:val="56"/>
          <w:szCs w:val="56"/>
        </w:rPr>
      </w:pPr>
      <w:r>
        <w:rPr>
          <w:b/>
          <w:color w:val="000000"/>
          <w:sz w:val="56"/>
          <w:szCs w:val="56"/>
        </w:rPr>
        <w:t xml:space="preserve">Next Review: </w:t>
      </w:r>
      <w:r>
        <w:rPr>
          <w:b/>
          <w:sz w:val="56"/>
          <w:szCs w:val="56"/>
        </w:rPr>
        <w:t>January</w:t>
      </w:r>
      <w:r>
        <w:rPr>
          <w:b/>
          <w:color w:val="000000"/>
          <w:sz w:val="56"/>
          <w:szCs w:val="56"/>
        </w:rPr>
        <w:t xml:space="preserve"> 202</w:t>
      </w:r>
      <w:r>
        <w:rPr>
          <w:b/>
          <w:sz w:val="56"/>
          <w:szCs w:val="56"/>
        </w:rPr>
        <w:t>5</w:t>
      </w:r>
    </w:p>
    <w:p w14:paraId="47635CBC" w14:textId="77777777" w:rsidR="00472B98" w:rsidRDefault="00472B98">
      <w:pPr>
        <w:shd w:val="clear" w:color="auto" w:fill="FFFFFF"/>
        <w:spacing w:before="120" w:line="360" w:lineRule="auto"/>
        <w:rPr>
          <w:color w:val="000000"/>
        </w:rPr>
      </w:pPr>
    </w:p>
    <w:p w14:paraId="49E965FF" w14:textId="77777777" w:rsidR="00472B98" w:rsidRDefault="00472B98">
      <w:pPr>
        <w:shd w:val="clear" w:color="auto" w:fill="FFFFFF"/>
        <w:spacing w:before="120" w:line="360" w:lineRule="auto"/>
        <w:rPr>
          <w:color w:val="000000"/>
        </w:rPr>
      </w:pPr>
    </w:p>
    <w:p w14:paraId="19FACF57" w14:textId="77777777" w:rsidR="00472B98" w:rsidRDefault="00472B98">
      <w:pPr>
        <w:pBdr>
          <w:top w:val="nil"/>
          <w:left w:val="nil"/>
          <w:bottom w:val="nil"/>
          <w:right w:val="nil"/>
          <w:between w:val="nil"/>
        </w:pBdr>
        <w:rPr>
          <w:color w:val="000000"/>
        </w:rPr>
      </w:pPr>
    </w:p>
    <w:p w14:paraId="45F0FF11" w14:textId="77777777" w:rsidR="00472B98" w:rsidRDefault="00472B98">
      <w:pPr>
        <w:pBdr>
          <w:top w:val="nil"/>
          <w:left w:val="nil"/>
          <w:bottom w:val="nil"/>
          <w:right w:val="nil"/>
          <w:between w:val="nil"/>
        </w:pBdr>
        <w:rPr>
          <w:color w:val="000000"/>
        </w:rPr>
      </w:pPr>
    </w:p>
    <w:p w14:paraId="49760D6F" w14:textId="77777777" w:rsidR="00472B98" w:rsidRDefault="00472B98">
      <w:pPr>
        <w:pBdr>
          <w:top w:val="nil"/>
          <w:left w:val="nil"/>
          <w:bottom w:val="nil"/>
          <w:right w:val="nil"/>
          <w:between w:val="nil"/>
        </w:pBdr>
        <w:rPr>
          <w:color w:val="000000"/>
        </w:rPr>
      </w:pPr>
    </w:p>
    <w:p w14:paraId="50EE487E" w14:textId="77777777" w:rsidR="00472B98" w:rsidRDefault="00472B98">
      <w:pPr>
        <w:pBdr>
          <w:top w:val="nil"/>
          <w:left w:val="nil"/>
          <w:bottom w:val="nil"/>
          <w:right w:val="nil"/>
          <w:between w:val="nil"/>
        </w:pBdr>
        <w:rPr>
          <w:color w:val="000000"/>
        </w:rPr>
      </w:pPr>
    </w:p>
    <w:p w14:paraId="605FFC90" w14:textId="77777777" w:rsidR="00472B98" w:rsidRDefault="00472B98">
      <w:pPr>
        <w:pBdr>
          <w:top w:val="nil"/>
          <w:left w:val="nil"/>
          <w:bottom w:val="nil"/>
          <w:right w:val="nil"/>
          <w:between w:val="nil"/>
        </w:pBdr>
        <w:rPr>
          <w:color w:val="000000"/>
        </w:rPr>
      </w:pPr>
    </w:p>
    <w:p w14:paraId="5D6904A4" w14:textId="77777777" w:rsidR="00472B98" w:rsidRDefault="00472B98">
      <w:pPr>
        <w:pBdr>
          <w:top w:val="nil"/>
          <w:left w:val="nil"/>
          <w:bottom w:val="nil"/>
          <w:right w:val="nil"/>
          <w:between w:val="nil"/>
        </w:pBdr>
        <w:rPr>
          <w:color w:val="000000"/>
        </w:rPr>
      </w:pPr>
    </w:p>
    <w:p w14:paraId="20E3E9BD" w14:textId="77777777" w:rsidR="00472B98" w:rsidRDefault="00472B98">
      <w:pPr>
        <w:pBdr>
          <w:top w:val="nil"/>
          <w:left w:val="nil"/>
          <w:bottom w:val="nil"/>
          <w:right w:val="nil"/>
          <w:between w:val="nil"/>
        </w:pBdr>
        <w:rPr>
          <w:color w:val="000000"/>
        </w:rPr>
      </w:pPr>
    </w:p>
    <w:p w14:paraId="628AA930" w14:textId="77777777" w:rsidR="00472B98" w:rsidRDefault="00472B98">
      <w:pPr>
        <w:pBdr>
          <w:top w:val="nil"/>
          <w:left w:val="nil"/>
          <w:bottom w:val="nil"/>
          <w:right w:val="nil"/>
          <w:between w:val="nil"/>
        </w:pBdr>
        <w:rPr>
          <w:color w:val="000000"/>
        </w:rPr>
      </w:pPr>
    </w:p>
    <w:p w14:paraId="7C8972BF" w14:textId="77777777" w:rsidR="00472B98" w:rsidRDefault="00472B98">
      <w:pPr>
        <w:pBdr>
          <w:top w:val="nil"/>
          <w:left w:val="nil"/>
          <w:bottom w:val="nil"/>
          <w:right w:val="nil"/>
          <w:between w:val="nil"/>
        </w:pBdr>
        <w:rPr>
          <w:color w:val="000000"/>
        </w:rPr>
      </w:pPr>
    </w:p>
    <w:p w14:paraId="40040133" w14:textId="77777777" w:rsidR="00472B98" w:rsidRDefault="00472B98">
      <w:pPr>
        <w:pBdr>
          <w:top w:val="nil"/>
          <w:left w:val="nil"/>
          <w:bottom w:val="nil"/>
          <w:right w:val="nil"/>
          <w:between w:val="nil"/>
        </w:pBdr>
        <w:rPr>
          <w:color w:val="000000"/>
        </w:rPr>
      </w:pPr>
    </w:p>
    <w:p w14:paraId="74AEC615" w14:textId="77777777" w:rsidR="00472B98" w:rsidRDefault="00472B98">
      <w:pPr>
        <w:pBdr>
          <w:top w:val="nil"/>
          <w:left w:val="nil"/>
          <w:bottom w:val="nil"/>
          <w:right w:val="nil"/>
          <w:between w:val="nil"/>
        </w:pBdr>
        <w:rPr>
          <w:color w:val="000000"/>
        </w:rPr>
      </w:pPr>
    </w:p>
    <w:p w14:paraId="6FF21B8C" w14:textId="77777777" w:rsidR="00472B98" w:rsidRDefault="00472B98">
      <w:pPr>
        <w:pBdr>
          <w:top w:val="nil"/>
          <w:left w:val="nil"/>
          <w:bottom w:val="nil"/>
          <w:right w:val="nil"/>
          <w:between w:val="nil"/>
        </w:pBdr>
        <w:rPr>
          <w:color w:val="000000"/>
        </w:rPr>
      </w:pPr>
    </w:p>
    <w:p w14:paraId="3617B6E2" w14:textId="77777777" w:rsidR="00472B98" w:rsidRDefault="00472B98">
      <w:pPr>
        <w:pBdr>
          <w:top w:val="nil"/>
          <w:left w:val="nil"/>
          <w:bottom w:val="nil"/>
          <w:right w:val="nil"/>
          <w:between w:val="nil"/>
        </w:pBdr>
        <w:spacing w:after="0" w:line="360" w:lineRule="auto"/>
        <w:ind w:right="284"/>
        <w:rPr>
          <w:color w:val="000000"/>
        </w:rPr>
      </w:pPr>
    </w:p>
    <w:p w14:paraId="46CFBAAB" w14:textId="77777777" w:rsidR="00472B98" w:rsidRDefault="00000000">
      <w:pPr>
        <w:pBdr>
          <w:top w:val="nil"/>
          <w:left w:val="nil"/>
          <w:bottom w:val="nil"/>
          <w:right w:val="nil"/>
          <w:between w:val="nil"/>
        </w:pBdr>
        <w:spacing w:after="0" w:line="360" w:lineRule="auto"/>
        <w:ind w:right="284"/>
        <w:jc w:val="center"/>
        <w:rPr>
          <w:color w:val="000000"/>
          <w:u w:val="single"/>
        </w:rPr>
      </w:pPr>
      <w:r>
        <w:rPr>
          <w:b/>
          <w:color w:val="000000"/>
          <w:u w:val="single"/>
        </w:rPr>
        <w:lastRenderedPageBreak/>
        <w:t>Contents</w:t>
      </w:r>
    </w:p>
    <w:sdt>
      <w:sdtPr>
        <w:id w:val="1645701336"/>
        <w:docPartObj>
          <w:docPartGallery w:val="Table of Contents"/>
          <w:docPartUnique/>
        </w:docPartObj>
      </w:sdtPr>
      <w:sdtContent>
        <w:p w14:paraId="2A38FF4D" w14:textId="77777777" w:rsidR="00472B98" w:rsidRDefault="00000000">
          <w:pPr>
            <w:pBdr>
              <w:top w:val="nil"/>
              <w:left w:val="nil"/>
              <w:bottom w:val="nil"/>
              <w:right w:val="nil"/>
              <w:between w:val="nil"/>
            </w:pBdr>
            <w:spacing w:after="0" w:line="360" w:lineRule="auto"/>
            <w:ind w:right="284"/>
            <w:rPr>
              <w:rFonts w:ascii="Calibri" w:eastAsia="Calibri" w:hAnsi="Calibri" w:cs="Calibri"/>
              <w:color w:val="000000"/>
            </w:rPr>
          </w:pPr>
          <w:r>
            <w:fldChar w:fldCharType="begin"/>
          </w:r>
          <w:r>
            <w:instrText xml:space="preserve"> TOC \h \u \z \t "Heading 1,1,Heading 2,2,Heading 3,3,Heading 4,4,Heading 5,5,Heading 6,6,"</w:instrText>
          </w:r>
          <w:r>
            <w:fldChar w:fldCharType="separate"/>
          </w:r>
          <w:hyperlink w:anchor="_heading=h.gjdgxs">
            <w:r>
              <w:rPr>
                <w:color w:val="000000"/>
              </w:rPr>
              <w:t>1. Aims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hyperlink>
        </w:p>
        <w:p w14:paraId="67A6E3E5" w14:textId="77777777" w:rsidR="00472B98" w:rsidRDefault="00000000">
          <w:pPr>
            <w:pBdr>
              <w:top w:val="nil"/>
              <w:left w:val="nil"/>
              <w:bottom w:val="nil"/>
              <w:right w:val="nil"/>
              <w:between w:val="nil"/>
            </w:pBdr>
            <w:spacing w:after="0" w:line="360" w:lineRule="auto"/>
            <w:ind w:right="284"/>
            <w:rPr>
              <w:rFonts w:ascii="Calibri" w:eastAsia="Calibri" w:hAnsi="Calibri" w:cs="Calibri"/>
              <w:color w:val="000000"/>
            </w:rPr>
          </w:pPr>
          <w:hyperlink w:anchor="_heading=h.30j0zll">
            <w:r>
              <w:rPr>
                <w:color w:val="000000"/>
              </w:rPr>
              <w:t>2. Legislation and statutory requirements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hyperlink>
        </w:p>
        <w:p w14:paraId="0881A781" w14:textId="77777777" w:rsidR="00472B98" w:rsidRDefault="00000000">
          <w:pPr>
            <w:pBdr>
              <w:top w:val="nil"/>
              <w:left w:val="nil"/>
              <w:bottom w:val="nil"/>
              <w:right w:val="nil"/>
              <w:between w:val="nil"/>
            </w:pBdr>
            <w:spacing w:after="0" w:line="360" w:lineRule="auto"/>
            <w:ind w:right="284"/>
            <w:rPr>
              <w:color w:val="000000"/>
            </w:rPr>
          </w:pPr>
          <w:hyperlink w:anchor="_heading=h.1t3h5sf">
            <w:r>
              <w:rPr>
                <w:color w:val="000000"/>
              </w:rPr>
              <w:t>3.1 Alternative Provision Placements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hyperlink>
        </w:p>
        <w:p w14:paraId="7103B522" w14:textId="77777777" w:rsidR="00472B98" w:rsidRDefault="00000000">
          <w:pPr>
            <w:pBdr>
              <w:top w:val="nil"/>
              <w:left w:val="nil"/>
              <w:bottom w:val="nil"/>
              <w:right w:val="nil"/>
              <w:between w:val="nil"/>
            </w:pBdr>
            <w:spacing w:after="0" w:line="360" w:lineRule="auto"/>
            <w:ind w:right="284"/>
            <w:rPr>
              <w:color w:val="000000"/>
            </w:rPr>
          </w:pPr>
          <w:hyperlink w:anchor="_heading=h.1t3h5sf">
            <w:r>
              <w:rPr>
                <w:color w:val="000000"/>
              </w:rPr>
              <w:t>3.2 Specialist Placements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hyperlink>
        </w:p>
        <w:p w14:paraId="3648DF2D" w14:textId="77777777" w:rsidR="00472B98" w:rsidRDefault="00000000">
          <w:pPr>
            <w:pBdr>
              <w:top w:val="nil"/>
              <w:left w:val="nil"/>
              <w:bottom w:val="nil"/>
              <w:right w:val="nil"/>
              <w:between w:val="nil"/>
            </w:pBdr>
            <w:spacing w:after="0" w:line="360" w:lineRule="auto"/>
            <w:ind w:right="284"/>
            <w:rPr>
              <w:color w:val="000000"/>
            </w:rPr>
          </w:pPr>
          <w:r>
            <w:rPr>
              <w:color w:val="000000"/>
            </w:rPr>
            <w:t>4. Placement Decisions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p>
        <w:p w14:paraId="24A684B6" w14:textId="77777777" w:rsidR="00472B98" w:rsidRDefault="00000000">
          <w:pPr>
            <w:pBdr>
              <w:top w:val="nil"/>
              <w:left w:val="nil"/>
              <w:bottom w:val="nil"/>
              <w:right w:val="nil"/>
              <w:between w:val="nil"/>
            </w:pBdr>
            <w:spacing w:after="0" w:line="360" w:lineRule="auto"/>
            <w:ind w:right="284"/>
            <w:rPr>
              <w:color w:val="000000"/>
            </w:rPr>
          </w:pPr>
          <w:r>
            <w:rPr>
              <w:color w:val="000000"/>
            </w:rPr>
            <w:t>5. Monitoring Arrangements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p>
        <w:p w14:paraId="233DF8E9" w14:textId="77777777" w:rsidR="00472B98" w:rsidRDefault="00472B98">
          <w:pPr>
            <w:pBdr>
              <w:top w:val="nil"/>
              <w:left w:val="nil"/>
              <w:bottom w:val="nil"/>
              <w:right w:val="nil"/>
              <w:between w:val="nil"/>
            </w:pBdr>
            <w:spacing w:after="0" w:line="360" w:lineRule="auto"/>
            <w:ind w:right="284"/>
            <w:rPr>
              <w:color w:val="0072CC"/>
              <w:u w:val="single"/>
            </w:rPr>
          </w:pPr>
        </w:p>
        <w:p w14:paraId="1B82BE5D" w14:textId="77777777" w:rsidR="00472B98" w:rsidRDefault="00472B98">
          <w:pPr>
            <w:pBdr>
              <w:top w:val="nil"/>
              <w:left w:val="nil"/>
              <w:bottom w:val="nil"/>
              <w:right w:val="nil"/>
              <w:between w:val="nil"/>
            </w:pBdr>
            <w:spacing w:after="0" w:line="360" w:lineRule="auto"/>
            <w:ind w:right="284"/>
            <w:rPr>
              <w:color w:val="0072CC"/>
              <w:u w:val="single"/>
            </w:rPr>
          </w:pPr>
        </w:p>
        <w:p w14:paraId="01CDC6B6" w14:textId="77777777" w:rsidR="00472B98" w:rsidRDefault="00000000">
          <w:pPr>
            <w:pBdr>
              <w:top w:val="nil"/>
              <w:left w:val="nil"/>
              <w:bottom w:val="nil"/>
              <w:right w:val="nil"/>
              <w:between w:val="nil"/>
            </w:pBdr>
            <w:spacing w:after="0" w:line="360" w:lineRule="auto"/>
            <w:ind w:right="284"/>
            <w:rPr>
              <w:color w:val="0072CC"/>
              <w:u w:val="single"/>
            </w:rPr>
          </w:pPr>
          <w:r>
            <w:fldChar w:fldCharType="end"/>
          </w:r>
        </w:p>
      </w:sdtContent>
    </w:sdt>
    <w:p w14:paraId="4E4CEE30" w14:textId="77777777" w:rsidR="00472B98" w:rsidRDefault="00472B98">
      <w:pPr>
        <w:pBdr>
          <w:top w:val="nil"/>
          <w:left w:val="nil"/>
          <w:bottom w:val="nil"/>
          <w:right w:val="nil"/>
          <w:between w:val="nil"/>
        </w:pBdr>
        <w:spacing w:after="0" w:line="360" w:lineRule="auto"/>
        <w:ind w:right="284"/>
        <w:rPr>
          <w:color w:val="0072CC"/>
          <w:u w:val="single"/>
        </w:rPr>
        <w:sectPr w:rsidR="00472B98" w:rsidSect="00872F68">
          <w:headerReference w:type="even" r:id="rId9"/>
          <w:headerReference w:type="default" r:id="rId10"/>
          <w:footerReference w:type="default" r:id="rId11"/>
          <w:headerReference w:type="first" r:id="rId12"/>
          <w:pgSz w:w="11900" w:h="16840"/>
          <w:pgMar w:top="992" w:right="1077" w:bottom="1701" w:left="1077" w:header="567" w:footer="227" w:gutter="0"/>
          <w:pgNumType w:start="1"/>
          <w:cols w:space="720"/>
          <w:titlePg/>
        </w:sectPr>
      </w:pPr>
      <w:bookmarkStart w:id="0" w:name="_heading=h.gjdgxs" w:colFirst="0" w:colLast="0"/>
      <w:bookmarkEnd w:id="0"/>
    </w:p>
    <w:p w14:paraId="785A7882" w14:textId="77777777" w:rsidR="00472B98" w:rsidRDefault="00000000">
      <w:pPr>
        <w:pBdr>
          <w:top w:val="nil"/>
          <w:left w:val="nil"/>
          <w:bottom w:val="nil"/>
          <w:right w:val="nil"/>
          <w:between w:val="nil"/>
        </w:pBdr>
        <w:spacing w:after="0" w:line="360" w:lineRule="auto"/>
        <w:ind w:right="284"/>
        <w:rPr>
          <w:color w:val="000000"/>
        </w:rPr>
      </w:pPr>
      <w:r>
        <w:rPr>
          <w:b/>
          <w:color w:val="000000"/>
        </w:rPr>
        <w:lastRenderedPageBreak/>
        <w:t>1. Aims</w:t>
      </w:r>
    </w:p>
    <w:p w14:paraId="41CE1899" w14:textId="77777777" w:rsidR="00472B98" w:rsidRDefault="00000000">
      <w:pPr>
        <w:pBdr>
          <w:top w:val="nil"/>
          <w:left w:val="nil"/>
          <w:bottom w:val="nil"/>
          <w:right w:val="nil"/>
          <w:between w:val="nil"/>
        </w:pBdr>
        <w:spacing w:after="0" w:line="360" w:lineRule="auto"/>
        <w:ind w:right="284"/>
        <w:rPr>
          <w:color w:val="000000"/>
        </w:rPr>
      </w:pPr>
      <w:r>
        <w:rPr>
          <w:color w:val="000000"/>
        </w:rPr>
        <w:t>This policy aims to:</w:t>
      </w:r>
    </w:p>
    <w:p w14:paraId="1A928BB6" w14:textId="77777777" w:rsidR="00472B98" w:rsidRDefault="00000000">
      <w:pPr>
        <w:numPr>
          <w:ilvl w:val="0"/>
          <w:numId w:val="1"/>
        </w:numPr>
        <w:pBdr>
          <w:top w:val="nil"/>
          <w:left w:val="nil"/>
          <w:bottom w:val="nil"/>
          <w:right w:val="nil"/>
          <w:between w:val="nil"/>
        </w:pBdr>
        <w:spacing w:after="0" w:line="360" w:lineRule="auto"/>
        <w:ind w:right="284"/>
        <w:rPr>
          <w:color w:val="000000"/>
        </w:rPr>
      </w:pPr>
      <w:r>
        <w:rPr>
          <w:color w:val="000000"/>
        </w:rPr>
        <w:t xml:space="preserve">Explain how to apply for a place at the </w:t>
      </w:r>
      <w:proofErr w:type="gramStart"/>
      <w:r>
        <w:rPr>
          <w:color w:val="000000"/>
        </w:rPr>
        <w:t>school</w:t>
      </w:r>
      <w:proofErr w:type="gramEnd"/>
    </w:p>
    <w:p w14:paraId="03068EB3" w14:textId="77777777" w:rsidR="00472B98" w:rsidRDefault="00000000">
      <w:pPr>
        <w:numPr>
          <w:ilvl w:val="0"/>
          <w:numId w:val="1"/>
        </w:numPr>
        <w:pBdr>
          <w:top w:val="nil"/>
          <w:left w:val="nil"/>
          <w:bottom w:val="nil"/>
          <w:right w:val="nil"/>
          <w:between w:val="nil"/>
        </w:pBdr>
        <w:spacing w:after="0" w:line="360" w:lineRule="auto"/>
        <w:ind w:right="284"/>
        <w:rPr>
          <w:color w:val="000000"/>
        </w:rPr>
      </w:pPr>
      <w:r>
        <w:rPr>
          <w:color w:val="000000"/>
        </w:rPr>
        <w:t xml:space="preserve">Set out the school’s arrangements for allocating places to the pupils who </w:t>
      </w:r>
      <w:proofErr w:type="gramStart"/>
      <w:r>
        <w:rPr>
          <w:color w:val="000000"/>
        </w:rPr>
        <w:t>apply</w:t>
      </w:r>
      <w:proofErr w:type="gramEnd"/>
    </w:p>
    <w:p w14:paraId="2D9D2ABE" w14:textId="77777777" w:rsidR="00472B98" w:rsidRDefault="00000000">
      <w:pPr>
        <w:numPr>
          <w:ilvl w:val="0"/>
          <w:numId w:val="1"/>
        </w:numPr>
        <w:pBdr>
          <w:top w:val="nil"/>
          <w:left w:val="nil"/>
          <w:bottom w:val="nil"/>
          <w:right w:val="nil"/>
          <w:between w:val="nil"/>
        </w:pBdr>
        <w:spacing w:after="0" w:line="360" w:lineRule="auto"/>
        <w:ind w:right="284"/>
        <w:rPr>
          <w:color w:val="000000"/>
        </w:rPr>
      </w:pPr>
      <w:r>
        <w:rPr>
          <w:color w:val="000000"/>
        </w:rPr>
        <w:t xml:space="preserve">Explain how to appeal against a decision not to offer your child a </w:t>
      </w:r>
      <w:proofErr w:type="gramStart"/>
      <w:r>
        <w:rPr>
          <w:color w:val="000000"/>
        </w:rPr>
        <w:t>place</w:t>
      </w:r>
      <w:proofErr w:type="gramEnd"/>
    </w:p>
    <w:p w14:paraId="017D79F8" w14:textId="77777777" w:rsidR="00472B98" w:rsidRDefault="00472B98">
      <w:pPr>
        <w:pBdr>
          <w:top w:val="nil"/>
          <w:left w:val="nil"/>
          <w:bottom w:val="nil"/>
          <w:right w:val="nil"/>
          <w:between w:val="nil"/>
        </w:pBdr>
        <w:spacing w:after="0" w:line="360" w:lineRule="auto"/>
        <w:ind w:right="284"/>
        <w:rPr>
          <w:color w:val="000000"/>
        </w:rPr>
      </w:pPr>
      <w:bookmarkStart w:id="1" w:name="_heading=h.30j0zll" w:colFirst="0" w:colLast="0"/>
      <w:bookmarkEnd w:id="1"/>
    </w:p>
    <w:p w14:paraId="45BCD963" w14:textId="77777777" w:rsidR="00472B98" w:rsidRDefault="00000000">
      <w:pPr>
        <w:pBdr>
          <w:top w:val="nil"/>
          <w:left w:val="nil"/>
          <w:bottom w:val="nil"/>
          <w:right w:val="nil"/>
          <w:between w:val="nil"/>
        </w:pBdr>
        <w:spacing w:after="0" w:line="360" w:lineRule="auto"/>
        <w:ind w:right="284"/>
        <w:rPr>
          <w:color w:val="000000"/>
        </w:rPr>
      </w:pPr>
      <w:r>
        <w:rPr>
          <w:b/>
          <w:color w:val="000000"/>
        </w:rPr>
        <w:t>2. Legislation and statutory requirements</w:t>
      </w:r>
    </w:p>
    <w:p w14:paraId="78EC90F1" w14:textId="77777777" w:rsidR="00472B98" w:rsidRDefault="00000000">
      <w:pPr>
        <w:pBdr>
          <w:top w:val="nil"/>
          <w:left w:val="nil"/>
          <w:bottom w:val="nil"/>
          <w:right w:val="nil"/>
          <w:between w:val="nil"/>
        </w:pBdr>
        <w:spacing w:after="0" w:line="360" w:lineRule="auto"/>
        <w:ind w:right="284"/>
      </w:pPr>
      <w:r>
        <w:rPr>
          <w:color w:val="000000"/>
        </w:rPr>
        <w:t xml:space="preserve">This policy </w:t>
      </w:r>
      <w:r>
        <w:t>complies with</w:t>
      </w:r>
      <w:r>
        <w:rPr>
          <w:color w:val="000000"/>
        </w:rPr>
        <w:t>:</w:t>
      </w:r>
    </w:p>
    <w:p w14:paraId="26815B06" w14:textId="77777777" w:rsidR="00472B98" w:rsidRDefault="00000000">
      <w:pPr>
        <w:pBdr>
          <w:top w:val="nil"/>
          <w:left w:val="nil"/>
          <w:bottom w:val="nil"/>
          <w:right w:val="nil"/>
          <w:between w:val="nil"/>
        </w:pBdr>
        <w:spacing w:after="0" w:line="360" w:lineRule="auto"/>
        <w:ind w:right="284"/>
      </w:pPr>
      <w:hyperlink r:id="rId13">
        <w:r>
          <w:rPr>
            <w:b/>
            <w:color w:val="2F729A"/>
            <w:highlight w:val="white"/>
            <w:u w:val="single"/>
          </w:rPr>
          <w:t>Section 43 Children and Families Act 2014</w:t>
        </w:r>
      </w:hyperlink>
      <w:r>
        <w:rPr>
          <w:color w:val="333333"/>
          <w:highlight w:val="white"/>
        </w:rPr>
        <w:t xml:space="preserve">, and is in line with the </w:t>
      </w:r>
      <w:r>
        <w:rPr>
          <w:color w:val="2F729A"/>
          <w:highlight w:val="white"/>
        </w:rPr>
        <w:t>Equalities Act 2010</w:t>
      </w:r>
      <w:r>
        <w:rPr>
          <w:color w:val="333333"/>
          <w:highlight w:val="white"/>
        </w:rPr>
        <w:t>.</w:t>
      </w:r>
    </w:p>
    <w:p w14:paraId="4B8DB731" w14:textId="77777777" w:rsidR="00472B98" w:rsidRDefault="00000000">
      <w:pPr>
        <w:pBdr>
          <w:top w:val="nil"/>
          <w:left w:val="nil"/>
          <w:bottom w:val="nil"/>
          <w:right w:val="nil"/>
          <w:between w:val="nil"/>
        </w:pBdr>
        <w:spacing w:after="0" w:line="360" w:lineRule="auto"/>
        <w:ind w:right="284"/>
        <w:rPr>
          <w:color w:val="000000"/>
        </w:rPr>
      </w:pPr>
      <w:r>
        <w:rPr>
          <w:color w:val="000000"/>
        </w:rPr>
        <w:t>This policy also complies with our service level agreements, and Manchester Inclusion and Alternative Provision strategy.</w:t>
      </w:r>
    </w:p>
    <w:p w14:paraId="16B9AD9E" w14:textId="77777777" w:rsidR="00472B98" w:rsidRDefault="00472B98">
      <w:pPr>
        <w:pBdr>
          <w:top w:val="nil"/>
          <w:left w:val="nil"/>
          <w:bottom w:val="nil"/>
          <w:right w:val="nil"/>
          <w:between w:val="nil"/>
        </w:pBdr>
        <w:rPr>
          <w:color w:val="000000"/>
        </w:rPr>
      </w:pPr>
      <w:bookmarkStart w:id="2" w:name="_heading=h.2et92p0" w:colFirst="0" w:colLast="0"/>
      <w:bookmarkEnd w:id="2"/>
    </w:p>
    <w:p w14:paraId="6C463F91" w14:textId="77777777" w:rsidR="00472B98" w:rsidRDefault="00000000">
      <w:pPr>
        <w:pBdr>
          <w:top w:val="nil"/>
          <w:left w:val="nil"/>
          <w:bottom w:val="nil"/>
          <w:right w:val="nil"/>
          <w:between w:val="nil"/>
        </w:pBdr>
        <w:spacing w:after="0" w:line="360" w:lineRule="auto"/>
        <w:ind w:right="284"/>
        <w:rPr>
          <w:color w:val="000000"/>
        </w:rPr>
      </w:pPr>
      <w:r>
        <w:rPr>
          <w:b/>
          <w:color w:val="000000"/>
        </w:rPr>
        <w:t>3. Admission Routes</w:t>
      </w:r>
    </w:p>
    <w:p w14:paraId="5E018E37" w14:textId="77777777" w:rsidR="00472B98" w:rsidRDefault="00000000">
      <w:pPr>
        <w:pBdr>
          <w:top w:val="nil"/>
          <w:left w:val="nil"/>
          <w:bottom w:val="nil"/>
          <w:right w:val="nil"/>
          <w:between w:val="nil"/>
        </w:pBdr>
        <w:spacing w:after="0" w:line="360" w:lineRule="auto"/>
        <w:ind w:right="284"/>
        <w:rPr>
          <w:color w:val="000000"/>
        </w:rPr>
      </w:pPr>
      <w:r>
        <w:rPr>
          <w:color w:val="000000"/>
        </w:rPr>
        <w:t>Music Stuff Education (MSE) only admits pupils through two routes: alternative provision and local authority specialist via the education health care plan (EHCP) process. MSE does not accept referrals/requests directly from parents/carers. Each route has specific obligations which will be fulfilled before a pupil is admitted into MSE.</w:t>
      </w:r>
    </w:p>
    <w:p w14:paraId="7CB9CD96" w14:textId="77777777" w:rsidR="00472B98" w:rsidRDefault="00472B98">
      <w:pPr>
        <w:pBdr>
          <w:top w:val="nil"/>
          <w:left w:val="nil"/>
          <w:bottom w:val="nil"/>
          <w:right w:val="nil"/>
          <w:between w:val="nil"/>
        </w:pBdr>
        <w:spacing w:after="0" w:line="360" w:lineRule="auto"/>
        <w:ind w:right="284"/>
        <w:rPr>
          <w:color w:val="000000"/>
        </w:rPr>
      </w:pPr>
    </w:p>
    <w:p w14:paraId="7F10EC20" w14:textId="77777777" w:rsidR="00472B98" w:rsidRDefault="00000000">
      <w:pPr>
        <w:pBdr>
          <w:top w:val="nil"/>
          <w:left w:val="nil"/>
          <w:bottom w:val="nil"/>
          <w:right w:val="nil"/>
          <w:between w:val="nil"/>
        </w:pBdr>
        <w:spacing w:after="0" w:line="360" w:lineRule="auto"/>
        <w:ind w:right="284"/>
        <w:rPr>
          <w:color w:val="000000"/>
        </w:rPr>
      </w:pPr>
      <w:r>
        <w:rPr>
          <w:color w:val="000000"/>
        </w:rPr>
        <w:t xml:space="preserve">MSE only accepts referrals for secondary age pupils 11-16 (Y7-Y11); applications for pupils outside of these age ranges will not be considered. Regardless of the route of entry, MSE will always attempt to garner as much information as possible on the child, before accepting admittance. This will include an analysis of needs, behaviour, and whether </w:t>
      </w:r>
      <w:r>
        <w:t>there are any</w:t>
      </w:r>
      <w:r>
        <w:rPr>
          <w:color w:val="000000"/>
        </w:rPr>
        <w:t xml:space="preserve"> known issues or conflicts with current MSE pupils.</w:t>
      </w:r>
    </w:p>
    <w:p w14:paraId="473F728C" w14:textId="77777777" w:rsidR="00472B98" w:rsidRDefault="00472B98">
      <w:pPr>
        <w:pBdr>
          <w:top w:val="nil"/>
          <w:left w:val="nil"/>
          <w:bottom w:val="nil"/>
          <w:right w:val="nil"/>
          <w:between w:val="nil"/>
        </w:pBdr>
        <w:spacing w:after="0" w:line="360" w:lineRule="auto"/>
        <w:ind w:right="284"/>
        <w:rPr>
          <w:color w:val="000000"/>
        </w:rPr>
      </w:pPr>
    </w:p>
    <w:p w14:paraId="681A467D" w14:textId="77777777" w:rsidR="00472B98" w:rsidRDefault="00000000">
      <w:pPr>
        <w:pBdr>
          <w:top w:val="nil"/>
          <w:left w:val="nil"/>
          <w:bottom w:val="nil"/>
          <w:right w:val="nil"/>
          <w:between w:val="nil"/>
        </w:pBdr>
        <w:spacing w:after="0" w:line="360" w:lineRule="auto"/>
        <w:ind w:right="284"/>
        <w:rPr>
          <w:color w:val="000000"/>
        </w:rPr>
      </w:pPr>
      <w:r>
        <w:rPr>
          <w:b/>
          <w:color w:val="000000"/>
        </w:rPr>
        <w:t>3.1 Alternative Provision (AP) Placements</w:t>
      </w:r>
    </w:p>
    <w:p w14:paraId="530F1D40" w14:textId="77777777" w:rsidR="00472B98" w:rsidRDefault="00000000">
      <w:pPr>
        <w:pBdr>
          <w:top w:val="nil"/>
          <w:left w:val="nil"/>
          <w:bottom w:val="nil"/>
          <w:right w:val="nil"/>
          <w:between w:val="nil"/>
        </w:pBdr>
        <w:spacing w:after="0" w:line="360" w:lineRule="auto"/>
        <w:ind w:right="284"/>
        <w:rPr>
          <w:color w:val="000000"/>
        </w:rPr>
      </w:pPr>
      <w:proofErr w:type="gramStart"/>
      <w:r>
        <w:rPr>
          <w:color w:val="000000"/>
        </w:rPr>
        <w:t>The majority of</w:t>
      </w:r>
      <w:proofErr w:type="gramEnd"/>
      <w:r>
        <w:rPr>
          <w:color w:val="000000"/>
        </w:rPr>
        <w:t xml:space="preserve"> AP places will be commissioned during Summer 2, ready for Autumn 1 (the following academic year). MSE will commission from schools directly, and via the MIAPS framework. If MSE is oversubscribed, preference will be shown to commissioners who are purchasing bulk placements. Once commissioning has </w:t>
      </w:r>
      <w:r>
        <w:t>had</w:t>
      </w:r>
      <w:r>
        <w:rPr>
          <w:color w:val="000000"/>
        </w:rPr>
        <w:t xml:space="preserve"> preliminary accept</w:t>
      </w:r>
      <w:r>
        <w:t>ance</w:t>
      </w:r>
      <w:r>
        <w:rPr>
          <w:color w:val="000000"/>
        </w:rPr>
        <w:t>, a service level agreement (SLA) will be completed before the admission of any placements.</w:t>
      </w:r>
    </w:p>
    <w:p w14:paraId="05E1F30D" w14:textId="77777777" w:rsidR="00472B98" w:rsidRDefault="00472B98">
      <w:pPr>
        <w:pBdr>
          <w:top w:val="nil"/>
          <w:left w:val="nil"/>
          <w:bottom w:val="nil"/>
          <w:right w:val="nil"/>
          <w:between w:val="nil"/>
        </w:pBdr>
        <w:spacing w:after="0" w:line="360" w:lineRule="auto"/>
        <w:ind w:right="284"/>
        <w:rPr>
          <w:color w:val="000000"/>
        </w:rPr>
      </w:pPr>
    </w:p>
    <w:p w14:paraId="4835E22F" w14:textId="77777777" w:rsidR="00472B98" w:rsidRDefault="00000000">
      <w:pPr>
        <w:pBdr>
          <w:top w:val="nil"/>
          <w:left w:val="nil"/>
          <w:bottom w:val="nil"/>
          <w:right w:val="nil"/>
          <w:between w:val="nil"/>
        </w:pBdr>
        <w:spacing w:after="0" w:line="360" w:lineRule="auto"/>
        <w:ind w:right="284"/>
        <w:rPr>
          <w:color w:val="000000"/>
        </w:rPr>
      </w:pPr>
      <w:r>
        <w:rPr>
          <w:color w:val="000000"/>
        </w:rPr>
        <w:t>Regardless of the commissioning intent, each potential pupil admitted will follow a stringent referral process:</w:t>
      </w:r>
    </w:p>
    <w:p w14:paraId="56330236" w14:textId="77777777" w:rsidR="00472B98" w:rsidRDefault="00000000">
      <w:pPr>
        <w:numPr>
          <w:ilvl w:val="0"/>
          <w:numId w:val="2"/>
        </w:numPr>
        <w:pBdr>
          <w:top w:val="nil"/>
          <w:left w:val="nil"/>
          <w:bottom w:val="nil"/>
          <w:right w:val="nil"/>
          <w:between w:val="nil"/>
        </w:pBdr>
        <w:spacing w:after="0" w:line="360" w:lineRule="auto"/>
        <w:ind w:right="284"/>
        <w:rPr>
          <w:color w:val="000000"/>
        </w:rPr>
      </w:pPr>
      <w:r>
        <w:rPr>
          <w:color w:val="000000"/>
        </w:rPr>
        <w:t>SPOC from referring school to propose a placement, detailing as much information as possible (length of placement, reasoning, emerging needs etc…).</w:t>
      </w:r>
    </w:p>
    <w:p w14:paraId="7DE8A2FC" w14:textId="77777777" w:rsidR="00472B98" w:rsidRDefault="00000000">
      <w:pPr>
        <w:numPr>
          <w:ilvl w:val="0"/>
          <w:numId w:val="2"/>
        </w:numPr>
        <w:pBdr>
          <w:top w:val="nil"/>
          <w:left w:val="nil"/>
          <w:bottom w:val="nil"/>
          <w:right w:val="nil"/>
          <w:between w:val="nil"/>
        </w:pBdr>
        <w:spacing w:after="0" w:line="360" w:lineRule="auto"/>
        <w:ind w:right="284"/>
        <w:rPr>
          <w:color w:val="000000"/>
        </w:rPr>
      </w:pPr>
      <w:r>
        <w:rPr>
          <w:color w:val="000000"/>
        </w:rPr>
        <w:t>An MSE referral form will be completed.</w:t>
      </w:r>
    </w:p>
    <w:p w14:paraId="60C1A7CA" w14:textId="77777777" w:rsidR="00472B98" w:rsidRDefault="00000000">
      <w:pPr>
        <w:numPr>
          <w:ilvl w:val="0"/>
          <w:numId w:val="2"/>
        </w:numPr>
        <w:pBdr>
          <w:top w:val="nil"/>
          <w:left w:val="nil"/>
          <w:bottom w:val="nil"/>
          <w:right w:val="nil"/>
          <w:between w:val="nil"/>
        </w:pBdr>
        <w:spacing w:after="0" w:line="360" w:lineRule="auto"/>
        <w:ind w:right="284"/>
        <w:rPr>
          <w:color w:val="000000"/>
        </w:rPr>
      </w:pPr>
      <w:r>
        <w:rPr>
          <w:color w:val="000000"/>
        </w:rPr>
        <w:t xml:space="preserve">Once SLT approves of the admission, a pre-admittance meeting will be scheduled with the referring school, parent/carers, </w:t>
      </w:r>
      <w:proofErr w:type="gramStart"/>
      <w:r>
        <w:rPr>
          <w:color w:val="000000"/>
        </w:rPr>
        <w:t>pupil</w:t>
      </w:r>
      <w:proofErr w:type="gramEnd"/>
      <w:r>
        <w:rPr>
          <w:color w:val="000000"/>
        </w:rPr>
        <w:t xml:space="preserve"> and any other appropriate associated agency.</w:t>
      </w:r>
    </w:p>
    <w:p w14:paraId="004ECF2C" w14:textId="77777777" w:rsidR="00472B98" w:rsidRDefault="00000000">
      <w:pPr>
        <w:numPr>
          <w:ilvl w:val="0"/>
          <w:numId w:val="2"/>
        </w:numPr>
        <w:pBdr>
          <w:top w:val="nil"/>
          <w:left w:val="nil"/>
          <w:bottom w:val="nil"/>
          <w:right w:val="nil"/>
          <w:between w:val="nil"/>
        </w:pBdr>
        <w:spacing w:after="0" w:line="360" w:lineRule="auto"/>
        <w:ind w:right="284"/>
        <w:rPr>
          <w:color w:val="000000"/>
        </w:rPr>
      </w:pPr>
      <w:r>
        <w:rPr>
          <w:color w:val="000000"/>
        </w:rPr>
        <w:t>During the meeting consents will be sought and a placement date/transition plan will be agreed.</w:t>
      </w:r>
    </w:p>
    <w:p w14:paraId="6A6E75D7" w14:textId="77777777" w:rsidR="00472B98" w:rsidRDefault="00472B98">
      <w:pPr>
        <w:pBdr>
          <w:top w:val="nil"/>
          <w:left w:val="nil"/>
          <w:bottom w:val="nil"/>
          <w:right w:val="nil"/>
          <w:between w:val="nil"/>
        </w:pBdr>
        <w:spacing w:after="0" w:line="360" w:lineRule="auto"/>
        <w:ind w:right="284"/>
        <w:rPr>
          <w:color w:val="000000"/>
        </w:rPr>
      </w:pPr>
    </w:p>
    <w:p w14:paraId="2AABB56A" w14:textId="77777777" w:rsidR="00472B98" w:rsidRDefault="00000000">
      <w:pPr>
        <w:pBdr>
          <w:top w:val="nil"/>
          <w:left w:val="nil"/>
          <w:bottom w:val="nil"/>
          <w:right w:val="nil"/>
          <w:between w:val="nil"/>
        </w:pBdr>
        <w:spacing w:after="0" w:line="360" w:lineRule="auto"/>
        <w:ind w:right="284"/>
        <w:rPr>
          <w:color w:val="000000"/>
        </w:rPr>
      </w:pPr>
      <w:r>
        <w:rPr>
          <w:b/>
          <w:color w:val="000000"/>
        </w:rPr>
        <w:lastRenderedPageBreak/>
        <w:t>3.2 Specialist Placements</w:t>
      </w:r>
    </w:p>
    <w:p w14:paraId="185B727C" w14:textId="77777777" w:rsidR="00472B98" w:rsidRDefault="00000000">
      <w:pPr>
        <w:pBdr>
          <w:top w:val="nil"/>
          <w:left w:val="nil"/>
          <w:bottom w:val="nil"/>
          <w:right w:val="nil"/>
          <w:between w:val="nil"/>
        </w:pBdr>
        <w:spacing w:after="0" w:line="360" w:lineRule="auto"/>
        <w:ind w:right="284"/>
        <w:rPr>
          <w:color w:val="000000"/>
        </w:rPr>
      </w:pPr>
      <w:r>
        <w:rPr>
          <w:color w:val="000000"/>
        </w:rPr>
        <w:t xml:space="preserve">LA SEND teams are welcome to propose MSE as a potential named school via the EHCP consultation process; however, MSE will not automatically accept consults. Whilst MSE is an SEMH provision, we acknowledge that SEND </w:t>
      </w:r>
      <w:proofErr w:type="gramStart"/>
      <w:r>
        <w:rPr>
          <w:color w:val="000000"/>
        </w:rPr>
        <w:t>are</w:t>
      </w:r>
      <w:proofErr w:type="gramEnd"/>
      <w:r>
        <w:rPr>
          <w:color w:val="000000"/>
        </w:rPr>
        <w:t xml:space="preserve"> diverse, and MSE is careful to admit pupils who</w:t>
      </w:r>
      <w:r>
        <w:t>se</w:t>
      </w:r>
      <w:r>
        <w:rPr>
          <w:color w:val="000000"/>
        </w:rPr>
        <w:t xml:space="preserve"> needs </w:t>
      </w:r>
      <w:r>
        <w:t>can</w:t>
      </w:r>
      <w:r>
        <w:rPr>
          <w:color w:val="000000"/>
        </w:rPr>
        <w:t xml:space="preserve"> be met within the school. The following referral process will be administered </w:t>
      </w:r>
      <w:r>
        <w:t>for</w:t>
      </w:r>
      <w:r>
        <w:rPr>
          <w:color w:val="000000"/>
        </w:rPr>
        <w:t xml:space="preserve"> all proposed SEND placements:</w:t>
      </w:r>
    </w:p>
    <w:p w14:paraId="0743C3C3" w14:textId="77777777" w:rsidR="00472B98" w:rsidRDefault="00000000">
      <w:pPr>
        <w:numPr>
          <w:ilvl w:val="0"/>
          <w:numId w:val="3"/>
        </w:numPr>
        <w:pBdr>
          <w:top w:val="nil"/>
          <w:left w:val="nil"/>
          <w:bottom w:val="nil"/>
          <w:right w:val="nil"/>
          <w:between w:val="nil"/>
        </w:pBdr>
        <w:spacing w:after="0" w:line="360" w:lineRule="auto"/>
        <w:ind w:right="284"/>
        <w:rPr>
          <w:color w:val="000000"/>
        </w:rPr>
      </w:pPr>
      <w:r>
        <w:rPr>
          <w:color w:val="000000"/>
        </w:rPr>
        <w:t xml:space="preserve">Proposal consultation documentation </w:t>
      </w:r>
      <w:r>
        <w:t>sent</w:t>
      </w:r>
      <w:r>
        <w:rPr>
          <w:color w:val="000000"/>
        </w:rPr>
        <w:t xml:space="preserve"> (securely) from the LA to our SENDCO/SPOC; documents will be assessed, and an acceptance of continuation will be returned within 10 school days.</w:t>
      </w:r>
    </w:p>
    <w:p w14:paraId="4DB9B29B" w14:textId="77777777" w:rsidR="00472B98" w:rsidRDefault="00000000">
      <w:pPr>
        <w:numPr>
          <w:ilvl w:val="0"/>
          <w:numId w:val="3"/>
        </w:numPr>
        <w:pBdr>
          <w:top w:val="nil"/>
          <w:left w:val="nil"/>
          <w:bottom w:val="nil"/>
          <w:right w:val="nil"/>
          <w:between w:val="nil"/>
        </w:pBdr>
        <w:spacing w:after="0" w:line="360" w:lineRule="auto"/>
        <w:ind w:right="284"/>
        <w:rPr>
          <w:color w:val="000000"/>
        </w:rPr>
      </w:pPr>
      <w:r>
        <w:rPr>
          <w:color w:val="000000"/>
        </w:rPr>
        <w:t>Parent/carers/associated agencies will be invited to visit the school.</w:t>
      </w:r>
    </w:p>
    <w:p w14:paraId="6805C8EF" w14:textId="77777777" w:rsidR="00472B98" w:rsidRDefault="00000000">
      <w:pPr>
        <w:numPr>
          <w:ilvl w:val="0"/>
          <w:numId w:val="3"/>
        </w:numPr>
        <w:pBdr>
          <w:top w:val="nil"/>
          <w:left w:val="nil"/>
          <w:bottom w:val="nil"/>
          <w:right w:val="nil"/>
          <w:between w:val="nil"/>
        </w:pBdr>
        <w:spacing w:after="0" w:line="360" w:lineRule="auto"/>
        <w:ind w:right="284"/>
        <w:rPr>
          <w:color w:val="000000"/>
        </w:rPr>
      </w:pPr>
      <w:r>
        <w:rPr>
          <w:color w:val="000000"/>
        </w:rPr>
        <w:t>If all parties wish to continue at this stage, a pre-admittance meeting will be scheduled and MSE will continue to collate necessary information.</w:t>
      </w:r>
    </w:p>
    <w:p w14:paraId="40FA76DB" w14:textId="77777777" w:rsidR="00472B98" w:rsidRDefault="00000000">
      <w:pPr>
        <w:numPr>
          <w:ilvl w:val="0"/>
          <w:numId w:val="3"/>
        </w:numPr>
        <w:pBdr>
          <w:top w:val="nil"/>
          <w:left w:val="nil"/>
          <w:bottom w:val="nil"/>
          <w:right w:val="nil"/>
          <w:between w:val="nil"/>
        </w:pBdr>
        <w:spacing w:after="0" w:line="360" w:lineRule="auto"/>
        <w:ind w:right="284"/>
        <w:rPr>
          <w:color w:val="000000"/>
        </w:rPr>
      </w:pPr>
      <w:r>
        <w:t>Where appropriate</w:t>
      </w:r>
      <w:r>
        <w:rPr>
          <w:color w:val="000000"/>
        </w:rPr>
        <w:t>, MSE will also coll</w:t>
      </w:r>
      <w:r>
        <w:t>ect</w:t>
      </w:r>
      <w:r>
        <w:rPr>
          <w:color w:val="000000"/>
        </w:rPr>
        <w:t xml:space="preserve"> information from the pupil’s former school/provider, alongside any agencies involved with the pupil.</w:t>
      </w:r>
    </w:p>
    <w:p w14:paraId="63AE76F7" w14:textId="77777777" w:rsidR="00472B98" w:rsidRDefault="00000000">
      <w:pPr>
        <w:numPr>
          <w:ilvl w:val="0"/>
          <w:numId w:val="3"/>
        </w:numPr>
        <w:pBdr>
          <w:top w:val="nil"/>
          <w:left w:val="nil"/>
          <w:bottom w:val="nil"/>
          <w:right w:val="nil"/>
          <w:between w:val="nil"/>
        </w:pBdr>
        <w:spacing w:after="0" w:line="360" w:lineRule="auto"/>
        <w:ind w:right="284"/>
      </w:pPr>
      <w:r>
        <w:t>Once formal agreement has been secured, the LA will issue a Final EHCP naming Music Stuff Educa</w:t>
      </w:r>
    </w:p>
    <w:p w14:paraId="3716BF8B" w14:textId="77777777" w:rsidR="00472B98" w:rsidRDefault="00472B98">
      <w:pPr>
        <w:pBdr>
          <w:top w:val="nil"/>
          <w:left w:val="nil"/>
          <w:bottom w:val="nil"/>
          <w:right w:val="nil"/>
          <w:between w:val="nil"/>
        </w:pBdr>
        <w:spacing w:after="0" w:line="360" w:lineRule="auto"/>
        <w:ind w:right="284"/>
        <w:rPr>
          <w:color w:val="000000"/>
        </w:rPr>
      </w:pPr>
    </w:p>
    <w:p w14:paraId="7EBEFADA" w14:textId="77777777" w:rsidR="00472B98" w:rsidRDefault="00000000">
      <w:pPr>
        <w:pBdr>
          <w:top w:val="nil"/>
          <w:left w:val="nil"/>
          <w:bottom w:val="nil"/>
          <w:right w:val="nil"/>
          <w:between w:val="nil"/>
        </w:pBdr>
        <w:spacing w:after="0" w:line="360" w:lineRule="auto"/>
        <w:ind w:right="284"/>
        <w:rPr>
          <w:color w:val="000000"/>
        </w:rPr>
      </w:pPr>
      <w:r>
        <w:rPr>
          <w:b/>
          <w:color w:val="000000"/>
        </w:rPr>
        <w:t>4. Placement Decisions</w:t>
      </w:r>
    </w:p>
    <w:p w14:paraId="7FAA88B5" w14:textId="77777777" w:rsidR="00472B98" w:rsidRDefault="00000000">
      <w:pPr>
        <w:pBdr>
          <w:top w:val="nil"/>
          <w:left w:val="nil"/>
          <w:bottom w:val="nil"/>
          <w:right w:val="nil"/>
          <w:between w:val="nil"/>
        </w:pBdr>
        <w:spacing w:after="0" w:line="360" w:lineRule="auto"/>
        <w:ind w:right="284"/>
        <w:rPr>
          <w:color w:val="000000"/>
        </w:rPr>
      </w:pPr>
      <w:r>
        <w:rPr>
          <w:color w:val="000000"/>
        </w:rPr>
        <w:t>MSE is committed to fulfilling all form</w:t>
      </w:r>
      <w:r>
        <w:t>all</w:t>
      </w:r>
      <w:r>
        <w:rPr>
          <w:color w:val="000000"/>
        </w:rPr>
        <w:t>y commissioned AP places. Pupils will be placed in centres which are equipped for their needs; unfortunately, MSE cannot guarantee a placement in the same catchment area as a pupil</w:t>
      </w:r>
      <w:r>
        <w:t>’s previous school</w:t>
      </w:r>
      <w:r>
        <w:rPr>
          <w:color w:val="000000"/>
        </w:rPr>
        <w:t xml:space="preserve">. During admission the Headteacher and SLT of MSE will place a pupil in a centre which is best suited to their individual </w:t>
      </w:r>
      <w:proofErr w:type="gramStart"/>
      <w:r>
        <w:rPr>
          <w:color w:val="000000"/>
        </w:rPr>
        <w:t>needs, unless</w:t>
      </w:r>
      <w:proofErr w:type="gramEnd"/>
      <w:r>
        <w:rPr>
          <w:color w:val="000000"/>
        </w:rPr>
        <w:t xml:space="preserve"> there is an extenuating circumstance (such as oversubscription or safeguarding) which deems the placement as unsuitable.</w:t>
      </w:r>
    </w:p>
    <w:p w14:paraId="4C4B9059" w14:textId="77777777" w:rsidR="00472B98" w:rsidRDefault="00472B98">
      <w:pPr>
        <w:pBdr>
          <w:top w:val="nil"/>
          <w:left w:val="nil"/>
          <w:bottom w:val="nil"/>
          <w:right w:val="nil"/>
          <w:between w:val="nil"/>
        </w:pBdr>
        <w:spacing w:after="0" w:line="360" w:lineRule="auto"/>
        <w:ind w:right="284"/>
        <w:rPr>
          <w:color w:val="000000"/>
        </w:rPr>
      </w:pPr>
    </w:p>
    <w:p w14:paraId="09ED8545" w14:textId="77777777" w:rsidR="00472B98" w:rsidRDefault="00000000">
      <w:pPr>
        <w:pBdr>
          <w:top w:val="nil"/>
          <w:left w:val="nil"/>
          <w:bottom w:val="nil"/>
          <w:right w:val="nil"/>
          <w:between w:val="nil"/>
        </w:pBdr>
        <w:spacing w:after="0" w:line="360" w:lineRule="auto"/>
        <w:ind w:right="284"/>
        <w:rPr>
          <w:color w:val="000000"/>
        </w:rPr>
      </w:pPr>
      <w:r>
        <w:rPr>
          <w:color w:val="000000"/>
        </w:rPr>
        <w:t>Where any centres are oversubscribed, MSE may admit a pupil in a different learning centre (further away), at the discretion of the Headteacher.</w:t>
      </w:r>
    </w:p>
    <w:p w14:paraId="781E60DC" w14:textId="77777777" w:rsidR="00472B98" w:rsidRDefault="00000000">
      <w:pPr>
        <w:pBdr>
          <w:top w:val="nil"/>
          <w:left w:val="nil"/>
          <w:bottom w:val="nil"/>
          <w:right w:val="nil"/>
          <w:between w:val="nil"/>
        </w:pBdr>
        <w:spacing w:after="0" w:line="360" w:lineRule="auto"/>
        <w:ind w:right="284"/>
      </w:pPr>
      <w:r>
        <w:t>If placement within a centre becomes untenable, due to significant issues, MSE will work with the pupil and their parents/carers to provide a reallocation to another centre.</w:t>
      </w:r>
    </w:p>
    <w:p w14:paraId="4076CBFC" w14:textId="77777777" w:rsidR="00472B98" w:rsidRDefault="00472B98">
      <w:pPr>
        <w:pBdr>
          <w:top w:val="nil"/>
          <w:left w:val="nil"/>
          <w:bottom w:val="nil"/>
          <w:right w:val="nil"/>
          <w:between w:val="nil"/>
        </w:pBdr>
        <w:spacing w:after="0" w:line="360" w:lineRule="auto"/>
        <w:ind w:right="284"/>
        <w:rPr>
          <w:color w:val="000000"/>
        </w:rPr>
      </w:pPr>
    </w:p>
    <w:p w14:paraId="287C6A53" w14:textId="77777777" w:rsidR="00472B98" w:rsidRDefault="00000000">
      <w:pPr>
        <w:pBdr>
          <w:top w:val="nil"/>
          <w:left w:val="nil"/>
          <w:bottom w:val="nil"/>
          <w:right w:val="nil"/>
          <w:between w:val="nil"/>
        </w:pBdr>
        <w:spacing w:after="0" w:line="360" w:lineRule="auto"/>
        <w:ind w:right="284"/>
        <w:rPr>
          <w:color w:val="000000"/>
        </w:rPr>
      </w:pPr>
      <w:r>
        <w:rPr>
          <w:color w:val="000000"/>
        </w:rPr>
        <w:t xml:space="preserve">Once specialist places are full, MSE will work with LA SEND teams to ensure they are aware of when places </w:t>
      </w:r>
      <w:r>
        <w:t>are likely to</w:t>
      </w:r>
      <w:r>
        <w:rPr>
          <w:color w:val="000000"/>
        </w:rPr>
        <w:t xml:space="preserve"> become available again.</w:t>
      </w:r>
    </w:p>
    <w:p w14:paraId="4807BB95" w14:textId="77777777" w:rsidR="00472B98" w:rsidRDefault="00472B98">
      <w:pPr>
        <w:pBdr>
          <w:top w:val="nil"/>
          <w:left w:val="nil"/>
          <w:bottom w:val="nil"/>
          <w:right w:val="nil"/>
          <w:between w:val="nil"/>
        </w:pBdr>
        <w:rPr>
          <w:color w:val="000000"/>
        </w:rPr>
      </w:pPr>
      <w:bookmarkStart w:id="3" w:name="_heading=h.tyjcwt" w:colFirst="0" w:colLast="0"/>
      <w:bookmarkEnd w:id="3"/>
    </w:p>
    <w:p w14:paraId="6BB41D44" w14:textId="77777777" w:rsidR="00472B98" w:rsidRDefault="00000000">
      <w:pPr>
        <w:pBdr>
          <w:top w:val="nil"/>
          <w:left w:val="nil"/>
          <w:bottom w:val="nil"/>
          <w:right w:val="nil"/>
          <w:between w:val="nil"/>
        </w:pBdr>
        <w:spacing w:after="0" w:line="360" w:lineRule="auto"/>
        <w:ind w:right="284"/>
        <w:rPr>
          <w:color w:val="000000"/>
        </w:rPr>
      </w:pPr>
      <w:r>
        <w:rPr>
          <w:b/>
          <w:color w:val="000000"/>
        </w:rPr>
        <w:t>5. Monitoring arrangements</w:t>
      </w:r>
    </w:p>
    <w:p w14:paraId="77D3A73F" w14:textId="77777777" w:rsidR="00472B98" w:rsidRDefault="00000000">
      <w:pPr>
        <w:pBdr>
          <w:top w:val="nil"/>
          <w:left w:val="nil"/>
          <w:bottom w:val="nil"/>
          <w:right w:val="nil"/>
          <w:between w:val="nil"/>
        </w:pBdr>
        <w:spacing w:after="0" w:line="360" w:lineRule="auto"/>
        <w:ind w:right="284"/>
        <w:rPr>
          <w:color w:val="000000"/>
        </w:rPr>
      </w:pPr>
      <w:r>
        <w:rPr>
          <w:color w:val="000000"/>
        </w:rPr>
        <w:t>This policy will be reviewed and approved by the Headteacher every year.</w:t>
      </w:r>
    </w:p>
    <w:p w14:paraId="0DC40B4F" w14:textId="77777777" w:rsidR="00472B98" w:rsidRDefault="00472B98">
      <w:pPr>
        <w:pBdr>
          <w:top w:val="nil"/>
          <w:left w:val="nil"/>
          <w:bottom w:val="nil"/>
          <w:right w:val="nil"/>
          <w:between w:val="nil"/>
        </w:pBdr>
        <w:spacing w:after="0" w:line="360" w:lineRule="auto"/>
        <w:ind w:right="284"/>
        <w:rPr>
          <w:color w:val="000000"/>
        </w:rPr>
      </w:pPr>
    </w:p>
    <w:p w14:paraId="34F28D12" w14:textId="77777777" w:rsidR="00472B98" w:rsidRDefault="00000000">
      <w:pPr>
        <w:pBdr>
          <w:top w:val="nil"/>
          <w:left w:val="nil"/>
          <w:bottom w:val="nil"/>
          <w:right w:val="nil"/>
          <w:between w:val="nil"/>
        </w:pBdr>
        <w:spacing w:after="0" w:line="360" w:lineRule="auto"/>
        <w:ind w:right="284"/>
        <w:rPr>
          <w:color w:val="000000"/>
        </w:rPr>
      </w:pPr>
      <w:bookmarkStart w:id="4" w:name="_heading=h.3dy6vkm" w:colFirst="0" w:colLast="0"/>
      <w:bookmarkEnd w:id="4"/>
      <w:r>
        <w:rPr>
          <w:color w:val="000000"/>
        </w:rPr>
        <w:t xml:space="preserve">Whenever changes to admission arrangements are proposed (except where the change is an increase to the agreed admission number), the governing board will publicly consult on these changes. If nothing changes, it will publicly consult on the school’s admission arrangements at least once every 7 years. </w:t>
      </w:r>
    </w:p>
    <w:sectPr w:rsidR="00472B98">
      <w:pgSz w:w="11900" w:h="16840"/>
      <w:pgMar w:top="992" w:right="1077" w:bottom="1701" w:left="1077" w:header="56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F894" w14:textId="77777777" w:rsidR="00872F68" w:rsidRDefault="00872F68">
      <w:pPr>
        <w:spacing w:after="0"/>
      </w:pPr>
      <w:r>
        <w:separator/>
      </w:r>
    </w:p>
  </w:endnote>
  <w:endnote w:type="continuationSeparator" w:id="0">
    <w:p w14:paraId="6B293211" w14:textId="77777777" w:rsidR="00872F68" w:rsidRDefault="00872F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9532" w14:textId="77777777" w:rsidR="00472B98" w:rsidRDefault="00000000">
    <w:pPr>
      <w:pBdr>
        <w:top w:val="nil"/>
        <w:left w:val="nil"/>
        <w:bottom w:val="nil"/>
        <w:right w:val="nil"/>
        <w:between w:val="nil"/>
      </w:pBdr>
      <w:shd w:val="clear" w:color="auto" w:fill="FFFFFF"/>
      <w:rPr>
        <w:color w:val="808080"/>
        <w:sz w:val="16"/>
        <w:szCs w:val="16"/>
      </w:rPr>
    </w:pPr>
    <w:r>
      <w:rPr>
        <w:color w:val="808080"/>
        <w:sz w:val="16"/>
        <w:szCs w:val="16"/>
      </w:rPr>
      <w:t xml:space="preserve">Page </w:t>
    </w:r>
    <w:r>
      <w:rPr>
        <w:b/>
        <w:color w:val="808080"/>
        <w:sz w:val="24"/>
        <w:szCs w:val="24"/>
      </w:rPr>
      <w:fldChar w:fldCharType="begin"/>
    </w:r>
    <w:r>
      <w:rPr>
        <w:b/>
        <w:color w:val="808080"/>
        <w:sz w:val="24"/>
        <w:szCs w:val="24"/>
      </w:rPr>
      <w:instrText>PAGE</w:instrText>
    </w:r>
    <w:r>
      <w:rPr>
        <w:b/>
        <w:color w:val="808080"/>
        <w:sz w:val="24"/>
        <w:szCs w:val="24"/>
      </w:rPr>
      <w:fldChar w:fldCharType="separate"/>
    </w:r>
    <w:r w:rsidR="00236445">
      <w:rPr>
        <w:b/>
        <w:noProof/>
        <w:color w:val="808080"/>
        <w:sz w:val="24"/>
        <w:szCs w:val="24"/>
      </w:rPr>
      <w:t>2</w:t>
    </w:r>
    <w:r>
      <w:rPr>
        <w:b/>
        <w:color w:val="808080"/>
        <w:sz w:val="24"/>
        <w:szCs w:val="24"/>
      </w:rPr>
      <w:fldChar w:fldCharType="end"/>
    </w:r>
    <w:r>
      <w:rPr>
        <w:color w:val="808080"/>
        <w:sz w:val="16"/>
        <w:szCs w:val="16"/>
      </w:rPr>
      <w:t xml:space="preserve"> of </w:t>
    </w:r>
    <w:r>
      <w:rPr>
        <w:b/>
        <w:color w:val="808080"/>
        <w:sz w:val="24"/>
        <w:szCs w:val="24"/>
      </w:rPr>
      <w:fldChar w:fldCharType="begin"/>
    </w:r>
    <w:r>
      <w:rPr>
        <w:b/>
        <w:color w:val="808080"/>
        <w:sz w:val="24"/>
        <w:szCs w:val="24"/>
      </w:rPr>
      <w:instrText>NUMPAGES</w:instrText>
    </w:r>
    <w:r>
      <w:rPr>
        <w:b/>
        <w:color w:val="808080"/>
        <w:sz w:val="24"/>
        <w:szCs w:val="24"/>
      </w:rPr>
      <w:fldChar w:fldCharType="separate"/>
    </w:r>
    <w:r w:rsidR="00236445">
      <w:rPr>
        <w:b/>
        <w:noProof/>
        <w:color w:val="808080"/>
        <w:sz w:val="24"/>
        <w:szCs w:val="24"/>
      </w:rPr>
      <w:t>3</w:t>
    </w:r>
    <w:r>
      <w:rPr>
        <w:b/>
        <w:color w:val="808080"/>
        <w:sz w:val="24"/>
        <w:szCs w:val="24"/>
      </w:rPr>
      <w:fldChar w:fldCharType="end"/>
    </w:r>
  </w:p>
  <w:p w14:paraId="0FEB6620" w14:textId="77777777" w:rsidR="00472B98" w:rsidRDefault="00472B98">
    <w:pPr>
      <w:pBdr>
        <w:top w:val="nil"/>
        <w:left w:val="nil"/>
        <w:bottom w:val="nil"/>
        <w:right w:val="nil"/>
        <w:between w:val="nil"/>
      </w:pBdr>
      <w:shd w:val="clear" w:color="auto" w:fill="FFFFFF"/>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70428" w14:textId="77777777" w:rsidR="00872F68" w:rsidRDefault="00872F68">
      <w:pPr>
        <w:spacing w:after="0"/>
      </w:pPr>
      <w:r>
        <w:separator/>
      </w:r>
    </w:p>
  </w:footnote>
  <w:footnote w:type="continuationSeparator" w:id="0">
    <w:p w14:paraId="508DC334" w14:textId="77777777" w:rsidR="00872F68" w:rsidRDefault="00872F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DDE7" w14:textId="77777777" w:rsidR="00472B98" w:rsidRDefault="00000000">
    <w:r>
      <w:rPr>
        <w:noProof/>
      </w:rPr>
      <w:drawing>
        <wp:anchor distT="0" distB="0" distL="0" distR="0" simplePos="0" relativeHeight="251657216" behindDoc="1" locked="0" layoutInCell="1" hidden="0" allowOverlap="1" wp14:anchorId="0D3A826C" wp14:editId="18AA30DE">
          <wp:simplePos x="0" y="0"/>
          <wp:positionH relativeFrom="leftMargin">
            <wp:align>center</wp:align>
          </wp:positionH>
          <wp:positionV relativeFrom="topMargin">
            <wp:align>center</wp:align>
          </wp:positionV>
          <wp:extent cx="7558405" cy="106959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pict w14:anchorId="54218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BE2F" w14:textId="77777777" w:rsidR="00472B98" w:rsidRDefault="00472B98"/>
  <w:p w14:paraId="3CF9E61E" w14:textId="77777777" w:rsidR="00472B98" w:rsidRDefault="00472B98"/>
  <w:p w14:paraId="59FDECF5" w14:textId="77777777" w:rsidR="00472B98" w:rsidRDefault="00472B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0F36" w14:textId="77777777" w:rsidR="00472B98" w:rsidRDefault="00472B98"/>
  <w:p w14:paraId="25036D86" w14:textId="77777777" w:rsidR="00472B98" w:rsidRDefault="00472B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E16"/>
    <w:multiLevelType w:val="multilevel"/>
    <w:tmpl w:val="408A75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AA12385"/>
    <w:multiLevelType w:val="multilevel"/>
    <w:tmpl w:val="C5BAE2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A033C6C"/>
    <w:multiLevelType w:val="multilevel"/>
    <w:tmpl w:val="5B2AD7D6"/>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num w:numId="1" w16cid:durableId="761678890">
    <w:abstractNumId w:val="0"/>
  </w:num>
  <w:num w:numId="2" w16cid:durableId="1107118043">
    <w:abstractNumId w:val="2"/>
  </w:num>
  <w:num w:numId="3" w16cid:durableId="5547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B98"/>
    <w:rsid w:val="00236445"/>
    <w:rsid w:val="00472B98"/>
    <w:rsid w:val="00872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041B3"/>
  <w15:docId w15:val="{33357044-063A-4E64-BBD8-05E946EB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20"/>
      <w:outlineLvl w:val="0"/>
    </w:pPr>
    <w:rPr>
      <w:b/>
      <w:color w:val="FF1F64"/>
      <w:sz w:val="28"/>
      <w:szCs w:val="2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legislation.gov.uk/ukpga/2014/6/section/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COWD7EPAo/aFCypDoFvhfO4Fg==">CgMxLjAyCGguZ2pkZ3hzMgloLjMwajB6bGwyCWguMmV0OTJwMDIIaC50eWpjd3QyCWguM2R5NnZrbTgAciExR0ZVV3RZYmRUMzNpUVVSVmxvVlB5Z1ZPaUE4elRxTzQ=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Music Stuff</dc:creator>
  <cp:lastModifiedBy>Music Stuff</cp:lastModifiedBy>
  <cp:revision>2</cp:revision>
  <dcterms:created xsi:type="dcterms:W3CDTF">2024-01-18T19:12:00Z</dcterms:created>
  <dcterms:modified xsi:type="dcterms:W3CDTF">2024-01-18T19:12:00Z</dcterms:modified>
</cp:coreProperties>
</file>