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B91CC0">
        <w:trPr>
          <w:trHeight w:val="227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7F33AE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4E2F43">
        <w:rPr>
          <w:rFonts w:ascii="Century Gothic" w:hAnsi="Century Gothic"/>
          <w:b/>
          <w:u w:val="single"/>
        </w:rPr>
        <w:t>YEAR 8</w:t>
      </w:r>
    </w:p>
    <w:tbl>
      <w:tblPr>
        <w:tblStyle w:val="TableGrid"/>
        <w:tblW w:w="15787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290"/>
        <w:gridCol w:w="4981"/>
        <w:gridCol w:w="4692"/>
        <w:gridCol w:w="4824"/>
      </w:tblGrid>
      <w:tr w:rsidR="00AF36EF" w:rsidRPr="006E00DB" w:rsidTr="00B412DF">
        <w:trPr>
          <w:trHeight w:val="306"/>
        </w:trPr>
        <w:tc>
          <w:tcPr>
            <w:tcW w:w="1290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F36EF" w:rsidRPr="00525A5E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4E2F43">
              <w:rPr>
                <w:rFonts w:ascii="Century Gothic" w:hAnsi="Century Gothic"/>
                <w:b/>
                <w:sz w:val="26"/>
                <w:szCs w:val="24"/>
              </w:rPr>
              <w:t xml:space="preserve"> 8</w:t>
            </w:r>
          </w:p>
        </w:tc>
        <w:tc>
          <w:tcPr>
            <w:tcW w:w="498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4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AF36EF" w:rsidRPr="006E00DB" w:rsidRDefault="00AF36EF" w:rsidP="00B91CC0">
            <w:pPr>
              <w:spacing w:after="0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</w:tr>
      <w:tr w:rsidR="00AF36EF" w:rsidRPr="006E00DB" w:rsidTr="00B412DF">
        <w:trPr>
          <w:cantSplit/>
          <w:trHeight w:val="469"/>
        </w:trPr>
        <w:tc>
          <w:tcPr>
            <w:tcW w:w="1290" w:type="dxa"/>
            <w:tcBorders>
              <w:left w:val="single" w:sz="18" w:space="0" w:color="44546A" w:themeColor="text2"/>
            </w:tcBorders>
            <w:shd w:val="clear" w:color="auto" w:fill="FFFFFF" w:themeFill="background1"/>
            <w:vAlign w:val="center"/>
          </w:tcPr>
          <w:p w:rsidR="00AF36EF" w:rsidRPr="007A3E02" w:rsidRDefault="00AF36EF" w:rsidP="001D699E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4981" w:type="dxa"/>
            <w:tcBorders>
              <w:left w:val="single" w:sz="18" w:space="0" w:color="44546A" w:themeColor="text2"/>
            </w:tcBorders>
            <w:shd w:val="clear" w:color="auto" w:fill="auto"/>
          </w:tcPr>
          <w:p w:rsidR="00AF36EF" w:rsidRPr="00AF36EF" w:rsidRDefault="00AF36EF" w:rsidP="006F4A6C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1 </w:t>
            </w:r>
            <w:r w:rsidR="00B412DF" w:rsidRPr="00B412DF">
              <w:rPr>
                <w:rFonts w:ascii="Century Gothic" w:hAnsi="Century Gothic"/>
                <w:b/>
                <w:sz w:val="20"/>
                <w:szCs w:val="16"/>
                <w:u w:val="single"/>
              </w:rPr>
              <w:t>Number properties and calculations</w:t>
            </w:r>
          </w:p>
          <w:p w:rsidR="00AF36EF" w:rsidRPr="00AF36EF" w:rsidRDefault="00AF36EF" w:rsidP="005F7F93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2: </w:t>
            </w:r>
            <w:r w:rsidR="00B412DF" w:rsidRPr="00B412DF">
              <w:rPr>
                <w:rFonts w:ascii="Century Gothic" w:hAnsi="Century Gothic"/>
                <w:b/>
                <w:sz w:val="20"/>
                <w:szCs w:val="16"/>
                <w:u w:val="single"/>
              </w:rPr>
              <w:t>Shapes and measures in 3D</w:t>
            </w:r>
          </w:p>
        </w:tc>
        <w:tc>
          <w:tcPr>
            <w:tcW w:w="4692" w:type="dxa"/>
            <w:shd w:val="clear" w:color="auto" w:fill="FFFFFF" w:themeFill="background1"/>
          </w:tcPr>
          <w:p w:rsidR="00AF36EF" w:rsidRPr="00AF36EF" w:rsidRDefault="00AF36EF" w:rsidP="006F4A6C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3: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Statistics</w:t>
            </w:r>
          </w:p>
          <w:p w:rsidR="00AF36EF" w:rsidRPr="00AF36EF" w:rsidRDefault="00AF36EF" w:rsidP="00D100DE">
            <w:pPr>
              <w:pStyle w:val="NoSpacing"/>
              <w:rPr>
                <w:rFonts w:ascii="Century Gothic" w:hAnsi="Century Gothic"/>
                <w:sz w:val="20"/>
                <w:szCs w:val="16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4: </w:t>
            </w:r>
            <w:r w:rsidR="0026530D" w:rsidRP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Expressions and equations</w:t>
            </w:r>
          </w:p>
        </w:tc>
        <w:tc>
          <w:tcPr>
            <w:tcW w:w="4824" w:type="dxa"/>
            <w:shd w:val="clear" w:color="auto" w:fill="auto"/>
          </w:tcPr>
          <w:p w:rsidR="00AF36EF" w:rsidRPr="00AF36EF" w:rsidRDefault="00AF36EF" w:rsidP="00B91CC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5: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Decimal Calulations</w:t>
            </w:r>
          </w:p>
          <w:p w:rsidR="00AF36EF" w:rsidRPr="00AF36EF" w:rsidRDefault="00AF36EF" w:rsidP="0026530D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6: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Angles</w:t>
            </w:r>
          </w:p>
        </w:tc>
      </w:tr>
      <w:tr w:rsidR="00AF36EF" w:rsidRPr="006E00DB" w:rsidTr="00B412DF">
        <w:trPr>
          <w:cantSplit/>
          <w:trHeight w:val="7846"/>
        </w:trPr>
        <w:tc>
          <w:tcPr>
            <w:tcW w:w="1290" w:type="dxa"/>
            <w:tcBorders>
              <w:left w:val="single" w:sz="18" w:space="0" w:color="44546A" w:themeColor="text2"/>
            </w:tcBorders>
            <w:textDirection w:val="btLr"/>
          </w:tcPr>
          <w:p w:rsidR="00AF36EF" w:rsidRPr="00FB6265" w:rsidRDefault="00AF36EF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4981" w:type="dxa"/>
            <w:tcBorders>
              <w:left w:val="single" w:sz="18" w:space="0" w:color="44546A" w:themeColor="text2"/>
            </w:tcBorders>
          </w:tcPr>
          <w:p w:rsidR="00B412DF" w:rsidRDefault="00B412DF" w:rsidP="00B412DF">
            <w:pPr>
              <w:pStyle w:val="ListParagraph"/>
              <w:ind w:left="360"/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/>
                <w:b/>
                <w:sz w:val="20"/>
                <w:szCs w:val="16"/>
                <w:u w:val="single"/>
              </w:rPr>
              <w:t>Number properties and calculations</w:t>
            </w:r>
            <w:r w:rsidRPr="00AF36EF">
              <w:rPr>
                <w:rFonts w:ascii="Century Gothic" w:hAnsi="Century Gothic" w:cstheme="majorHAnsi"/>
                <w:sz w:val="20"/>
                <w:szCs w:val="16"/>
              </w:rPr>
              <w:t xml:space="preserve"> </w:t>
            </w:r>
          </w:p>
          <w:p w:rsid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Add and subtract larger numbers.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Multiply larger numbers.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Use brackets.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Add and subtract with negative numbers.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Multiply and divide negative numbers.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Work with ratios.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Find equivalent ratios.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Solve simple word problems involving ratio.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Understand the relationship between ratio and proportion.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 w:cstheme="majorHAnsi"/>
                <w:sz w:val="20"/>
                <w:szCs w:val="16"/>
              </w:rPr>
              <w:t>Use proportion to solve simple problems.</w:t>
            </w:r>
          </w:p>
          <w:p w:rsidR="00B412DF" w:rsidRDefault="00B412DF" w:rsidP="00B412DF">
            <w:pPr>
              <w:pStyle w:val="ListParagraph"/>
              <w:spacing w:after="0"/>
              <w:ind w:left="360"/>
              <w:rPr>
                <w:rFonts w:ascii="Century Gothic" w:hAnsi="Century Gothic" w:cstheme="majorHAnsi"/>
                <w:sz w:val="20"/>
                <w:szCs w:val="16"/>
              </w:rPr>
            </w:pPr>
            <w:r w:rsidRPr="00B412DF">
              <w:rPr>
                <w:rFonts w:ascii="Century Gothic" w:hAnsi="Century Gothic"/>
                <w:b/>
                <w:sz w:val="20"/>
                <w:szCs w:val="16"/>
                <w:u w:val="single"/>
              </w:rPr>
              <w:t>Shapes and measures in 3D</w:t>
            </w:r>
            <w:r w:rsidRPr="00AF36EF">
              <w:rPr>
                <w:rFonts w:ascii="Century Gothic" w:hAnsi="Century Gothic" w:cstheme="majorHAnsi"/>
                <w:sz w:val="20"/>
                <w:szCs w:val="16"/>
              </w:rPr>
              <w:t xml:space="preserve"> 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Recognise and name 3D shapes.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Count faces edges and vertices.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Deduce properties of 3D shapes from 2D representations.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Identify nets of 3D solids including cubes and cuboids.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Draw nets of 3D solids using a ruler and protractor.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Calculate the surface area of cubes and cuboids.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Find the volume of a cube or cuboid by counting cubes.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Know the formula for calculating the volume of a cube or cuboid.</w:t>
            </w:r>
          </w:p>
          <w:p w:rsidR="00B412DF" w:rsidRPr="00B412DF" w:rsidRDefault="00B412DF" w:rsidP="00B412D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Solve problems involving units of length, area and capacity.</w:t>
            </w:r>
          </w:p>
          <w:p w:rsidR="00B412DF" w:rsidRPr="00B412DF" w:rsidRDefault="00B412DF" w:rsidP="006F4A6C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B412DF">
              <w:rPr>
                <w:rFonts w:ascii="Century Gothic" w:hAnsi="Century Gothic"/>
                <w:sz w:val="20"/>
                <w:szCs w:val="16"/>
              </w:rPr>
              <w:t>Convert between cm3 and litres.</w:t>
            </w:r>
          </w:p>
          <w:p w:rsidR="007A3E02" w:rsidRPr="007A3E02" w:rsidRDefault="00AF36EF" w:rsidP="006F4A6C">
            <w:pPr>
              <w:pStyle w:val="ListParagraph"/>
              <w:spacing w:after="0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Test 1 and 2</w:t>
            </w:r>
          </w:p>
        </w:tc>
        <w:tc>
          <w:tcPr>
            <w:tcW w:w="4692" w:type="dxa"/>
          </w:tcPr>
          <w:p w:rsidR="0026530D" w:rsidRDefault="004F1BF5" w:rsidP="0026530D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Statistics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Design a data collection sheet.</w:t>
            </w:r>
          </w:p>
          <w:p w:rsidR="00AF36EF" w:rsidRDefault="0026530D" w:rsidP="0026530D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Group data into equal class intervals.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Interpret complex bar charts.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Draw bar charts for more than one set of data.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4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Interpret pie charts.</w:t>
            </w:r>
          </w:p>
          <w:p w:rsidR="0026530D" w:rsidRDefault="0026530D" w:rsidP="0026530D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  <w:p w:rsidR="0026530D" w:rsidRDefault="0026530D" w:rsidP="0026530D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Expressions and equations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Simplify expressions by collecting like terms.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Find outputs and inputs of function machines.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Construct functions.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Solve simple equations and check the solution is correct.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Understand the difference between an expression and an equation, and identify the unknown in an equation.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brackets with numbers and letters.</w:t>
            </w:r>
          </w:p>
          <w:p w:rsidR="0026530D" w:rsidRPr="0026530D" w:rsidRDefault="0026530D" w:rsidP="0026530D">
            <w:pPr>
              <w:pStyle w:val="ListParagraph"/>
              <w:spacing w:after="0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824" w:type="dxa"/>
            <w:shd w:val="clear" w:color="auto" w:fill="auto"/>
          </w:tcPr>
          <w:p w:rsidR="00AF36EF" w:rsidRDefault="0026530D" w:rsidP="0026530D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Decimal Calulations</w:t>
            </w:r>
          </w:p>
          <w:p w:rsidR="0026530D" w:rsidRDefault="0026530D" w:rsidP="0026530D">
            <w:pPr>
              <w:pStyle w:val="NoSpacing"/>
              <w:numPr>
                <w:ilvl w:val="0"/>
                <w:numId w:val="36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Add and subtract decimal numbers.</w:t>
            </w:r>
          </w:p>
          <w:p w:rsidR="0026530D" w:rsidRDefault="0026530D" w:rsidP="0026530D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Multiply decimals.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Round decimals.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Order decimals.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Solve problems involving decimals.</w:t>
            </w:r>
          </w:p>
          <w:p w:rsidR="0026530D" w:rsidRDefault="0026530D" w:rsidP="0026530D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Angles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a protractor to measure and draw obtuse and reflex angles.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Estimate the size of reflex angles.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vertically opposite angles.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Work out the size of unknown angles in a triangle.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Accurately draw triangles using a ruler and protractor.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Accurately draw a net of a 3D shape.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7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Investigate the sides of a right-angled triangle.</w:t>
            </w:r>
          </w:p>
          <w:p w:rsidR="0026530D" w:rsidRPr="0026530D" w:rsidRDefault="0026530D" w:rsidP="0026530D">
            <w:pPr>
              <w:pStyle w:val="NoSpacing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</w:tc>
      </w:tr>
    </w:tbl>
    <w:p w:rsidR="00B91CC0" w:rsidRDefault="00B91CC0">
      <w:pPr>
        <w:rPr>
          <w:rFonts w:ascii="Century Gothic" w:hAnsi="Century Gothic"/>
        </w:rPr>
      </w:pPr>
    </w:p>
    <w:tbl>
      <w:tblPr>
        <w:tblStyle w:val="TableGrid"/>
        <w:tblW w:w="15807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277"/>
        <w:gridCol w:w="4990"/>
        <w:gridCol w:w="4699"/>
        <w:gridCol w:w="4841"/>
      </w:tblGrid>
      <w:tr w:rsidR="00B412DF" w:rsidRPr="006E00DB" w:rsidTr="00BD33E0"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12DF" w:rsidRPr="006E00DB" w:rsidRDefault="001F34B7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Year 8</w:t>
            </w:r>
          </w:p>
        </w:tc>
        <w:tc>
          <w:tcPr>
            <w:tcW w:w="4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4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4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B412DF" w:rsidRPr="006E00DB" w:rsidRDefault="00B412DF" w:rsidP="00BD33E0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B412DF" w:rsidRPr="00AF36EF" w:rsidTr="00BD33E0">
        <w:trPr>
          <w:cantSplit/>
          <w:trHeight w:val="609"/>
        </w:trPr>
        <w:tc>
          <w:tcPr>
            <w:tcW w:w="1277" w:type="dxa"/>
          </w:tcPr>
          <w:p w:rsidR="00B412DF" w:rsidRPr="00D100DE" w:rsidRDefault="00B412DF" w:rsidP="00BD33E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4990" w:type="dxa"/>
            <w:shd w:val="clear" w:color="auto" w:fill="auto"/>
          </w:tcPr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7: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Number Properties</w:t>
            </w:r>
          </w:p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Consolidation</w:t>
            </w:r>
          </w:p>
        </w:tc>
        <w:tc>
          <w:tcPr>
            <w:tcW w:w="4699" w:type="dxa"/>
            <w:shd w:val="clear" w:color="auto" w:fill="auto"/>
          </w:tcPr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 xml:space="preserve">Unit 8: </w:t>
            </w:r>
            <w:r w:rsid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Sequences</w:t>
            </w:r>
          </w:p>
          <w:p w:rsidR="00B412DF" w:rsidRPr="00AF36EF" w:rsidRDefault="00B412DF" w:rsidP="00BD33E0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9: Fractions, decimals and percentages</w:t>
            </w:r>
          </w:p>
        </w:tc>
        <w:tc>
          <w:tcPr>
            <w:tcW w:w="4841" w:type="dxa"/>
            <w:shd w:val="clear" w:color="auto" w:fill="auto"/>
          </w:tcPr>
          <w:p w:rsidR="00B412DF" w:rsidRPr="00AF36EF" w:rsidRDefault="0026530D" w:rsidP="0026530D">
            <w:pPr>
              <w:pStyle w:val="NoSpacing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Unit 10: Probability</w:t>
            </w:r>
          </w:p>
        </w:tc>
      </w:tr>
      <w:tr w:rsidR="00B412DF" w:rsidRPr="00C05AE0" w:rsidTr="00BD33E0">
        <w:trPr>
          <w:cantSplit/>
          <w:trHeight w:val="8233"/>
        </w:trPr>
        <w:tc>
          <w:tcPr>
            <w:tcW w:w="1277" w:type="dxa"/>
            <w:textDirection w:val="btLr"/>
            <w:vAlign w:val="center"/>
          </w:tcPr>
          <w:p w:rsidR="00B412DF" w:rsidRPr="004D3CE0" w:rsidRDefault="00B412DF" w:rsidP="00BD33E0">
            <w:pPr>
              <w:pStyle w:val="NoSpacing"/>
              <w:ind w:left="360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4990" w:type="dxa"/>
          </w:tcPr>
          <w:p w:rsidR="00B412DF" w:rsidRDefault="004F1BF5" w:rsidP="0026530D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Number Properties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Calculate squares and square roots, mentally and using a calculator.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Calculate cubes and cube roots, mentally and using a calculator.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Do calculations involving brackets and square numbers.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the brackets keys on a calculator.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index notation.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Find the factor pairs of any whole number.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the lowest common multiple (LCM) and highest common factor (HCF) to solve problems.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Find the factor pairs of any whole number.</w:t>
            </w:r>
          </w:p>
          <w:p w:rsidR="0026530D" w:rsidRPr="0026530D" w:rsidRDefault="0026530D" w:rsidP="0026530D">
            <w:pPr>
              <w:pStyle w:val="NoSpacing"/>
              <w:numPr>
                <w:ilvl w:val="0"/>
                <w:numId w:val="38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the lowest common multiple (LCM) and highest common factor (HCF) to solve problems.</w:t>
            </w:r>
          </w:p>
          <w:p w:rsidR="0026530D" w:rsidRPr="0026530D" w:rsidRDefault="0026530D" w:rsidP="0026530D">
            <w:pPr>
              <w:pStyle w:val="NoSpacing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699" w:type="dxa"/>
          </w:tcPr>
          <w:p w:rsidR="00B412DF" w:rsidRDefault="0026530D" w:rsidP="0026530D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16"/>
                <w:u w:val="single"/>
              </w:rPr>
              <w:t>Sequences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Recognise, describe and continue number sequences.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Find and use pattern and term-to-term rules.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the term-to-term rule to work out terms in a sequence.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Recognise an arithmetic sequence.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Describe sequences arising in real life.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Describe and continue special sequences.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Recognise a geometric sequence.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Generate terms of a sequence using the position-to-term rule.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 xml:space="preserve">Find the </w:t>
            </w:r>
            <w:r w:rsidRPr="0026530D">
              <w:rPr>
                <w:rFonts w:ascii="Cambria Math" w:hAnsi="Cambria Math" w:cs="Cambria Math"/>
                <w:sz w:val="20"/>
                <w:szCs w:val="16"/>
              </w:rPr>
              <w:t>𝑛</w:t>
            </w:r>
            <w:r w:rsidRPr="0026530D">
              <w:rPr>
                <w:rFonts w:ascii="Tahoma" w:hAnsi="Tahoma" w:cs="Tahoma"/>
                <w:sz w:val="20"/>
                <w:szCs w:val="16"/>
              </w:rPr>
              <w:t>�</w:t>
            </w:r>
            <w:r w:rsidRPr="0026530D">
              <w:rPr>
                <w:rFonts w:ascii="Century Gothic" w:hAnsi="Century Gothic"/>
                <w:sz w:val="20"/>
                <w:szCs w:val="16"/>
              </w:rPr>
              <w:t>th term of a simple sequence.</w:t>
            </w:r>
          </w:p>
          <w:p w:rsidR="0026530D" w:rsidRDefault="0026530D" w:rsidP="0026530D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AF36EF">
              <w:rPr>
                <w:rFonts w:ascii="Century Gothic" w:hAnsi="Century Gothic"/>
                <w:b/>
                <w:sz w:val="20"/>
                <w:szCs w:val="16"/>
                <w:u w:val="single"/>
              </w:rPr>
              <w:t>Fractions, decimals and percentages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Compare fractions.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Simplify fractions.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Identify equivalent fractions.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Calculate with fractions mentally.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Calculate fractions of quantities.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Multiply a fraction by a whole number.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Add and subtract fractions.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Write a number as a fraction of another number.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Change between fractions and percentages.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Calculate percentages.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Compare proportions using percentages.</w:t>
            </w:r>
          </w:p>
          <w:p w:rsid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Write one number as a percentage of another number.</w:t>
            </w:r>
          </w:p>
          <w:p w:rsidR="00973E0F" w:rsidRPr="0026530D" w:rsidRDefault="00973E0F" w:rsidP="00973E0F">
            <w:pPr>
              <w:pStyle w:val="ListParagraph"/>
              <w:ind w:left="360"/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841" w:type="dxa"/>
          </w:tcPr>
          <w:p w:rsidR="00B412DF" w:rsidRDefault="0026530D" w:rsidP="0026530D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  <w:r w:rsidRPr="0026530D">
              <w:rPr>
                <w:rFonts w:ascii="Century Gothic" w:hAnsi="Century Gothic"/>
                <w:b/>
                <w:sz w:val="20"/>
                <w:szCs w:val="16"/>
                <w:u w:val="single"/>
              </w:rPr>
              <w:t>Probability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the language of probability.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a probability scale with words and numbers.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Write probabilities as fractions, decimals and percentages.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Find all the possible outcomes of an event.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equally likely outcomes to calculate probabilities.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Learn and use probability notation.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Calculate the probability of an event not happening.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Find all the possible outcomes of two simple events.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Use data from an experiment to estimate probabilities.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Collect data from an experiment, and make calculations based on results.</w:t>
            </w:r>
          </w:p>
          <w:p w:rsidR="0026530D" w:rsidRPr="0026530D" w:rsidRDefault="0026530D" w:rsidP="0026530D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  <w:sz w:val="20"/>
                <w:szCs w:val="16"/>
              </w:rPr>
            </w:pPr>
            <w:r w:rsidRPr="0026530D">
              <w:rPr>
                <w:rFonts w:ascii="Century Gothic" w:hAnsi="Century Gothic"/>
                <w:sz w:val="20"/>
                <w:szCs w:val="16"/>
              </w:rPr>
              <w:t>Compare and interpret probabilities.</w:t>
            </w:r>
          </w:p>
          <w:p w:rsidR="0026530D" w:rsidRPr="0026530D" w:rsidRDefault="0026530D" w:rsidP="0026530D">
            <w:pPr>
              <w:pStyle w:val="ListParagraph"/>
              <w:ind w:left="360"/>
              <w:rPr>
                <w:rFonts w:ascii="Century Gothic" w:hAnsi="Century Gothic"/>
                <w:b/>
                <w:sz w:val="20"/>
                <w:szCs w:val="16"/>
                <w:u w:val="single"/>
              </w:rPr>
            </w:pPr>
          </w:p>
        </w:tc>
      </w:tr>
    </w:tbl>
    <w:p w:rsidR="00B412DF" w:rsidRPr="006E00DB" w:rsidRDefault="00B412DF">
      <w:pPr>
        <w:rPr>
          <w:rFonts w:ascii="Century Gothic" w:hAnsi="Century Gothic"/>
        </w:rPr>
      </w:pPr>
    </w:p>
    <w:sectPr w:rsidR="00B412DF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DF3"/>
    <w:multiLevelType w:val="hybridMultilevel"/>
    <w:tmpl w:val="82A09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6F6F"/>
    <w:multiLevelType w:val="hybridMultilevel"/>
    <w:tmpl w:val="80B41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2183E"/>
    <w:multiLevelType w:val="hybridMultilevel"/>
    <w:tmpl w:val="5FDA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496D"/>
    <w:multiLevelType w:val="hybridMultilevel"/>
    <w:tmpl w:val="78085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A7B27"/>
    <w:multiLevelType w:val="hybridMultilevel"/>
    <w:tmpl w:val="A7785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C3EA3"/>
    <w:multiLevelType w:val="hybridMultilevel"/>
    <w:tmpl w:val="46A8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91F40"/>
    <w:multiLevelType w:val="hybridMultilevel"/>
    <w:tmpl w:val="00A2A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94AA6"/>
    <w:multiLevelType w:val="hybridMultilevel"/>
    <w:tmpl w:val="1BD4D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82141"/>
    <w:multiLevelType w:val="hybridMultilevel"/>
    <w:tmpl w:val="FFF63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20CC"/>
    <w:multiLevelType w:val="hybridMultilevel"/>
    <w:tmpl w:val="C152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90EBD"/>
    <w:multiLevelType w:val="multilevel"/>
    <w:tmpl w:val="30A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C7FBE"/>
    <w:multiLevelType w:val="hybridMultilevel"/>
    <w:tmpl w:val="30E62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A1469E"/>
    <w:multiLevelType w:val="hybridMultilevel"/>
    <w:tmpl w:val="A2E8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905480"/>
    <w:multiLevelType w:val="hybridMultilevel"/>
    <w:tmpl w:val="325A2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24E94"/>
    <w:multiLevelType w:val="hybridMultilevel"/>
    <w:tmpl w:val="2D40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D238F"/>
    <w:multiLevelType w:val="hybridMultilevel"/>
    <w:tmpl w:val="8AC05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D3A84"/>
    <w:multiLevelType w:val="hybridMultilevel"/>
    <w:tmpl w:val="1638A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C06AAA"/>
    <w:multiLevelType w:val="hybridMultilevel"/>
    <w:tmpl w:val="B3D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F7D91"/>
    <w:multiLevelType w:val="hybridMultilevel"/>
    <w:tmpl w:val="82440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42010"/>
    <w:multiLevelType w:val="hybridMultilevel"/>
    <w:tmpl w:val="F6420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BC056B"/>
    <w:multiLevelType w:val="multilevel"/>
    <w:tmpl w:val="39B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1F5E8C"/>
    <w:multiLevelType w:val="hybridMultilevel"/>
    <w:tmpl w:val="CA5E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0009B"/>
    <w:multiLevelType w:val="hybridMultilevel"/>
    <w:tmpl w:val="AFE2F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BC038A"/>
    <w:multiLevelType w:val="hybridMultilevel"/>
    <w:tmpl w:val="E676C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1E6791"/>
    <w:multiLevelType w:val="multilevel"/>
    <w:tmpl w:val="DCE4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0C0803"/>
    <w:multiLevelType w:val="multilevel"/>
    <w:tmpl w:val="F742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35E07"/>
    <w:multiLevelType w:val="hybridMultilevel"/>
    <w:tmpl w:val="E2768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A5CDD"/>
    <w:multiLevelType w:val="hybridMultilevel"/>
    <w:tmpl w:val="B0068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AF14C2"/>
    <w:multiLevelType w:val="hybridMultilevel"/>
    <w:tmpl w:val="198EC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F73EDD"/>
    <w:multiLevelType w:val="hybridMultilevel"/>
    <w:tmpl w:val="15FCC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FC03E0"/>
    <w:multiLevelType w:val="hybridMultilevel"/>
    <w:tmpl w:val="D4B2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7A3120"/>
    <w:multiLevelType w:val="hybridMultilevel"/>
    <w:tmpl w:val="C5282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47653F"/>
    <w:multiLevelType w:val="multilevel"/>
    <w:tmpl w:val="F05A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E6905"/>
    <w:multiLevelType w:val="hybridMultilevel"/>
    <w:tmpl w:val="68D2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541B2"/>
    <w:multiLevelType w:val="hybridMultilevel"/>
    <w:tmpl w:val="F97A7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01147D"/>
    <w:multiLevelType w:val="hybridMultilevel"/>
    <w:tmpl w:val="46C2D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F253DC"/>
    <w:multiLevelType w:val="hybridMultilevel"/>
    <w:tmpl w:val="ECB8F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14"/>
  </w:num>
  <w:num w:numId="5">
    <w:abstractNumId w:val="28"/>
  </w:num>
  <w:num w:numId="6">
    <w:abstractNumId w:val="35"/>
  </w:num>
  <w:num w:numId="7">
    <w:abstractNumId w:val="13"/>
  </w:num>
  <w:num w:numId="8">
    <w:abstractNumId w:val="6"/>
  </w:num>
  <w:num w:numId="9">
    <w:abstractNumId w:val="7"/>
  </w:num>
  <w:num w:numId="10">
    <w:abstractNumId w:val="1"/>
  </w:num>
  <w:num w:numId="11">
    <w:abstractNumId w:val="15"/>
  </w:num>
  <w:num w:numId="12">
    <w:abstractNumId w:val="8"/>
  </w:num>
  <w:num w:numId="13">
    <w:abstractNumId w:val="18"/>
  </w:num>
  <w:num w:numId="14">
    <w:abstractNumId w:val="25"/>
  </w:num>
  <w:num w:numId="15">
    <w:abstractNumId w:val="30"/>
  </w:num>
  <w:num w:numId="16">
    <w:abstractNumId w:val="24"/>
  </w:num>
  <w:num w:numId="17">
    <w:abstractNumId w:val="37"/>
  </w:num>
  <w:num w:numId="18">
    <w:abstractNumId w:val="0"/>
  </w:num>
  <w:num w:numId="19">
    <w:abstractNumId w:val="20"/>
  </w:num>
  <w:num w:numId="20">
    <w:abstractNumId w:val="10"/>
  </w:num>
  <w:num w:numId="21">
    <w:abstractNumId w:val="2"/>
  </w:num>
  <w:num w:numId="22">
    <w:abstractNumId w:val="19"/>
  </w:num>
  <w:num w:numId="23">
    <w:abstractNumId w:val="32"/>
  </w:num>
  <w:num w:numId="24">
    <w:abstractNumId w:val="16"/>
  </w:num>
  <w:num w:numId="25">
    <w:abstractNumId w:val="27"/>
  </w:num>
  <w:num w:numId="26">
    <w:abstractNumId w:val="11"/>
  </w:num>
  <w:num w:numId="27">
    <w:abstractNumId w:val="26"/>
  </w:num>
  <w:num w:numId="28">
    <w:abstractNumId w:val="22"/>
  </w:num>
  <w:num w:numId="29">
    <w:abstractNumId w:val="34"/>
  </w:num>
  <w:num w:numId="30">
    <w:abstractNumId w:val="9"/>
  </w:num>
  <w:num w:numId="31">
    <w:abstractNumId w:val="4"/>
  </w:num>
  <w:num w:numId="32">
    <w:abstractNumId w:val="36"/>
  </w:num>
  <w:num w:numId="33">
    <w:abstractNumId w:val="31"/>
  </w:num>
  <w:num w:numId="34">
    <w:abstractNumId w:val="3"/>
  </w:num>
  <w:num w:numId="35">
    <w:abstractNumId w:val="29"/>
  </w:num>
  <w:num w:numId="36">
    <w:abstractNumId w:val="23"/>
  </w:num>
  <w:num w:numId="37">
    <w:abstractNumId w:val="17"/>
  </w:num>
  <w:num w:numId="38">
    <w:abstractNumId w:val="38"/>
  </w:num>
  <w:num w:numId="39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5C18"/>
    <w:rsid w:val="00093E4B"/>
    <w:rsid w:val="000A026E"/>
    <w:rsid w:val="00113EB1"/>
    <w:rsid w:val="001147E0"/>
    <w:rsid w:val="001211DF"/>
    <w:rsid w:val="001243FC"/>
    <w:rsid w:val="00132316"/>
    <w:rsid w:val="00141811"/>
    <w:rsid w:val="0016061F"/>
    <w:rsid w:val="00192287"/>
    <w:rsid w:val="001D699E"/>
    <w:rsid w:val="001F34B7"/>
    <w:rsid w:val="0021331D"/>
    <w:rsid w:val="0026530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25AEB"/>
    <w:rsid w:val="00457F4D"/>
    <w:rsid w:val="004D3CE0"/>
    <w:rsid w:val="004E2598"/>
    <w:rsid w:val="004E2F43"/>
    <w:rsid w:val="004F1BF5"/>
    <w:rsid w:val="005004FB"/>
    <w:rsid w:val="0052232D"/>
    <w:rsid w:val="00525A5E"/>
    <w:rsid w:val="00526A66"/>
    <w:rsid w:val="00567613"/>
    <w:rsid w:val="005A1D44"/>
    <w:rsid w:val="005A3404"/>
    <w:rsid w:val="005F42BE"/>
    <w:rsid w:val="005F7F93"/>
    <w:rsid w:val="00604F50"/>
    <w:rsid w:val="00654783"/>
    <w:rsid w:val="00654C1A"/>
    <w:rsid w:val="00657679"/>
    <w:rsid w:val="006917E8"/>
    <w:rsid w:val="00693A75"/>
    <w:rsid w:val="006E00DB"/>
    <w:rsid w:val="006F4A6C"/>
    <w:rsid w:val="00725221"/>
    <w:rsid w:val="0073497B"/>
    <w:rsid w:val="00736388"/>
    <w:rsid w:val="00756B86"/>
    <w:rsid w:val="007A3E02"/>
    <w:rsid w:val="007A649F"/>
    <w:rsid w:val="007E7946"/>
    <w:rsid w:val="007F33AE"/>
    <w:rsid w:val="0080514A"/>
    <w:rsid w:val="00872580"/>
    <w:rsid w:val="0088378A"/>
    <w:rsid w:val="00897C7D"/>
    <w:rsid w:val="008A0063"/>
    <w:rsid w:val="008A2E1E"/>
    <w:rsid w:val="008C705D"/>
    <w:rsid w:val="008E34C1"/>
    <w:rsid w:val="008E7DC1"/>
    <w:rsid w:val="00911B10"/>
    <w:rsid w:val="0091599D"/>
    <w:rsid w:val="0093167A"/>
    <w:rsid w:val="0094114F"/>
    <w:rsid w:val="00973E0F"/>
    <w:rsid w:val="00A12831"/>
    <w:rsid w:val="00A463A0"/>
    <w:rsid w:val="00A5049F"/>
    <w:rsid w:val="00A951C6"/>
    <w:rsid w:val="00A96186"/>
    <w:rsid w:val="00AA5AA0"/>
    <w:rsid w:val="00AD36E0"/>
    <w:rsid w:val="00AF36EF"/>
    <w:rsid w:val="00B02AE5"/>
    <w:rsid w:val="00B412DF"/>
    <w:rsid w:val="00B91CC0"/>
    <w:rsid w:val="00BA26E9"/>
    <w:rsid w:val="00BE1B9C"/>
    <w:rsid w:val="00C05AE0"/>
    <w:rsid w:val="00C56848"/>
    <w:rsid w:val="00C969A8"/>
    <w:rsid w:val="00CA6C61"/>
    <w:rsid w:val="00CC6848"/>
    <w:rsid w:val="00D04AC1"/>
    <w:rsid w:val="00D100DE"/>
    <w:rsid w:val="00D66094"/>
    <w:rsid w:val="00D93405"/>
    <w:rsid w:val="00DA3A3E"/>
    <w:rsid w:val="00DC6BBD"/>
    <w:rsid w:val="00EA21F7"/>
    <w:rsid w:val="00EA70F4"/>
    <w:rsid w:val="00EF639D"/>
    <w:rsid w:val="00F35F53"/>
    <w:rsid w:val="00F5427F"/>
    <w:rsid w:val="00F752BF"/>
    <w:rsid w:val="00F771CD"/>
    <w:rsid w:val="00FB6265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2CB5-FEB7-4916-91BF-F15F86F2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6</cp:revision>
  <cp:lastPrinted>2024-03-07T07:28:00Z</cp:lastPrinted>
  <dcterms:created xsi:type="dcterms:W3CDTF">2024-03-14T15:41:00Z</dcterms:created>
  <dcterms:modified xsi:type="dcterms:W3CDTF">2025-09-24T14:31:00Z</dcterms:modified>
</cp:coreProperties>
</file>