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9.2004394531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59.200439453125"/>
        <w:tblGridChange w:id="0">
          <w:tblGrid>
            <w:gridCol w:w="10459.200439453125"/>
          </w:tblGrid>
        </w:tblGridChange>
      </w:tblGrid>
      <w:tr>
        <w:trPr>
          <w:cantSplit w:val="0"/>
          <w:trHeight w:val="515.999755859375" w:hRule="atLeast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43.91999816894531"/>
                <w:szCs w:val="43.91999816894531"/>
              </w:rPr>
            </w:pPr>
            <w:r w:rsidDel="00000000" w:rsidR="00000000" w:rsidRPr="00000000">
              <w:rPr>
                <w:b w:val="1"/>
                <w:bCs w:val="1"/>
                <w:sz w:val="43.91999816894531"/>
                <w:szCs w:val="43.91999816894531"/>
                <w:rtl w:val="0"/>
              </w:rPr>
              <w:t xml:space="preserve">Pre-School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43.91999816894531"/>
                <w:szCs w:val="43.91999816894531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43.91999816894531"/>
                <w:szCs w:val="43.91999816894531"/>
              </w:rPr>
            </w:pPr>
            <w:r w:rsidDel="00000000" w:rsidR="00000000" w:rsidRPr="00000000">
              <w:rPr>
                <w:b w:val="1"/>
                <w:bCs w:val="1"/>
                <w:sz w:val="43.91999816894531"/>
                <w:szCs w:val="43.91999816894531"/>
                <w:rtl w:val="0"/>
              </w:rPr>
              <w:t xml:space="preserve">Moving On From the Dummy</w:t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43.91999816894531"/>
                <w:szCs w:val="43.91999816894531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3.91999816894531"/>
                <w:szCs w:val="43.91999816894531"/>
              </w:rPr>
              <w:drawing>
                <wp:inline distB="114300" distT="114300" distL="114300" distR="114300">
                  <wp:extent cx="557213" cy="557213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13" cy="5572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Adswood Primary - Enjoy, Believe, Achieve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0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Heading2"/>
              <w:keepNext w:val="0"/>
              <w:keepLines w:val="0"/>
              <w:widowControl w:val="0"/>
              <w:spacing w:line="240" w:lineRule="auto"/>
              <w:jc w:val="left"/>
              <w:rPr>
                <w:sz w:val="34"/>
                <w:szCs w:val="34"/>
              </w:rPr>
            </w:pPr>
            <w:bookmarkStart w:colFirst="0" w:colLast="0" w:name="_5qcy3a5hz1o3" w:id="0"/>
            <w:bookmarkEnd w:id="0"/>
            <w:r w:rsidDel="00000000" w:rsidR="00000000" w:rsidRPr="00000000">
              <w:rPr>
                <w:sz w:val="34"/>
                <w:szCs w:val="34"/>
                <w:rtl w:val="0"/>
              </w:rPr>
              <w:t xml:space="preserve">Why Ditching the Dummy Matters Now?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295275</wp:posOffset>
                  </wp:positionV>
                  <wp:extent cx="1538288" cy="1538288"/>
                  <wp:effectExtent b="0" l="0" r="0" t="0"/>
                  <wp:wrapSquare wrapText="bothSides" distB="114300" distT="114300" distL="114300" distR="11430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288" cy="15382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7">
            <w:pPr>
              <w:widowControl w:val="0"/>
              <w:spacing w:after="240" w:before="2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 children grow past 12 to 18 months, prolonged dummy use can start to affect their development in ways that aren't always immediately obvious: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spacing w:after="0" w:afterAutospacing="0" w:before="24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Dental &amp; Jaw Development: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Frequent sucking can alter alignment, leading to "open bites" (where front teeth don't meet) or narrow arches that require corrective work later.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Speech &amp; Language Progress: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Having a dummy in the mouth reduces opportunities to babble, practice new sounds, and engage in conversation. It also encourages children to talk around the dummy, which can impact clear pronunciation.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Ear Health: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Constant sucking changes pressure in the back of the mouth and throat, which can restrict proper fluid drainage from the middle ear and increase the risk of ear infections.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spacing w:after="240" w:before="0" w:beforeAutospacing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Emotional Self-Regulation: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Transitioning away from the dummy encourages toddlers to explore new ways to self-soothe, build resilience, and express feelings verbally.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Style w:val="Heading3"/>
              <w:keepNext w:val="0"/>
              <w:keepLines w:val="0"/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bookmarkStart w:colFirst="0" w:colLast="0" w:name="_vogjctpmw3xv" w:id="1"/>
            <w:bookmarkEnd w:id="1"/>
            <w:r w:rsidDel="00000000" w:rsidR="00000000" w:rsidRPr="00000000">
              <w:rPr>
                <w:sz w:val="24"/>
                <w:szCs w:val="24"/>
                <w:rtl w:val="0"/>
              </w:rPr>
              <w:t xml:space="preserve">The "Dummy Fairy"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240" w:before="240" w:line="240" w:lineRule="auto"/>
              <w:jc w:val="center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Wrap up the dummies together in a special box or bag. Leave them out for the "Dummy Fairy" to collect overnight for new babies who need them. In return, the Fairy leaves a small gift or a certificate.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240" w:before="2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4052888" cy="2202147"/>
                  <wp:effectExtent b="0" l="0" r="0" t="0"/>
                  <wp:docPr id="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2888" cy="22021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758.3995819091797" w:top="720" w:left="720" w:right="727.199707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