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A4" w:rsidRDefault="000C4F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5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49"/>
        <w:gridCol w:w="286"/>
        <w:gridCol w:w="4760"/>
        <w:gridCol w:w="268"/>
        <w:gridCol w:w="5541"/>
      </w:tblGrid>
      <w:tr w:rsidR="000C4FA4">
        <w:trPr>
          <w:trHeight w:val="3048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Science</w:t>
            </w:r>
          </w:p>
          <w:p w:rsidR="001A1CE7" w:rsidRPr="00460C6A" w:rsidRDefault="00D07DC8" w:rsidP="001A1CE7">
            <w:pPr>
              <w:ind w:left="-850" w:firstLine="720"/>
              <w:rPr>
                <w:b/>
                <w:bCs/>
                <w:sz w:val="22"/>
                <w:szCs w:val="22"/>
                <w:u w:val="single"/>
              </w:rPr>
            </w:pPr>
            <w:r w:rsidRPr="00D07DC8">
              <w:rPr>
                <w:sz w:val="20"/>
                <w:szCs w:val="20"/>
              </w:rPr>
              <w:t xml:space="preserve"> </w:t>
            </w:r>
            <w:r w:rsidR="001A1CE7" w:rsidRPr="00460C6A">
              <w:rPr>
                <w:b/>
                <w:bCs/>
                <w:sz w:val="22"/>
                <w:szCs w:val="22"/>
                <w:u w:val="single"/>
              </w:rPr>
              <w:t>Evolution and Inheritance</w:t>
            </w:r>
          </w:p>
          <w:p w:rsidR="00D07DC8" w:rsidRPr="00F557BE" w:rsidRDefault="00F557BE" w:rsidP="00F557BE">
            <w:pPr>
              <w:rPr>
                <w:b/>
                <w:sz w:val="20"/>
                <w:szCs w:val="20"/>
                <w:u w:val="single"/>
              </w:rPr>
            </w:pPr>
            <w:r w:rsidRPr="00F557BE">
              <w:rPr>
                <w:sz w:val="20"/>
                <w:szCs w:val="20"/>
              </w:rPr>
              <w:t>The children will be learning to r</w:t>
            </w:r>
            <w:r w:rsidR="001A1CE7" w:rsidRPr="00F557BE">
              <w:rPr>
                <w:sz w:val="20"/>
                <w:szCs w:val="20"/>
              </w:rPr>
              <w:t>ecognise that living things have changed over time and that fossils provide information about living things that inhabited the Earth millions of years ago.</w:t>
            </w:r>
            <w:r w:rsidRPr="00F557BE">
              <w:rPr>
                <w:sz w:val="20"/>
                <w:szCs w:val="20"/>
              </w:rPr>
              <w:t xml:space="preserve"> They will identify how animals are adapted to suit their environment in different ways and recognise that adaptation may lead to evolution.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 w:rsidR="000C4FA4" w:rsidRPr="00EF7C96" w:rsidRDefault="000C4FA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English</w:t>
            </w:r>
          </w:p>
          <w:p w:rsidR="00F94E10" w:rsidRDefault="00D5012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 Spider and the Fly</w:t>
            </w:r>
          </w:p>
          <w:p w:rsidR="00D50125" w:rsidRPr="00D50125" w:rsidRDefault="00D50125">
            <w:pPr>
              <w:rPr>
                <w:sz w:val="20"/>
                <w:szCs w:val="20"/>
              </w:rPr>
            </w:pPr>
            <w:r w:rsidRPr="00D50125">
              <w:rPr>
                <w:sz w:val="20"/>
                <w:szCs w:val="20"/>
              </w:rPr>
              <w:t>The children will be writing a narrative which includes dialogue to convey the character and advance the action.</w:t>
            </w:r>
          </w:p>
          <w:p w:rsidR="00D50125" w:rsidRDefault="00D5012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Biography</w:t>
            </w:r>
          </w:p>
          <w:p w:rsidR="00D50125" w:rsidRPr="00D50125" w:rsidRDefault="00D50125">
            <w:pPr>
              <w:rPr>
                <w:sz w:val="20"/>
                <w:szCs w:val="20"/>
              </w:rPr>
            </w:pPr>
            <w:r w:rsidRPr="00D50125">
              <w:rPr>
                <w:sz w:val="20"/>
                <w:szCs w:val="20"/>
              </w:rPr>
              <w:t>The children will be writing a biography about Charles Darwin.</w:t>
            </w:r>
          </w:p>
          <w:p w:rsidR="00370111" w:rsidRPr="00EF7C96" w:rsidRDefault="00370111" w:rsidP="00F94E10">
            <w:pPr>
              <w:rPr>
                <w:rFonts w:ascii="NTPreCursivefk" w:hAnsi="NTPreCursivefk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000000"/>
              <w:right w:val="single" w:sz="4" w:space="0" w:color="000000"/>
            </w:tcBorders>
          </w:tcPr>
          <w:p w:rsidR="000C4FA4" w:rsidRPr="00EF7C96" w:rsidRDefault="000C4FA4">
            <w:pPr>
              <w:rPr>
                <w:rFonts w:ascii="NTPreCursivefk" w:hAnsi="NTPreCursivefk"/>
                <w:b/>
                <w:sz w:val="22"/>
                <w:szCs w:val="22"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Maths</w:t>
            </w:r>
          </w:p>
          <w:p w:rsidR="00370111" w:rsidRDefault="001A1CE7" w:rsidP="00F50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children will be completing and revising work on fractions, decimals and percentages, volume, perimeter and area.</w:t>
            </w:r>
          </w:p>
          <w:p w:rsidR="001A1CE7" w:rsidRPr="00F5061C" w:rsidRDefault="001A1CE7" w:rsidP="00F50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will also be learning about ratio and proportion, shapes-2D and 3D, as well as doing problem solving.</w:t>
            </w:r>
          </w:p>
        </w:tc>
      </w:tr>
      <w:tr w:rsidR="000C4FA4">
        <w:trPr>
          <w:trHeight w:val="429"/>
        </w:trPr>
        <w:tc>
          <w:tcPr>
            <w:tcW w:w="4449" w:type="dxa"/>
            <w:tcBorders>
              <w:top w:val="single" w:sz="4" w:space="0" w:color="000000"/>
              <w:bottom w:val="single" w:sz="4" w:space="0" w:color="000000"/>
            </w:tcBorders>
          </w:tcPr>
          <w:p w:rsidR="000C4FA4" w:rsidRPr="00E04A32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6" w:type="dxa"/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</w:tcBorders>
          </w:tcPr>
          <w:p w:rsidR="000C4FA4" w:rsidRPr="00EF7C96" w:rsidRDefault="00EF7C96" w:rsidP="00651223">
            <w:pPr>
              <w:rPr>
                <w:b/>
              </w:rPr>
            </w:pPr>
            <w:r w:rsidRPr="00EF7C96">
              <w:rPr>
                <w:b/>
                <w:noProof/>
              </w:rPr>
              <w:t xml:space="preserve">                         </w:t>
            </w:r>
          </w:p>
        </w:tc>
        <w:tc>
          <w:tcPr>
            <w:tcW w:w="268" w:type="dxa"/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</w:tr>
      <w:tr w:rsidR="000C4FA4" w:rsidTr="00D14FE6">
        <w:trPr>
          <w:trHeight w:val="1306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French</w:t>
            </w:r>
          </w:p>
          <w:p w:rsidR="000C4FA4" w:rsidRPr="00E04A32" w:rsidRDefault="00F557BE" w:rsidP="00275B0E">
            <w:pPr>
              <w:rPr>
                <w:sz w:val="20"/>
                <w:szCs w:val="20"/>
              </w:rPr>
            </w:pPr>
            <w:r w:rsidRPr="00F557BE">
              <w:rPr>
                <w:sz w:val="20"/>
                <w:szCs w:val="20"/>
              </w:rPr>
              <w:t xml:space="preserve">In French lessons, children </w:t>
            </w:r>
            <w:r>
              <w:rPr>
                <w:sz w:val="20"/>
                <w:szCs w:val="20"/>
              </w:rPr>
              <w:t>will be</w:t>
            </w:r>
            <w:r w:rsidRPr="00F557BE">
              <w:rPr>
                <w:sz w:val="20"/>
                <w:szCs w:val="20"/>
              </w:rPr>
              <w:t xml:space="preserve"> learning to ask and answer questions, speak in sentences, understand and write simple words and phrases and develop basic conversation with appropriate pronunciation.</w:t>
            </w:r>
          </w:p>
        </w:tc>
        <w:tc>
          <w:tcPr>
            <w:tcW w:w="286" w:type="dxa"/>
            <w:tcBorders>
              <w:left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</w:tcPr>
          <w:p w:rsidR="00651223" w:rsidRDefault="00651223" w:rsidP="00EF7C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F7C96">
              <w:rPr>
                <w:b/>
                <w:noProof/>
              </w:rPr>
              <w:drawing>
                <wp:inline distT="0" distB="0" distL="0" distR="0" wp14:anchorId="2F2E3C69" wp14:editId="1BD056AC">
                  <wp:extent cx="600075" cy="494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F7C96" w:rsidRPr="00E04A32" w:rsidRDefault="00B90C30" w:rsidP="00EF7C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04A32">
              <w:rPr>
                <w:b/>
                <w:sz w:val="28"/>
                <w:szCs w:val="28"/>
                <w:u w:val="single"/>
              </w:rPr>
              <w:t xml:space="preserve">Year </w:t>
            </w:r>
            <w:r w:rsidR="00EF7C96" w:rsidRPr="00E04A32">
              <w:rPr>
                <w:b/>
                <w:sz w:val="28"/>
                <w:szCs w:val="28"/>
                <w:u w:val="single"/>
              </w:rPr>
              <w:t xml:space="preserve">6 </w:t>
            </w:r>
          </w:p>
          <w:p w:rsidR="000C4FA4" w:rsidRDefault="00CD6E28" w:rsidP="00EF7C9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Summer</w:t>
            </w:r>
            <w:r w:rsidR="00B90C30" w:rsidRPr="00E04A32">
              <w:rPr>
                <w:b/>
                <w:sz w:val="28"/>
                <w:szCs w:val="28"/>
                <w:u w:val="single"/>
              </w:rPr>
              <w:t xml:space="preserve"> I 202</w:t>
            </w:r>
            <w:r>
              <w:rPr>
                <w:b/>
                <w:sz w:val="28"/>
                <w:szCs w:val="28"/>
                <w:u w:val="single"/>
              </w:rPr>
              <w:t>6</w:t>
            </w:r>
          </w:p>
          <w:p w:rsidR="001A1CE7" w:rsidRDefault="001A1CE7" w:rsidP="00EF7C96">
            <w:pPr>
              <w:jc w:val="center"/>
              <w:rPr>
                <w:b/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  <w:u w:val="single"/>
              </w:rPr>
              <w:t>SATs are beginning on 11</w:t>
            </w:r>
            <w:r w:rsidRPr="001A1CE7">
              <w:rPr>
                <w:b/>
                <w:sz w:val="34"/>
                <w:szCs w:val="34"/>
                <w:u w:val="single"/>
                <w:vertAlign w:val="superscript"/>
              </w:rPr>
              <w:t>th</w:t>
            </w:r>
            <w:r>
              <w:rPr>
                <w:b/>
                <w:sz w:val="34"/>
                <w:szCs w:val="34"/>
                <w:u w:val="single"/>
              </w:rPr>
              <w:t xml:space="preserve"> May- 14</w:t>
            </w:r>
            <w:r w:rsidRPr="001A1CE7">
              <w:rPr>
                <w:b/>
                <w:sz w:val="34"/>
                <w:szCs w:val="34"/>
                <w:u w:val="single"/>
                <w:vertAlign w:val="superscript"/>
              </w:rPr>
              <w:t>th</w:t>
            </w:r>
            <w:r>
              <w:rPr>
                <w:b/>
                <w:sz w:val="34"/>
                <w:szCs w:val="34"/>
                <w:u w:val="single"/>
              </w:rPr>
              <w:t xml:space="preserve"> May.</w:t>
            </w:r>
          </w:p>
        </w:tc>
        <w:tc>
          <w:tcPr>
            <w:tcW w:w="268" w:type="dxa"/>
            <w:tcBorders>
              <w:right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CD6E28" w:rsidRDefault="00B90C30">
            <w:pPr>
              <w:rPr>
                <w:b/>
                <w:sz w:val="20"/>
                <w:u w:val="single"/>
              </w:rPr>
            </w:pPr>
            <w:r w:rsidRPr="00BD76F8">
              <w:rPr>
                <w:b/>
                <w:sz w:val="20"/>
                <w:u w:val="single"/>
              </w:rPr>
              <w:t>RE</w:t>
            </w:r>
            <w:r w:rsidR="00D14FE6">
              <w:rPr>
                <w:b/>
                <w:sz w:val="20"/>
                <w:u w:val="single"/>
              </w:rPr>
              <w:t xml:space="preserve">- </w:t>
            </w:r>
            <w:r w:rsidR="00CD6E28">
              <w:rPr>
                <w:b/>
                <w:sz w:val="20"/>
                <w:u w:val="single"/>
              </w:rPr>
              <w:t>The Vine and the Branches- To the Ends of the Earth</w:t>
            </w:r>
          </w:p>
          <w:p w:rsidR="00EF7C96" w:rsidRDefault="00D14FE6" w:rsidP="00CD6E28">
            <w:r w:rsidRPr="00D14FE6">
              <w:rPr>
                <w:sz w:val="20"/>
              </w:rPr>
              <w:t xml:space="preserve">The children will </w:t>
            </w:r>
            <w:r w:rsidR="00D50125">
              <w:rPr>
                <w:sz w:val="20"/>
              </w:rPr>
              <w:t>s</w:t>
            </w:r>
            <w:r w:rsidR="00D50125" w:rsidRPr="004C3D32">
              <w:rPr>
                <w:sz w:val="20"/>
                <w:szCs w:val="20"/>
              </w:rPr>
              <w:t>how</w:t>
            </w:r>
            <w:r w:rsidR="00D50125">
              <w:rPr>
                <w:sz w:val="20"/>
                <w:szCs w:val="20"/>
              </w:rPr>
              <w:t xml:space="preserve"> the </w:t>
            </w:r>
            <w:r w:rsidR="00D50125" w:rsidRPr="004C3D32">
              <w:rPr>
                <w:sz w:val="20"/>
                <w:szCs w:val="20"/>
              </w:rPr>
              <w:t>understanding of the scripture passages studied</w:t>
            </w:r>
            <w:r w:rsidR="00D50125">
              <w:rPr>
                <w:sz w:val="20"/>
                <w:szCs w:val="20"/>
              </w:rPr>
              <w:t>. They will use specialist theological and religious vocabulary to describe and explain links between at least one of the scripture passages studied and religious beliefs. They will d</w:t>
            </w:r>
            <w:r w:rsidR="00D50125" w:rsidRPr="007A4DC0">
              <w:rPr>
                <w:sz w:val="20"/>
                <w:szCs w:val="20"/>
              </w:rPr>
              <w:t>escribe Christian belief about the Resurrection of Christ and the revelation of the Father, Son, and Spirit.</w:t>
            </w:r>
          </w:p>
        </w:tc>
      </w:tr>
      <w:tr w:rsidR="000C4FA4">
        <w:trPr>
          <w:trHeight w:val="429"/>
        </w:trPr>
        <w:tc>
          <w:tcPr>
            <w:tcW w:w="4449" w:type="dxa"/>
            <w:tcBorders>
              <w:top w:val="single" w:sz="4" w:space="0" w:color="000000"/>
              <w:bottom w:val="single" w:sz="4" w:space="0" w:color="000000"/>
            </w:tcBorders>
          </w:tcPr>
          <w:p w:rsidR="000C4FA4" w:rsidRPr="00E04A32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6" w:type="dxa"/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bottom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268" w:type="dxa"/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</w:tr>
      <w:tr w:rsidR="000C4FA4">
        <w:trPr>
          <w:trHeight w:val="1738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PE</w:t>
            </w:r>
          </w:p>
          <w:p w:rsidR="000C4FA4" w:rsidRDefault="000C6477" w:rsidP="00E35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Rounders </w:t>
            </w:r>
            <w:r w:rsidR="00E354E1" w:rsidRPr="00E354E1">
              <w:rPr>
                <w:sz w:val="20"/>
                <w:szCs w:val="20"/>
              </w:rPr>
              <w:t>with City in the Community</w:t>
            </w:r>
            <w:r w:rsidR="00E354E1">
              <w:rPr>
                <w:sz w:val="20"/>
                <w:szCs w:val="20"/>
              </w:rPr>
              <w:t>.</w:t>
            </w:r>
          </w:p>
          <w:p w:rsidR="00A77F9A" w:rsidRDefault="00E354E1" w:rsidP="00E35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Dance –Lessons </w:t>
            </w:r>
            <w:r w:rsidR="000C647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</w:t>
            </w:r>
            <w:r w:rsidR="000C6477">
              <w:rPr>
                <w:sz w:val="20"/>
                <w:szCs w:val="20"/>
              </w:rPr>
              <w:t>12</w:t>
            </w:r>
            <w:r w:rsidR="00A77F9A">
              <w:rPr>
                <w:sz w:val="20"/>
                <w:szCs w:val="20"/>
              </w:rPr>
              <w:t xml:space="preserve"> </w:t>
            </w:r>
          </w:p>
          <w:p w:rsidR="00E354E1" w:rsidRPr="00E354E1" w:rsidRDefault="00A77F9A" w:rsidP="00D12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Stamp and clap short dance</w:t>
            </w:r>
            <w:r w:rsidR="00D12421">
              <w:rPr>
                <w:sz w:val="20"/>
                <w:szCs w:val="20"/>
              </w:rPr>
              <w:t xml:space="preserve"> phrases</w:t>
            </w:r>
            <w:r w:rsidR="000C6477">
              <w:rPr>
                <w:sz w:val="20"/>
                <w:szCs w:val="20"/>
              </w:rPr>
              <w:t xml:space="preserve"> and use a chair to develop a dance routine.</w:t>
            </w:r>
            <w:r w:rsidR="00D124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E04A32" w:rsidRDefault="00B90C30">
            <w:pPr>
              <w:rPr>
                <w:b/>
                <w:sz w:val="20"/>
                <w:szCs w:val="20"/>
                <w:u w:val="single"/>
              </w:rPr>
            </w:pPr>
            <w:r w:rsidRPr="00E04A32">
              <w:rPr>
                <w:b/>
                <w:sz w:val="20"/>
                <w:szCs w:val="20"/>
                <w:u w:val="single"/>
              </w:rPr>
              <w:t>Music</w:t>
            </w:r>
          </w:p>
          <w:p w:rsidR="00E04A32" w:rsidRPr="0018690A" w:rsidRDefault="0018690A" w:rsidP="00E04A32">
            <w:pPr>
              <w:rPr>
                <w:sz w:val="20"/>
                <w:szCs w:val="20"/>
              </w:rPr>
            </w:pPr>
            <w:r w:rsidRPr="0018690A">
              <w:rPr>
                <w:sz w:val="20"/>
                <w:szCs w:val="20"/>
              </w:rPr>
              <w:t>The children will be working with tuned and untuned instruments to develop their understanding of different rhythms.</w:t>
            </w:r>
          </w:p>
        </w:tc>
        <w:tc>
          <w:tcPr>
            <w:tcW w:w="268" w:type="dxa"/>
            <w:tcBorders>
              <w:left w:val="single" w:sz="4" w:space="0" w:color="000000"/>
              <w:right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0C6477" w:rsidRDefault="00B90C30">
            <w:pPr>
              <w:rPr>
                <w:b/>
                <w:sz w:val="20"/>
                <w:szCs w:val="20"/>
                <w:u w:val="single"/>
              </w:rPr>
            </w:pPr>
            <w:r w:rsidRPr="000C6477">
              <w:rPr>
                <w:b/>
                <w:sz w:val="20"/>
                <w:szCs w:val="20"/>
                <w:u w:val="single"/>
              </w:rPr>
              <w:t>History / Geography</w:t>
            </w:r>
          </w:p>
          <w:p w:rsidR="00E24F64" w:rsidRPr="000C6477" w:rsidRDefault="000C6477" w:rsidP="00D35855">
            <w:pPr>
              <w:rPr>
                <w:sz w:val="20"/>
                <w:szCs w:val="20"/>
              </w:rPr>
            </w:pPr>
            <w:r w:rsidRPr="000C6477">
              <w:rPr>
                <w:sz w:val="20"/>
                <w:szCs w:val="20"/>
              </w:rPr>
              <w:t xml:space="preserve">The children will be studying the Abbasid caliphate and Baghdad during the Islamic Golden Age, exploring the House of Wisdom and advances in algebra, astronomy, science and medicine. They </w:t>
            </w:r>
            <w:r w:rsidR="00650B94">
              <w:rPr>
                <w:sz w:val="20"/>
                <w:szCs w:val="20"/>
              </w:rPr>
              <w:t xml:space="preserve">will </w:t>
            </w:r>
            <w:r w:rsidR="001A1CE7" w:rsidRPr="000C6477">
              <w:rPr>
                <w:sz w:val="20"/>
                <w:szCs w:val="20"/>
              </w:rPr>
              <w:t>examine</w:t>
            </w:r>
            <w:r w:rsidR="001A1CE7">
              <w:rPr>
                <w:sz w:val="20"/>
                <w:szCs w:val="20"/>
              </w:rPr>
              <w:t xml:space="preserve"> </w:t>
            </w:r>
            <w:r w:rsidR="001A1CE7" w:rsidRPr="000C6477">
              <w:rPr>
                <w:sz w:val="20"/>
                <w:szCs w:val="20"/>
              </w:rPr>
              <w:t>trade</w:t>
            </w:r>
            <w:r w:rsidRPr="000C6477">
              <w:rPr>
                <w:sz w:val="20"/>
                <w:szCs w:val="20"/>
              </w:rPr>
              <w:t>, architecture and religion and considered the lasting legacy.</w:t>
            </w:r>
          </w:p>
        </w:tc>
      </w:tr>
      <w:tr w:rsidR="000C4FA4">
        <w:trPr>
          <w:trHeight w:val="429"/>
        </w:trPr>
        <w:tc>
          <w:tcPr>
            <w:tcW w:w="4449" w:type="dxa"/>
            <w:tcBorders>
              <w:top w:val="single" w:sz="4" w:space="0" w:color="000000"/>
              <w:bottom w:val="single" w:sz="4" w:space="0" w:color="000000"/>
            </w:tcBorders>
          </w:tcPr>
          <w:p w:rsidR="000C4FA4" w:rsidRPr="00E04A32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6" w:type="dxa"/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bottom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268" w:type="dxa"/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bottom w:val="single" w:sz="4" w:space="0" w:color="000000"/>
            </w:tcBorders>
          </w:tcPr>
          <w:p w:rsidR="000C4FA4" w:rsidRPr="000C6477" w:rsidRDefault="000C4FA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0C4FA4">
        <w:trPr>
          <w:trHeight w:val="1738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1A33C3" w:rsidRDefault="00B90C30">
            <w:pPr>
              <w:rPr>
                <w:b/>
                <w:sz w:val="20"/>
                <w:szCs w:val="20"/>
                <w:u w:val="single"/>
              </w:rPr>
            </w:pPr>
            <w:r w:rsidRPr="001A33C3">
              <w:rPr>
                <w:b/>
                <w:sz w:val="20"/>
                <w:szCs w:val="20"/>
                <w:u w:val="single"/>
              </w:rPr>
              <w:t>PSHE</w:t>
            </w:r>
          </w:p>
          <w:p w:rsidR="000C4FA4" w:rsidRPr="0018690A" w:rsidRDefault="000C6477" w:rsidP="0018690A">
            <w:pPr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>The children will be learning about cyberbullying, types of abuse and impacted lifestyles through discussion and watching video clips.</w:t>
            </w:r>
          </w:p>
        </w:tc>
        <w:tc>
          <w:tcPr>
            <w:tcW w:w="286" w:type="dxa"/>
            <w:tcBorders>
              <w:left w:val="single" w:sz="4" w:space="0" w:color="000000"/>
              <w:right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0C4FA4" w:rsidRPr="001A33C3" w:rsidRDefault="00B90C30">
            <w:pPr>
              <w:rPr>
                <w:b/>
                <w:sz w:val="20"/>
                <w:szCs w:val="20"/>
                <w:u w:val="single"/>
              </w:rPr>
            </w:pPr>
            <w:r w:rsidRPr="001A33C3">
              <w:rPr>
                <w:b/>
                <w:sz w:val="20"/>
                <w:szCs w:val="20"/>
                <w:u w:val="single"/>
              </w:rPr>
              <w:t xml:space="preserve">Art / Design &amp; Technology </w:t>
            </w:r>
          </w:p>
          <w:p w:rsidR="001A33C3" w:rsidRPr="00275B0E" w:rsidRDefault="001A1CE7" w:rsidP="000C6477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will l</w:t>
            </w:r>
            <w:r w:rsidR="00E354E1" w:rsidRPr="00275B0E">
              <w:rPr>
                <w:sz w:val="20"/>
                <w:szCs w:val="20"/>
              </w:rPr>
              <w:t xml:space="preserve">earn about the artist </w:t>
            </w:r>
            <w:r w:rsidR="000C6477" w:rsidRPr="00C142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Banksy</w:t>
            </w:r>
            <w:r w:rsidR="000C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draw pictures in the style of Banksy. </w:t>
            </w:r>
          </w:p>
        </w:tc>
        <w:tc>
          <w:tcPr>
            <w:tcW w:w="268" w:type="dxa"/>
            <w:tcBorders>
              <w:left w:val="single" w:sz="4" w:space="0" w:color="000000"/>
              <w:right w:val="single" w:sz="4" w:space="0" w:color="000000"/>
            </w:tcBorders>
          </w:tcPr>
          <w:p w:rsidR="000C4FA4" w:rsidRDefault="000C4FA4">
            <w:pPr>
              <w:rPr>
                <w:b/>
                <w:u w:val="single"/>
              </w:rPr>
            </w:pP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18690A" w:rsidRDefault="00B90C30" w:rsidP="0018690A">
            <w:pPr>
              <w:rPr>
                <w:b/>
                <w:sz w:val="20"/>
                <w:szCs w:val="20"/>
                <w:u w:val="single"/>
              </w:rPr>
            </w:pPr>
            <w:r w:rsidRPr="001A33C3">
              <w:rPr>
                <w:b/>
                <w:sz w:val="20"/>
                <w:szCs w:val="20"/>
                <w:u w:val="single"/>
              </w:rPr>
              <w:t>Computing</w:t>
            </w:r>
            <w:r w:rsidR="0018690A">
              <w:rPr>
                <w:b/>
                <w:sz w:val="20"/>
                <w:szCs w:val="20"/>
                <w:u w:val="single"/>
              </w:rPr>
              <w:t xml:space="preserve"> - </w:t>
            </w:r>
            <w:r w:rsidR="0018690A" w:rsidRPr="0018690A">
              <w:rPr>
                <w:b/>
                <w:sz w:val="20"/>
                <w:szCs w:val="20"/>
                <w:u w:val="single"/>
              </w:rPr>
              <w:t>Communication and Collaboration</w:t>
            </w:r>
          </w:p>
          <w:p w:rsidR="001A33C3" w:rsidRPr="0018690A" w:rsidRDefault="0018690A" w:rsidP="0018690A">
            <w:pPr>
              <w:rPr>
                <w:sz w:val="20"/>
                <w:szCs w:val="20"/>
              </w:rPr>
            </w:pPr>
            <w:r w:rsidRPr="0018690A">
              <w:rPr>
                <w:sz w:val="20"/>
                <w:szCs w:val="20"/>
              </w:rPr>
              <w:t xml:space="preserve">The children will be exploring </w:t>
            </w:r>
            <w:r w:rsidR="00CD6E28">
              <w:rPr>
                <w:sz w:val="20"/>
                <w:szCs w:val="20"/>
              </w:rPr>
              <w:t xml:space="preserve">introducing variables, variables in programming and improving a game. </w:t>
            </w:r>
          </w:p>
        </w:tc>
      </w:tr>
    </w:tbl>
    <w:p w:rsidR="000C4FA4" w:rsidRDefault="000C4FA4" w:rsidP="00F557BE">
      <w:pPr>
        <w:rPr>
          <w:b/>
          <w:u w:val="single"/>
        </w:rPr>
      </w:pPr>
    </w:p>
    <w:sectPr w:rsidR="000C4FA4" w:rsidSect="00AD501E">
      <w:pgSz w:w="16838" w:h="11906" w:orient="landscape"/>
      <w:pgMar w:top="720" w:right="720" w:bottom="284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A4"/>
    <w:rsid w:val="000C4FA4"/>
    <w:rsid w:val="000C6477"/>
    <w:rsid w:val="000D3D96"/>
    <w:rsid w:val="0018690A"/>
    <w:rsid w:val="001A1CE7"/>
    <w:rsid w:val="001A33C3"/>
    <w:rsid w:val="00275B0E"/>
    <w:rsid w:val="00367D37"/>
    <w:rsid w:val="00370111"/>
    <w:rsid w:val="00650B94"/>
    <w:rsid w:val="00651223"/>
    <w:rsid w:val="006E5DBF"/>
    <w:rsid w:val="007C2181"/>
    <w:rsid w:val="00A77F9A"/>
    <w:rsid w:val="00AD501E"/>
    <w:rsid w:val="00B90C30"/>
    <w:rsid w:val="00BD76F8"/>
    <w:rsid w:val="00CD6E28"/>
    <w:rsid w:val="00D07DC8"/>
    <w:rsid w:val="00D12421"/>
    <w:rsid w:val="00D14FE6"/>
    <w:rsid w:val="00D35855"/>
    <w:rsid w:val="00D50125"/>
    <w:rsid w:val="00D86180"/>
    <w:rsid w:val="00DC4EA4"/>
    <w:rsid w:val="00E04A32"/>
    <w:rsid w:val="00E24F64"/>
    <w:rsid w:val="00E354E1"/>
    <w:rsid w:val="00E84C59"/>
    <w:rsid w:val="00EF7C96"/>
    <w:rsid w:val="00F27137"/>
    <w:rsid w:val="00F5061C"/>
    <w:rsid w:val="00F557BE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113F7-9078-4980-84D2-2EE2DEF9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C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KvlqtqZ4qiKgk5iRhdCxW2uIA==">CgMxLjAyCGguZ2pkZ3hzOAByITFXOWV3Nm4tY1d5SzREWTBzMDI2UTVscmo3ckxISUJZcw==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Kitchin</dc:creator>
  <cp:lastModifiedBy>Ms Kitchin</cp:lastModifiedBy>
  <cp:revision>2</cp:revision>
  <dcterms:created xsi:type="dcterms:W3CDTF">2026-04-30T07:18:00Z</dcterms:created>
  <dcterms:modified xsi:type="dcterms:W3CDTF">2026-04-30T07:18:00Z</dcterms:modified>
</cp:coreProperties>
</file>