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1375" w14:textId="77777777" w:rsidR="000C4FA4" w:rsidRDefault="000C4F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49"/>
        <w:gridCol w:w="286"/>
        <w:gridCol w:w="4760"/>
        <w:gridCol w:w="268"/>
        <w:gridCol w:w="5541"/>
      </w:tblGrid>
      <w:tr w:rsidR="000C4FA4" w14:paraId="48258F00" w14:textId="77777777">
        <w:trPr>
          <w:trHeight w:val="304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74435DD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Science</w:t>
            </w:r>
          </w:p>
          <w:p w14:paraId="2ED32844" w14:textId="77777777" w:rsidR="00370111" w:rsidRPr="00E04A32" w:rsidRDefault="00370111">
            <w:pPr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</w:pPr>
            <w:r w:rsidRPr="00370111">
              <w:rPr>
                <w:rFonts w:eastAsiaTheme="minorHAnsi"/>
                <w:b/>
                <w:sz w:val="20"/>
                <w:szCs w:val="20"/>
                <w:u w:val="single"/>
                <w:lang w:eastAsia="en-US"/>
              </w:rPr>
              <w:t xml:space="preserve">Living things and their Habitats  </w:t>
            </w:r>
          </w:p>
          <w:p w14:paraId="6C6D04D7" w14:textId="77777777" w:rsidR="000C4FA4" w:rsidRDefault="00370111" w:rsidP="00370111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370111">
              <w:rPr>
                <w:rFonts w:eastAsiaTheme="minorHAnsi"/>
                <w:color w:val="000000"/>
                <w:sz w:val="20"/>
                <w:szCs w:val="20"/>
              </w:rPr>
              <w:t>To design, describe and name a new creature and sort this within the Animalia taxonomy.</w:t>
            </w:r>
          </w:p>
          <w:p w14:paraId="29BD1D74" w14:textId="77777777" w:rsidR="002B5582" w:rsidRDefault="002B5582" w:rsidP="0037011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Inheritance and Evolution</w:t>
            </w:r>
          </w:p>
          <w:p w14:paraId="75BC8F64" w14:textId="38966C80" w:rsidR="002B5582" w:rsidRPr="002B5582" w:rsidRDefault="00B06EC2" w:rsidP="002B5582">
            <w:pPr>
              <w:pStyle w:val="ColorfulList-Accent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019E8">
              <w:rPr>
                <w:sz w:val="20"/>
                <w:szCs w:val="20"/>
              </w:rPr>
              <w:t>ecognise that living things produce offspring of the same kind, but normally offspring vary and are not identical to their parents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B5582">
              <w:rPr>
                <w:sz w:val="20"/>
                <w:szCs w:val="20"/>
              </w:rPr>
              <w:t>R</w:t>
            </w:r>
            <w:r w:rsidR="002B5582" w:rsidRPr="005019E8">
              <w:rPr>
                <w:sz w:val="20"/>
                <w:szCs w:val="20"/>
              </w:rPr>
              <w:t>ecognise that living things have changed over time and that fossils provide information about living things</w:t>
            </w:r>
            <w:r w:rsidR="002B5582">
              <w:rPr>
                <w:sz w:val="20"/>
                <w:szCs w:val="20"/>
              </w:rPr>
              <w:t>. I</w:t>
            </w:r>
            <w:r w:rsidR="002B5582" w:rsidRPr="005019E8">
              <w:rPr>
                <w:sz w:val="20"/>
                <w:szCs w:val="20"/>
              </w:rPr>
              <w:t>dentify how animals and plants are adapted to suit their environment in different ways and that adaptation may lead to evolution</w:t>
            </w:r>
            <w:r w:rsidR="002B558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14:paraId="5DD5F599" w14:textId="77777777" w:rsidR="000C4FA4" w:rsidRPr="00EF7C96" w:rsidRDefault="000C4FA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43BDB9A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English</w:t>
            </w:r>
          </w:p>
          <w:p w14:paraId="376487CD" w14:textId="77777777" w:rsidR="00370111" w:rsidRPr="00E04A32" w:rsidRDefault="00370111" w:rsidP="00370111">
            <w:pPr>
              <w:rPr>
                <w:sz w:val="20"/>
                <w:szCs w:val="20"/>
              </w:rPr>
            </w:pPr>
            <w:r w:rsidRPr="00E04A32">
              <w:rPr>
                <w:b/>
                <w:bCs/>
                <w:sz w:val="20"/>
                <w:szCs w:val="20"/>
                <w:u w:val="single"/>
              </w:rPr>
              <w:t xml:space="preserve">Kensuke’s Kingdom  </w:t>
            </w:r>
            <w:r w:rsidRPr="00E04A32">
              <w:rPr>
                <w:sz w:val="20"/>
                <w:szCs w:val="20"/>
              </w:rPr>
              <w:t xml:space="preserve"> </w:t>
            </w:r>
          </w:p>
          <w:p w14:paraId="75C8DC26" w14:textId="77777777" w:rsidR="00B06EC2" w:rsidRDefault="00370111" w:rsidP="00082B06">
            <w:pPr>
              <w:rPr>
                <w:bCs/>
                <w:sz w:val="20"/>
                <w:szCs w:val="20"/>
              </w:rPr>
            </w:pPr>
            <w:r w:rsidRPr="00E04A32">
              <w:rPr>
                <w:sz w:val="20"/>
                <w:szCs w:val="20"/>
              </w:rPr>
              <w:t>Description of the storm.</w:t>
            </w:r>
            <w:r w:rsidRPr="00E04A32">
              <w:rPr>
                <w:bCs/>
                <w:sz w:val="20"/>
                <w:szCs w:val="20"/>
              </w:rPr>
              <w:t xml:space="preserve"> Poetry. </w:t>
            </w:r>
          </w:p>
          <w:p w14:paraId="5D46795C" w14:textId="52241A51" w:rsidR="00082B06" w:rsidRPr="008E32B1" w:rsidRDefault="00B06EC2" w:rsidP="00082B0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Cicada</w:t>
            </w:r>
            <w:r w:rsidR="00082B06" w:rsidRPr="008E32B1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73AA951C" w14:textId="5BCDA8CD" w:rsidR="00082B06" w:rsidRPr="00082B06" w:rsidRDefault="00082B06" w:rsidP="00082B06">
            <w:pPr>
              <w:rPr>
                <w:rFonts w:ascii="NTPreCursivefk" w:hAnsi="NTPreCursivefk"/>
                <w:sz w:val="20"/>
                <w:szCs w:val="20"/>
              </w:rPr>
            </w:pPr>
            <w:r w:rsidRPr="00082B06">
              <w:rPr>
                <w:sz w:val="20"/>
                <w:szCs w:val="20"/>
              </w:rPr>
              <w:t xml:space="preserve">Predicting what a text is about using only the front cover. Read some of the text. Identifying the features of a non-chronological report. Deconstructing a comparative text. </w:t>
            </w:r>
            <w:r w:rsidR="00B06EC2">
              <w:rPr>
                <w:sz w:val="20"/>
                <w:szCs w:val="20"/>
              </w:rPr>
              <w:t xml:space="preserve">Writing a non-chronological report about the cicada. </w:t>
            </w:r>
            <w:r w:rsidRPr="00082B06">
              <w:rPr>
                <w:sz w:val="20"/>
                <w:szCs w:val="20"/>
              </w:rPr>
              <w:t>Planning</w:t>
            </w:r>
            <w:r w:rsidR="00B06EC2">
              <w:rPr>
                <w:sz w:val="20"/>
                <w:szCs w:val="20"/>
              </w:rPr>
              <w:t xml:space="preserve"> and writing a set of instructions. Planning and writing a letter.</w:t>
            </w: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14:paraId="72275971" w14:textId="77777777" w:rsidR="000C4FA4" w:rsidRPr="00EF7C96" w:rsidRDefault="000C4FA4">
            <w:pPr>
              <w:rPr>
                <w:rFonts w:ascii="NTPreCursivefk" w:hAnsi="NTPreCursivefk"/>
                <w:b/>
                <w:sz w:val="22"/>
                <w:szCs w:val="22"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A9F3112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Maths</w:t>
            </w:r>
          </w:p>
          <w:p w14:paraId="782A6477" w14:textId="77777777" w:rsidR="006E5DBF" w:rsidRDefault="006E5DBF" w:rsidP="006E5DBF">
            <w:pPr>
              <w:rPr>
                <w:sz w:val="20"/>
                <w:szCs w:val="20"/>
              </w:rPr>
            </w:pPr>
            <w:r w:rsidRPr="008E32B1">
              <w:rPr>
                <w:b/>
                <w:bCs/>
                <w:sz w:val="20"/>
                <w:szCs w:val="20"/>
                <w:u w:val="single"/>
              </w:rPr>
              <w:t>Fractions</w:t>
            </w:r>
            <w:r w:rsidRPr="00E04A32">
              <w:rPr>
                <w:sz w:val="20"/>
                <w:szCs w:val="20"/>
              </w:rPr>
              <w:t>- equivalent fractions and simplifying, adding and subtracting simple fractions, adding and subtracting mixed numbers. Multiplying and dividing fractions and finding fractions of an amount.</w:t>
            </w:r>
          </w:p>
          <w:p w14:paraId="2D8D4A48" w14:textId="143DFEB6" w:rsidR="00990709" w:rsidRDefault="00990709" w:rsidP="006E5DBF">
            <w:pPr>
              <w:rPr>
                <w:sz w:val="20"/>
                <w:szCs w:val="20"/>
              </w:rPr>
            </w:pPr>
            <w:r w:rsidRPr="008E32B1">
              <w:rPr>
                <w:b/>
                <w:bCs/>
                <w:sz w:val="20"/>
                <w:szCs w:val="20"/>
                <w:u w:val="single"/>
              </w:rPr>
              <w:t>Decimals</w:t>
            </w:r>
            <w:r>
              <w:rPr>
                <w:sz w:val="20"/>
                <w:szCs w:val="20"/>
              </w:rPr>
              <w:t>-place value within 1, integers and decimals, rounding decimals, adding and subtracting decimals, multiplying and dividing decimals.</w:t>
            </w:r>
          </w:p>
          <w:p w14:paraId="16FECBC9" w14:textId="2D554C89" w:rsidR="00990709" w:rsidRPr="00E04A32" w:rsidRDefault="00990709" w:rsidP="006E5DBF">
            <w:pPr>
              <w:rPr>
                <w:sz w:val="20"/>
                <w:szCs w:val="20"/>
              </w:rPr>
            </w:pPr>
            <w:r w:rsidRPr="008E32B1">
              <w:rPr>
                <w:b/>
                <w:bCs/>
                <w:sz w:val="20"/>
                <w:szCs w:val="20"/>
                <w:u w:val="single"/>
              </w:rPr>
              <w:t>Fractions, decimals and percentages</w:t>
            </w:r>
            <w:r>
              <w:rPr>
                <w:sz w:val="20"/>
                <w:szCs w:val="20"/>
              </w:rPr>
              <w:t>-</w:t>
            </w:r>
            <w:r w:rsidR="00AE26F2">
              <w:rPr>
                <w:sz w:val="20"/>
                <w:szCs w:val="20"/>
              </w:rPr>
              <w:t>decimal and fraction equivalents, fractions as division, understanding percentages, fractions to percentages, equivalent fractions, decimals and percentages, ordering these and percentages of an amount.</w:t>
            </w:r>
          </w:p>
          <w:p w14:paraId="0D5D1CC6" w14:textId="11493EAB" w:rsidR="00370111" w:rsidRPr="00AE26F2" w:rsidRDefault="00370111" w:rsidP="006E5DBF">
            <w:pPr>
              <w:rPr>
                <w:sz w:val="20"/>
                <w:szCs w:val="20"/>
              </w:rPr>
            </w:pPr>
            <w:r w:rsidRPr="00AE26F2">
              <w:rPr>
                <w:sz w:val="20"/>
                <w:szCs w:val="20"/>
              </w:rPr>
              <w:t xml:space="preserve"> </w:t>
            </w:r>
            <w:r w:rsidR="00AE26F2" w:rsidRPr="00AE26F2">
              <w:rPr>
                <w:sz w:val="20"/>
                <w:szCs w:val="20"/>
              </w:rPr>
              <w:t>Area</w:t>
            </w:r>
            <w:r w:rsidR="00AE26F2">
              <w:rPr>
                <w:sz w:val="20"/>
                <w:szCs w:val="20"/>
              </w:rPr>
              <w:t xml:space="preserve"> and perimeter.</w:t>
            </w:r>
            <w:r w:rsidR="00B06EC2">
              <w:rPr>
                <w:sz w:val="20"/>
                <w:szCs w:val="20"/>
              </w:rPr>
              <w:t xml:space="preserve"> Revisit the four number operations.</w:t>
            </w:r>
          </w:p>
        </w:tc>
      </w:tr>
      <w:tr w:rsidR="000C4FA4" w14:paraId="19B10CB0" w14:textId="77777777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14:paraId="63EBE03E" w14:textId="77777777"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14:paraId="6B06A448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</w:tcBorders>
          </w:tcPr>
          <w:p w14:paraId="78D93E5C" w14:textId="77777777" w:rsidR="000C4FA4" w:rsidRPr="00EF7C96" w:rsidRDefault="00EF7C96" w:rsidP="00651223">
            <w:pPr>
              <w:rPr>
                <w:b/>
              </w:rPr>
            </w:pPr>
            <w:r w:rsidRPr="00EF7C96">
              <w:rPr>
                <w:b/>
                <w:noProof/>
              </w:rPr>
              <w:t xml:space="preserve">                         </w:t>
            </w:r>
          </w:p>
        </w:tc>
        <w:tc>
          <w:tcPr>
            <w:tcW w:w="268" w:type="dxa"/>
          </w:tcPr>
          <w:p w14:paraId="413A5851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14:paraId="765AEFDE" w14:textId="77777777" w:rsidR="000C4FA4" w:rsidRDefault="000C4FA4">
            <w:pPr>
              <w:rPr>
                <w:b/>
                <w:u w:val="single"/>
              </w:rPr>
            </w:pPr>
          </w:p>
        </w:tc>
      </w:tr>
      <w:tr w:rsidR="000C4FA4" w14:paraId="21A6C51E" w14:textId="77777777" w:rsidTr="00970E85">
        <w:trPr>
          <w:trHeight w:val="1969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8408B4A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French</w:t>
            </w:r>
          </w:p>
          <w:p w14:paraId="1F2C5713" w14:textId="5D6CCD1D" w:rsidR="000C4FA4" w:rsidRPr="00E04A32" w:rsidRDefault="00EF7C96" w:rsidP="001E6BE8">
            <w:pPr>
              <w:rPr>
                <w:sz w:val="20"/>
                <w:szCs w:val="20"/>
              </w:rPr>
            </w:pPr>
            <w:r w:rsidRPr="00990709">
              <w:rPr>
                <w:sz w:val="20"/>
                <w:szCs w:val="20"/>
              </w:rPr>
              <w:t>Niveau Blanc- learning numbers to 20, colours,</w:t>
            </w:r>
            <w:r w:rsidR="001E6BE8">
              <w:rPr>
                <w:sz w:val="20"/>
                <w:szCs w:val="20"/>
              </w:rPr>
              <w:t xml:space="preserve"> names of animals, </w:t>
            </w:r>
            <w:r w:rsidRPr="00990709">
              <w:rPr>
                <w:sz w:val="20"/>
                <w:szCs w:val="20"/>
              </w:rPr>
              <w:t xml:space="preserve">short phrases and asking simple questions in French. </w:t>
            </w:r>
          </w:p>
        </w:tc>
        <w:tc>
          <w:tcPr>
            <w:tcW w:w="286" w:type="dxa"/>
            <w:tcBorders>
              <w:left w:val="single" w:sz="4" w:space="0" w:color="000000"/>
            </w:tcBorders>
          </w:tcPr>
          <w:p w14:paraId="0315286E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</w:tcPr>
          <w:p w14:paraId="5DBCC419" w14:textId="77777777" w:rsidR="00651223" w:rsidRDefault="00651223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F7C96">
              <w:rPr>
                <w:b/>
                <w:noProof/>
              </w:rPr>
              <w:drawing>
                <wp:inline distT="0" distB="0" distL="0" distR="0" wp14:anchorId="53746BA6" wp14:editId="3452A62F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BBDF82" w14:textId="77777777" w:rsidR="00651223" w:rsidRDefault="00651223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B7A4257" w14:textId="77777777" w:rsidR="00EF7C96" w:rsidRPr="00E04A32" w:rsidRDefault="00B90C30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4A32">
              <w:rPr>
                <w:b/>
                <w:sz w:val="28"/>
                <w:szCs w:val="28"/>
                <w:u w:val="single"/>
              </w:rPr>
              <w:t xml:space="preserve">Year </w:t>
            </w:r>
            <w:r w:rsidR="00EF7C96" w:rsidRPr="00E04A32">
              <w:rPr>
                <w:b/>
                <w:sz w:val="28"/>
                <w:szCs w:val="28"/>
                <w:u w:val="single"/>
              </w:rPr>
              <w:t xml:space="preserve">6 </w:t>
            </w:r>
          </w:p>
          <w:p w14:paraId="3C4FBB5A" w14:textId="4DC0F234" w:rsidR="000C4FA4" w:rsidRDefault="00CD1565" w:rsidP="00CD1565">
            <w:pPr>
              <w:jc w:val="center"/>
              <w:rPr>
                <w:b/>
                <w:sz w:val="34"/>
                <w:szCs w:val="34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Spring </w:t>
            </w:r>
            <w:r w:rsidR="00B90C30" w:rsidRPr="00E04A32">
              <w:rPr>
                <w:b/>
                <w:sz w:val="28"/>
                <w:szCs w:val="28"/>
                <w:u w:val="single"/>
              </w:rPr>
              <w:t>I 202</w:t>
            </w:r>
            <w:r w:rsidR="00CC7C4B">
              <w:rPr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268" w:type="dxa"/>
            <w:tcBorders>
              <w:right w:val="single" w:sz="4" w:space="0" w:color="000000"/>
            </w:tcBorders>
          </w:tcPr>
          <w:p w14:paraId="59D34AEE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EE6122" w14:textId="77777777" w:rsidR="000C4FA4" w:rsidRPr="00BD76F8" w:rsidRDefault="00B90C30">
            <w:pPr>
              <w:rPr>
                <w:b/>
                <w:sz w:val="20"/>
                <w:u w:val="single"/>
              </w:rPr>
            </w:pPr>
            <w:r w:rsidRPr="00BD76F8">
              <w:rPr>
                <w:b/>
                <w:sz w:val="20"/>
                <w:u w:val="single"/>
              </w:rPr>
              <w:t>RE</w:t>
            </w:r>
          </w:p>
          <w:p w14:paraId="1D0B10F6" w14:textId="77777777" w:rsidR="00EF7C96" w:rsidRDefault="002B03F9" w:rsidP="00235A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Galilee to Jerusalem</w:t>
            </w:r>
            <w:r w:rsidR="00235AB8" w:rsidRPr="008E32B1">
              <w:rPr>
                <w:b/>
                <w:bCs/>
                <w:sz w:val="20"/>
                <w:szCs w:val="20"/>
                <w:u w:val="single"/>
              </w:rPr>
              <w:t>.</w:t>
            </w:r>
            <w:r w:rsidR="00235AB8">
              <w:rPr>
                <w:sz w:val="20"/>
                <w:szCs w:val="20"/>
              </w:rPr>
              <w:t xml:space="preserve"> </w:t>
            </w:r>
          </w:p>
          <w:p w14:paraId="3FAC548A" w14:textId="32485B50" w:rsidR="002B03F9" w:rsidRPr="002B03F9" w:rsidRDefault="002B03F9" w:rsidP="00235AB8">
            <w:pPr>
              <w:rPr>
                <w:sz w:val="20"/>
                <w:szCs w:val="20"/>
              </w:rPr>
            </w:pPr>
            <w:r w:rsidRPr="002B03F9">
              <w:rPr>
                <w:sz w:val="20"/>
                <w:szCs w:val="20"/>
              </w:rPr>
              <w:t>St. John’s Gospel- The Wedding at Cana.</w:t>
            </w:r>
          </w:p>
          <w:p w14:paraId="1CE3DABD" w14:textId="6E79FCAF" w:rsidR="002B03F9" w:rsidRPr="002B03F9" w:rsidRDefault="002B03F9" w:rsidP="00235AB8">
            <w:pPr>
              <w:rPr>
                <w:sz w:val="20"/>
                <w:szCs w:val="20"/>
              </w:rPr>
            </w:pPr>
            <w:r w:rsidRPr="002B03F9">
              <w:rPr>
                <w:sz w:val="20"/>
                <w:szCs w:val="20"/>
              </w:rPr>
              <w:t xml:space="preserve">Jesus’ power of healing. </w:t>
            </w:r>
          </w:p>
          <w:p w14:paraId="58DFAA34" w14:textId="5F216ED9" w:rsidR="002B03F9" w:rsidRPr="002B03F9" w:rsidRDefault="002B03F9" w:rsidP="00235AB8">
            <w:pPr>
              <w:rPr>
                <w:sz w:val="20"/>
                <w:szCs w:val="20"/>
              </w:rPr>
            </w:pPr>
            <w:r w:rsidRPr="002B03F9">
              <w:rPr>
                <w:sz w:val="20"/>
                <w:szCs w:val="20"/>
              </w:rPr>
              <w:t>Jesus’ power over Creation.</w:t>
            </w:r>
          </w:p>
          <w:p w14:paraId="20A65E00" w14:textId="43CDD056" w:rsidR="002B03F9" w:rsidRPr="002B03F9" w:rsidRDefault="002B03F9" w:rsidP="00235AB8">
            <w:pPr>
              <w:rPr>
                <w:sz w:val="20"/>
                <w:szCs w:val="20"/>
              </w:rPr>
            </w:pPr>
            <w:r w:rsidRPr="002B03F9">
              <w:rPr>
                <w:sz w:val="20"/>
                <w:szCs w:val="20"/>
              </w:rPr>
              <w:t>The Raising of Lazarus.</w:t>
            </w:r>
          </w:p>
          <w:p w14:paraId="0BF75CFF" w14:textId="2BB75909" w:rsidR="002B03F9" w:rsidRPr="002B03F9" w:rsidRDefault="002B03F9" w:rsidP="00235AB8">
            <w:pPr>
              <w:rPr>
                <w:sz w:val="20"/>
                <w:szCs w:val="20"/>
              </w:rPr>
            </w:pPr>
            <w:r w:rsidRPr="002B03F9">
              <w:rPr>
                <w:sz w:val="20"/>
                <w:szCs w:val="20"/>
              </w:rPr>
              <w:t>The ‘I AM’ Statements.</w:t>
            </w:r>
          </w:p>
          <w:p w14:paraId="4F022DE0" w14:textId="22E8DA9C" w:rsidR="002B03F9" w:rsidRDefault="002B03F9" w:rsidP="00970E85">
            <w:r w:rsidRPr="002B03F9">
              <w:rPr>
                <w:sz w:val="20"/>
                <w:szCs w:val="20"/>
              </w:rPr>
              <w:t>Jesus’ New Presence.</w:t>
            </w:r>
            <w:bookmarkStart w:id="0" w:name="_GoBack"/>
            <w:bookmarkEnd w:id="0"/>
          </w:p>
        </w:tc>
      </w:tr>
      <w:tr w:rsidR="000C4FA4" w14:paraId="7E14E377" w14:textId="77777777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14:paraId="15E4C21A" w14:textId="77777777"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14:paraId="03F72DC0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bottom w:val="single" w:sz="4" w:space="0" w:color="000000"/>
            </w:tcBorders>
          </w:tcPr>
          <w:p w14:paraId="3CA2CB1C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268" w:type="dxa"/>
          </w:tcPr>
          <w:p w14:paraId="4C56B907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14:paraId="360522CD" w14:textId="77777777" w:rsidR="000C4FA4" w:rsidRDefault="000C4FA4">
            <w:pPr>
              <w:rPr>
                <w:b/>
                <w:u w:val="single"/>
              </w:rPr>
            </w:pPr>
          </w:p>
        </w:tc>
      </w:tr>
      <w:tr w:rsidR="000C4FA4" w14:paraId="3EC4F935" w14:textId="77777777" w:rsidTr="00082B06">
        <w:trPr>
          <w:trHeight w:val="1804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675A00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PE</w:t>
            </w:r>
          </w:p>
          <w:p w14:paraId="51F45896" w14:textId="77777777" w:rsidR="000C4FA4" w:rsidRDefault="00CD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and cricket.</w:t>
            </w:r>
            <w:r w:rsidR="00E04A32" w:rsidRPr="00E04A32">
              <w:rPr>
                <w:sz w:val="20"/>
                <w:szCs w:val="20"/>
              </w:rPr>
              <w:t xml:space="preserve"> The latter is with, ‘City in the Community’. </w:t>
            </w:r>
          </w:p>
          <w:p w14:paraId="25F7613E" w14:textId="77777777" w:rsidR="000C4FA4" w:rsidRPr="00E04A32" w:rsidRDefault="00CD1565" w:rsidP="00CD156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Dance (Lessons 5-8)</w:t>
            </w:r>
            <w:r>
              <w:t xml:space="preserve"> </w:t>
            </w:r>
            <w:r w:rsidR="00F2713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This focuses on Bhangra dance- to develop a dance using actions, dynamics, space and relationships. 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14:paraId="1E5A3D79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F51C68" w14:textId="77777777"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Music</w:t>
            </w:r>
          </w:p>
          <w:p w14:paraId="5C942EBD" w14:textId="55A7EFA3" w:rsidR="00E04A32" w:rsidRPr="009C7D3B" w:rsidRDefault="00E50571" w:rsidP="00B06EC2">
            <w:pPr>
              <w:rPr>
                <w:sz w:val="20"/>
                <w:szCs w:val="20"/>
              </w:rPr>
            </w:pPr>
            <w:r w:rsidRPr="009C7D3B">
              <w:rPr>
                <w:sz w:val="20"/>
                <w:szCs w:val="20"/>
              </w:rPr>
              <w:t xml:space="preserve">Playing and </w:t>
            </w:r>
            <w:r w:rsidR="009C7D3B" w:rsidRPr="009C7D3B">
              <w:rPr>
                <w:sz w:val="20"/>
                <w:szCs w:val="20"/>
              </w:rPr>
              <w:t>p</w:t>
            </w:r>
            <w:r w:rsidRPr="009C7D3B">
              <w:rPr>
                <w:sz w:val="20"/>
                <w:szCs w:val="20"/>
              </w:rPr>
              <w:t>er</w:t>
            </w:r>
            <w:r w:rsidR="009C7D3B" w:rsidRPr="009C7D3B">
              <w:rPr>
                <w:sz w:val="20"/>
                <w:szCs w:val="20"/>
              </w:rPr>
              <w:t>forming using glockenspiels.</w:t>
            </w: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14:paraId="3BD1E8CB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DC8F4E" w14:textId="77777777" w:rsidR="000C4FA4" w:rsidRDefault="00B90C30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>History / Geography</w:t>
            </w:r>
          </w:p>
          <w:p w14:paraId="34748F35" w14:textId="77777777" w:rsidR="002B03F9" w:rsidRDefault="003C3669" w:rsidP="002B03F9">
            <w:pPr>
              <w:rPr>
                <w:b/>
                <w:bCs/>
                <w:sz w:val="20"/>
                <w:szCs w:val="20"/>
                <w:u w:val="single"/>
              </w:rPr>
            </w:pPr>
            <w:r w:rsidRPr="008E32B1">
              <w:rPr>
                <w:b/>
                <w:bCs/>
                <w:sz w:val="20"/>
                <w:szCs w:val="20"/>
                <w:u w:val="single"/>
              </w:rPr>
              <w:t xml:space="preserve">Focus on Rivers and Mountains in a region of </w:t>
            </w:r>
            <w:r w:rsidR="002B03F9">
              <w:rPr>
                <w:b/>
                <w:bCs/>
                <w:sz w:val="20"/>
                <w:szCs w:val="20"/>
                <w:u w:val="single"/>
              </w:rPr>
              <w:t>Europe.</w:t>
            </w:r>
          </w:p>
          <w:p w14:paraId="6E72A230" w14:textId="1DD7FC97" w:rsidR="001A33C3" w:rsidRPr="00970E85" w:rsidRDefault="008E32B1" w:rsidP="002B03F9">
            <w:pPr>
              <w:rPr>
                <w:sz w:val="20"/>
                <w:szCs w:val="20"/>
              </w:rPr>
            </w:pPr>
            <w:r w:rsidRPr="00970E85">
              <w:rPr>
                <w:sz w:val="20"/>
                <w:szCs w:val="20"/>
              </w:rPr>
              <w:t>L</w:t>
            </w:r>
            <w:r w:rsidR="003C3669" w:rsidRPr="00970E85">
              <w:rPr>
                <w:sz w:val="20"/>
                <w:szCs w:val="20"/>
              </w:rPr>
              <w:t>ocating mountains in Europe</w:t>
            </w:r>
            <w:r w:rsidR="002B03F9" w:rsidRPr="00970E85">
              <w:rPr>
                <w:sz w:val="20"/>
                <w:szCs w:val="20"/>
              </w:rPr>
              <w:t>.</w:t>
            </w:r>
            <w:r w:rsidRPr="00970E85">
              <w:rPr>
                <w:sz w:val="20"/>
                <w:szCs w:val="20"/>
              </w:rPr>
              <w:t xml:space="preserve"> Ho</w:t>
            </w:r>
            <w:r w:rsidR="003C3669" w:rsidRPr="00970E85">
              <w:rPr>
                <w:sz w:val="20"/>
                <w:szCs w:val="20"/>
              </w:rPr>
              <w:t>w mountains</w:t>
            </w:r>
            <w:r w:rsidR="002B03F9" w:rsidRPr="00970E85">
              <w:rPr>
                <w:sz w:val="20"/>
                <w:szCs w:val="20"/>
              </w:rPr>
              <w:t xml:space="preserve"> are formed and the features of mountains. </w:t>
            </w:r>
            <w:r w:rsidR="002B03F9" w:rsidRPr="00970E85">
              <w:rPr>
                <w:sz w:val="20"/>
                <w:szCs w:val="20"/>
              </w:rPr>
              <w:t xml:space="preserve">Learning what a biome is and how this influences a mountain region. </w:t>
            </w:r>
            <w:r w:rsidR="002B03F9" w:rsidRPr="00970E85">
              <w:rPr>
                <w:sz w:val="20"/>
                <w:szCs w:val="20"/>
              </w:rPr>
              <w:t xml:space="preserve">How rivers are created and identifying rivers in Europe. </w:t>
            </w:r>
            <w:r w:rsidR="002B03F9" w:rsidRPr="00970E85">
              <w:rPr>
                <w:rFonts w:eastAsia="Times New Roman"/>
                <w:bCs/>
                <w:color w:val="0B0C0C"/>
                <w:sz w:val="20"/>
                <w:szCs w:val="20"/>
              </w:rPr>
              <w:t>Understand geographical similarities and differences of a UK region</w:t>
            </w:r>
            <w:r w:rsidR="002B03F9" w:rsidRPr="00970E85">
              <w:rPr>
                <w:rFonts w:eastAsia="Times New Roman"/>
                <w:bCs/>
                <w:color w:val="0B0C0C"/>
                <w:sz w:val="20"/>
                <w:szCs w:val="20"/>
              </w:rPr>
              <w:t xml:space="preserve"> and a</w:t>
            </w:r>
            <w:r w:rsidR="002B03F9" w:rsidRPr="00970E85">
              <w:rPr>
                <w:rFonts w:eastAsia="Times New Roman"/>
                <w:bCs/>
                <w:color w:val="0B0C0C"/>
                <w:sz w:val="20"/>
                <w:szCs w:val="20"/>
              </w:rPr>
              <w:t xml:space="preserve"> European country</w:t>
            </w:r>
            <w:r w:rsidR="00970E85">
              <w:rPr>
                <w:rFonts w:eastAsia="Times New Roman"/>
                <w:bCs/>
                <w:color w:val="0B0C0C"/>
                <w:sz w:val="20"/>
                <w:szCs w:val="20"/>
              </w:rPr>
              <w:t>.</w:t>
            </w:r>
            <w:r w:rsidRPr="00970E85">
              <w:rPr>
                <w:sz w:val="20"/>
                <w:szCs w:val="20"/>
              </w:rPr>
              <w:t xml:space="preserve"> </w:t>
            </w:r>
          </w:p>
        </w:tc>
      </w:tr>
      <w:tr w:rsidR="000C4FA4" w14:paraId="25300840" w14:textId="77777777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14:paraId="25994424" w14:textId="77777777"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14:paraId="03D7E369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</w:tcBorders>
          </w:tcPr>
          <w:p w14:paraId="0C3BEDD1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268" w:type="dxa"/>
          </w:tcPr>
          <w:p w14:paraId="721F2704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14:paraId="3028B838" w14:textId="77777777" w:rsidR="000C4FA4" w:rsidRPr="001A33C3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C4FA4" w14:paraId="23FBA08A" w14:textId="77777777" w:rsidTr="00082B06">
        <w:trPr>
          <w:trHeight w:val="1232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B932CD" w14:textId="77777777" w:rsidR="000C4FA4" w:rsidRPr="001A33C3" w:rsidRDefault="00B90C30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>PSHE</w:t>
            </w:r>
          </w:p>
          <w:p w14:paraId="38BD1CCE" w14:textId="64BF04D0" w:rsidR="000C4FA4" w:rsidRPr="00E04A32" w:rsidRDefault="00235AB8" w:rsidP="00AE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 changes.</w:t>
            </w:r>
            <w:r w:rsidR="00AE26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Seeing Stuff Online.</w:t>
            </w:r>
            <w:bookmarkStart w:id="1" w:name="_heading=h.gjdgxs" w:colFirst="0" w:colLast="0"/>
            <w:bookmarkEnd w:id="1"/>
            <w:r w:rsidR="00AE26F2">
              <w:rPr>
                <w:sz w:val="20"/>
                <w:szCs w:val="20"/>
              </w:rPr>
              <w:t xml:space="preserve"> Menstruation. Making Babies</w:t>
            </w:r>
            <w:r w:rsidR="003C3669">
              <w:rPr>
                <w:sz w:val="20"/>
                <w:szCs w:val="20"/>
              </w:rPr>
              <w:t>. Hope beyond Death. Coping with Change.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14:paraId="4A06D96F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3D065EC" w14:textId="77777777" w:rsidR="000C4FA4" w:rsidRPr="001A33C3" w:rsidRDefault="00B90C30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 xml:space="preserve">Art / Design &amp; Technology </w:t>
            </w:r>
          </w:p>
          <w:p w14:paraId="6CE2C61B" w14:textId="77777777" w:rsidR="00CD1565" w:rsidRPr="00FF6CAF" w:rsidRDefault="00CD1565" w:rsidP="00CD15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CA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Sculpture</w:t>
            </w:r>
          </w:p>
          <w:p w14:paraId="52D6DC90" w14:textId="77777777" w:rsidR="00CD1565" w:rsidRPr="00FF6CAF" w:rsidRDefault="00CD1565" w:rsidP="00CD15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6C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Sculptor: </w:t>
            </w:r>
            <w:r w:rsidRPr="00FF6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Alberto Giacometti</w:t>
            </w:r>
          </w:p>
          <w:p w14:paraId="17D869BD" w14:textId="77777777" w:rsidR="001A33C3" w:rsidRDefault="00CD1565" w:rsidP="00CD1565">
            <w:r w:rsidRPr="00FF6C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Sculptures of figures and creatures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14:paraId="645D40F0" w14:textId="77777777"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F357D84" w14:textId="77777777" w:rsidR="001A33C3" w:rsidRDefault="00B90C30" w:rsidP="00082B06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>Computing</w:t>
            </w:r>
          </w:p>
          <w:p w14:paraId="689129C0" w14:textId="54199443" w:rsidR="00990709" w:rsidRPr="00990709" w:rsidRDefault="00990709" w:rsidP="00082B06">
            <w:pPr>
              <w:rPr>
                <w:bCs/>
                <w:sz w:val="20"/>
                <w:szCs w:val="20"/>
              </w:rPr>
            </w:pPr>
            <w:r w:rsidRPr="00990709">
              <w:rPr>
                <w:bCs/>
                <w:sz w:val="20"/>
                <w:szCs w:val="20"/>
              </w:rPr>
              <w:t>Introducing variables. Variables in computing. Improving and designing a game.</w:t>
            </w:r>
          </w:p>
        </w:tc>
      </w:tr>
    </w:tbl>
    <w:p w14:paraId="074A964B" w14:textId="77777777" w:rsidR="000C4FA4" w:rsidRDefault="000C4FA4" w:rsidP="00082B06">
      <w:pPr>
        <w:rPr>
          <w:b/>
          <w:u w:val="single"/>
        </w:rPr>
      </w:pPr>
    </w:p>
    <w:sectPr w:rsidR="000C4FA4" w:rsidSect="00AD501E">
      <w:pgSz w:w="16838" w:h="11906" w:orient="landscape"/>
      <w:pgMar w:top="720" w:right="720" w:bottom="284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6DD9"/>
    <w:multiLevelType w:val="hybridMultilevel"/>
    <w:tmpl w:val="BA9EC9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A4"/>
    <w:rsid w:val="00035F68"/>
    <w:rsid w:val="00082B06"/>
    <w:rsid w:val="000C4FA4"/>
    <w:rsid w:val="001A33C3"/>
    <w:rsid w:val="001E6BE8"/>
    <w:rsid w:val="00235AB8"/>
    <w:rsid w:val="002B03F9"/>
    <w:rsid w:val="002B5582"/>
    <w:rsid w:val="00370111"/>
    <w:rsid w:val="00384F91"/>
    <w:rsid w:val="003C3669"/>
    <w:rsid w:val="00651223"/>
    <w:rsid w:val="006E5DBF"/>
    <w:rsid w:val="007C2181"/>
    <w:rsid w:val="008E32B1"/>
    <w:rsid w:val="00970E85"/>
    <w:rsid w:val="00990709"/>
    <w:rsid w:val="009C7D3B"/>
    <w:rsid w:val="00AD501E"/>
    <w:rsid w:val="00AE26F2"/>
    <w:rsid w:val="00B06EC2"/>
    <w:rsid w:val="00B7509F"/>
    <w:rsid w:val="00B90C30"/>
    <w:rsid w:val="00BD76F8"/>
    <w:rsid w:val="00CC7C4B"/>
    <w:rsid w:val="00CD1565"/>
    <w:rsid w:val="00D35855"/>
    <w:rsid w:val="00DC4EA4"/>
    <w:rsid w:val="00E04A32"/>
    <w:rsid w:val="00E50571"/>
    <w:rsid w:val="00EF7C96"/>
    <w:rsid w:val="00F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A49B"/>
  <w15:docId w15:val="{0AF113F7-9078-4980-84D2-2EE2DEF9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D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E32B1"/>
    <w:pPr>
      <w:spacing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B5582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Kitchin</dc:creator>
  <cp:lastModifiedBy>Ms Kitchin</cp:lastModifiedBy>
  <cp:revision>2</cp:revision>
  <dcterms:created xsi:type="dcterms:W3CDTF">2026-01-08T17:45:00Z</dcterms:created>
  <dcterms:modified xsi:type="dcterms:W3CDTF">2026-01-08T17:45:00Z</dcterms:modified>
</cp:coreProperties>
</file>