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6E" w:rsidRDefault="005C2A6E">
      <w:pPr>
        <w:spacing w:line="276" w:lineRule="auto"/>
        <w:rPr>
          <w:b/>
          <w:sz w:val="32"/>
          <w:szCs w:val="32"/>
        </w:rPr>
      </w:pPr>
      <w:bookmarkStart w:id="0" w:name="_GoBack"/>
      <w:bookmarkEnd w:id="0"/>
    </w:p>
    <w:p w:rsidR="005C2A6E" w:rsidRDefault="006108DA">
      <w:pPr>
        <w:jc w:val="center"/>
        <w:rPr>
          <w:sz w:val="52"/>
          <w:szCs w:val="52"/>
        </w:rPr>
      </w:pPr>
      <w:r>
        <w:rPr>
          <w:sz w:val="52"/>
          <w:szCs w:val="52"/>
        </w:rPr>
        <w:t>Alderley Edge Community Primary School Exclusions Policy</w:t>
      </w:r>
    </w:p>
    <w:p w:rsidR="005C2A6E" w:rsidRDefault="005C2A6E">
      <w:pPr>
        <w:jc w:val="center"/>
        <w:rPr>
          <w:sz w:val="52"/>
          <w:szCs w:val="52"/>
        </w:rPr>
      </w:pP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245"/>
      </w:tblGrid>
      <w:tr w:rsidR="005C2A6E">
        <w:trPr>
          <w:trHeight w:val="567"/>
        </w:trPr>
        <w:tc>
          <w:tcPr>
            <w:tcW w:w="3964" w:type="dxa"/>
            <w:vAlign w:val="center"/>
          </w:tcPr>
          <w:p w:rsidR="005C2A6E" w:rsidRDefault="006108DA">
            <w:r>
              <w:rPr>
                <w:b/>
              </w:rPr>
              <w:t>Date of adoption by Governing Board</w:t>
            </w:r>
          </w:p>
        </w:tc>
        <w:tc>
          <w:tcPr>
            <w:tcW w:w="5245" w:type="dxa"/>
            <w:vAlign w:val="center"/>
          </w:tcPr>
          <w:p w:rsidR="005C2A6E" w:rsidRDefault="006108DA">
            <w:pPr>
              <w:rPr>
                <w:sz w:val="22"/>
                <w:szCs w:val="22"/>
              </w:rPr>
            </w:pPr>
            <w:r>
              <w:rPr>
                <w:sz w:val="22"/>
                <w:szCs w:val="22"/>
              </w:rPr>
              <w:t>28/11/24</w:t>
            </w:r>
          </w:p>
        </w:tc>
      </w:tr>
      <w:tr w:rsidR="005C2A6E">
        <w:trPr>
          <w:trHeight w:val="567"/>
        </w:trPr>
        <w:tc>
          <w:tcPr>
            <w:tcW w:w="3964" w:type="dxa"/>
            <w:vAlign w:val="center"/>
          </w:tcPr>
          <w:p w:rsidR="005C2A6E" w:rsidRDefault="006108DA">
            <w:pPr>
              <w:rPr>
                <w:sz w:val="22"/>
                <w:szCs w:val="22"/>
              </w:rPr>
            </w:pPr>
            <w:r>
              <w:rPr>
                <w:b/>
              </w:rPr>
              <w:t>Review cycle</w:t>
            </w:r>
          </w:p>
        </w:tc>
        <w:tc>
          <w:tcPr>
            <w:tcW w:w="5245" w:type="dxa"/>
            <w:vAlign w:val="center"/>
          </w:tcPr>
          <w:p w:rsidR="005C2A6E" w:rsidRDefault="006108DA">
            <w:r>
              <w:t xml:space="preserve">Annual </w:t>
            </w:r>
          </w:p>
        </w:tc>
      </w:tr>
      <w:tr w:rsidR="005C2A6E">
        <w:trPr>
          <w:trHeight w:val="567"/>
        </w:trPr>
        <w:tc>
          <w:tcPr>
            <w:tcW w:w="3964" w:type="dxa"/>
            <w:vAlign w:val="center"/>
          </w:tcPr>
          <w:p w:rsidR="005C2A6E" w:rsidRDefault="006108DA">
            <w:pPr>
              <w:spacing w:after="160"/>
            </w:pPr>
            <w:r>
              <w:rPr>
                <w:b/>
              </w:rPr>
              <w:t>Date of next review</w:t>
            </w:r>
          </w:p>
        </w:tc>
        <w:tc>
          <w:tcPr>
            <w:tcW w:w="5245" w:type="dxa"/>
            <w:vAlign w:val="center"/>
          </w:tcPr>
          <w:p w:rsidR="005C2A6E" w:rsidRDefault="006108DA">
            <w:pPr>
              <w:rPr>
                <w:sz w:val="22"/>
                <w:szCs w:val="22"/>
              </w:rPr>
            </w:pPr>
            <w:r>
              <w:rPr>
                <w:sz w:val="22"/>
                <w:szCs w:val="22"/>
              </w:rPr>
              <w:t>28/11/25</w:t>
            </w:r>
          </w:p>
        </w:tc>
      </w:tr>
    </w:tbl>
    <w:p w:rsidR="005C2A6E" w:rsidRDefault="005C2A6E">
      <w:pPr>
        <w:rPr>
          <w:sz w:val="52"/>
          <w:szCs w:val="5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8515"/>
      </w:tblGrid>
      <w:tr w:rsidR="005C2A6E">
        <w:trPr>
          <w:trHeight w:val="425"/>
        </w:trPr>
        <w:tc>
          <w:tcPr>
            <w:tcW w:w="9010" w:type="dxa"/>
            <w:gridSpan w:val="2"/>
            <w:vAlign w:val="center"/>
          </w:tcPr>
          <w:p w:rsidR="005C2A6E" w:rsidRDefault="006108DA">
            <w:pPr>
              <w:pStyle w:val="Heading1"/>
              <w:spacing w:line="276" w:lineRule="auto"/>
              <w:rPr>
                <w:rFonts w:ascii="Calibri" w:eastAsia="Calibri" w:hAnsi="Calibri" w:cs="Calibri"/>
                <w:color w:val="000000"/>
                <w:sz w:val="22"/>
                <w:szCs w:val="22"/>
              </w:rPr>
            </w:pPr>
            <w:r>
              <w:rPr>
                <w:rFonts w:ascii="Calibri" w:eastAsia="Calibri" w:hAnsi="Calibri" w:cs="Calibri"/>
                <w:color w:val="000000"/>
                <w:sz w:val="22"/>
                <w:szCs w:val="22"/>
              </w:rPr>
              <w:t>Contents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1.</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Aims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2.</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Rationale for Exclusions</w:t>
            </w:r>
          </w:p>
        </w:tc>
      </w:tr>
      <w:tr w:rsidR="005C2A6E">
        <w:trPr>
          <w:trHeight w:val="425"/>
        </w:trPr>
        <w:tc>
          <w:tcPr>
            <w:tcW w:w="495" w:type="dxa"/>
            <w:vAlign w:val="center"/>
          </w:tcPr>
          <w:p w:rsidR="005C2A6E" w:rsidRDefault="006108DA">
            <w:pPr>
              <w:spacing w:line="276" w:lineRule="auto"/>
              <w:jc w:val="right"/>
              <w:rPr>
                <w:color w:val="000000"/>
              </w:rPr>
            </w:pPr>
            <w:r>
              <w:rPr>
                <w:color w:val="000000"/>
                <w:sz w:val="22"/>
                <w:szCs w:val="22"/>
              </w:rPr>
              <w:t>3</w:t>
            </w:r>
            <w:r>
              <w:rPr>
                <w:color w:val="000000"/>
              </w:rPr>
              <w:t>.</w:t>
            </w:r>
          </w:p>
        </w:tc>
        <w:tc>
          <w:tcPr>
            <w:tcW w:w="8515" w:type="dxa"/>
            <w:vAlign w:val="center"/>
          </w:tcPr>
          <w:p w:rsidR="005C2A6E" w:rsidRDefault="006108DA">
            <w:pPr>
              <w:spacing w:line="276" w:lineRule="auto"/>
              <w:rPr>
                <w:color w:val="000000"/>
              </w:rPr>
            </w:pPr>
            <w:r>
              <w:rPr>
                <w:color w:val="000000"/>
                <w:sz w:val="22"/>
                <w:szCs w:val="22"/>
              </w:rPr>
              <w:t>Types of Exclusion</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4.</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Roles and responsibilities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5.</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Monitoring and Evaluation</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6.</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Related policies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7.</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1: AECPS Exclusion Protocol</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 xml:space="preserve">8. </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2: Exclusion process flow once a decision to exclude has been made</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9.</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3: Sample letters</w:t>
            </w:r>
          </w:p>
        </w:tc>
      </w:tr>
      <w:tr w:rsidR="005C2A6E">
        <w:trPr>
          <w:trHeight w:val="425"/>
        </w:trPr>
        <w:tc>
          <w:tcPr>
            <w:tcW w:w="495" w:type="dxa"/>
            <w:vAlign w:val="center"/>
          </w:tcPr>
          <w:p w:rsidR="005C2A6E" w:rsidRDefault="006108DA">
            <w:pPr>
              <w:pStyle w:val="Heading1"/>
              <w:spacing w:line="276" w:lineRule="auto"/>
              <w:jc w:val="right"/>
              <w:rPr>
                <w:rFonts w:ascii="Calibri" w:eastAsia="Calibri" w:hAnsi="Calibri" w:cs="Calibri"/>
                <w:b w:val="0"/>
                <w:color w:val="000000"/>
                <w:sz w:val="22"/>
                <w:szCs w:val="22"/>
              </w:rPr>
            </w:pPr>
            <w:r>
              <w:rPr>
                <w:rFonts w:ascii="Calibri" w:eastAsia="Calibri" w:hAnsi="Calibri" w:cs="Calibri"/>
                <w:b w:val="0"/>
                <w:color w:val="000000"/>
                <w:sz w:val="22"/>
                <w:szCs w:val="22"/>
              </w:rPr>
              <w:t>10.</w:t>
            </w:r>
          </w:p>
        </w:tc>
        <w:tc>
          <w:tcPr>
            <w:tcW w:w="8515" w:type="dxa"/>
            <w:vAlign w:val="center"/>
          </w:tcPr>
          <w:p w:rsidR="005C2A6E" w:rsidRDefault="006108DA">
            <w:pPr>
              <w:pStyle w:val="Heading1"/>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Appendix 4: Useful links</w:t>
            </w:r>
          </w:p>
        </w:tc>
      </w:tr>
    </w:tbl>
    <w:p w:rsidR="005C2A6E" w:rsidRDefault="005C2A6E">
      <w:pPr>
        <w:rPr>
          <w:b/>
          <w:sz w:val="32"/>
          <w:szCs w:val="32"/>
        </w:rPr>
      </w:pPr>
    </w:p>
    <w:p w:rsidR="005C2A6E" w:rsidRDefault="006108DA">
      <w:pPr>
        <w:rPr>
          <w:b/>
          <w:sz w:val="32"/>
          <w:szCs w:val="32"/>
        </w:rPr>
      </w:pPr>
      <w:r>
        <w:br w:type="page"/>
      </w:r>
    </w:p>
    <w:p w:rsidR="005C2A6E" w:rsidRDefault="005C2A6E">
      <w:pPr>
        <w:rPr>
          <w:b/>
          <w:sz w:val="32"/>
          <w:szCs w:val="32"/>
        </w:rPr>
      </w:pPr>
    </w:p>
    <w:p w:rsidR="005C2A6E" w:rsidRDefault="006108DA">
      <w:pPr>
        <w:spacing w:line="276" w:lineRule="auto"/>
        <w:rPr>
          <w:b/>
          <w:sz w:val="32"/>
          <w:szCs w:val="32"/>
        </w:rPr>
      </w:pPr>
      <w:r>
        <w:rPr>
          <w:b/>
          <w:sz w:val="32"/>
          <w:szCs w:val="32"/>
        </w:rPr>
        <w:t xml:space="preserve">Alderley Edge Community Primary School Exclusion of Pupils Policy </w:t>
      </w:r>
    </w:p>
    <w:p w:rsidR="005C2A6E" w:rsidRDefault="005C2A6E">
      <w:pPr>
        <w:spacing w:line="276" w:lineRule="auto"/>
      </w:pPr>
    </w:p>
    <w:p w:rsidR="005C2A6E" w:rsidRDefault="006108DA">
      <w:pPr>
        <w:numPr>
          <w:ilvl w:val="0"/>
          <w:numId w:val="13"/>
        </w:numPr>
        <w:pBdr>
          <w:top w:val="nil"/>
          <w:left w:val="nil"/>
          <w:bottom w:val="nil"/>
          <w:right w:val="nil"/>
          <w:between w:val="nil"/>
        </w:pBdr>
        <w:spacing w:line="276" w:lineRule="auto"/>
        <w:rPr>
          <w:b/>
          <w:color w:val="000000"/>
          <w:sz w:val="32"/>
          <w:szCs w:val="32"/>
        </w:rPr>
      </w:pPr>
      <w:r>
        <w:rPr>
          <w:b/>
          <w:color w:val="000000"/>
          <w:sz w:val="32"/>
          <w:szCs w:val="32"/>
        </w:rPr>
        <w:t xml:space="preserve">Aims </w:t>
      </w:r>
    </w:p>
    <w:p w:rsidR="005C2A6E" w:rsidRDefault="006108DA">
      <w:pPr>
        <w:spacing w:line="276" w:lineRule="auto"/>
      </w:pPr>
      <w:r>
        <w:t xml:space="preserve">The Governors of Alderley Edge Community Primary School are committed to ensuring the safety and well-being of all members of its school community and maintaining an educational environment in which all can succeed. Exclusion is viewed as a very extreme sanction to be used when all other available strategies have been exhausted or where there are exceptional circumstances and it is not appropriate to implement other strategies. Our school’s Positive </w:t>
      </w:r>
      <w:sdt>
        <w:sdtPr>
          <w:tag w:val="goog_rdk_0"/>
          <w:id w:val="-243957929"/>
        </w:sdtPr>
        <w:sdtEndPr/>
        <w:sdtContent>
          <w:r>
            <w:t>B</w:t>
          </w:r>
        </w:sdtContent>
      </w:sdt>
      <w:r>
        <w:t xml:space="preserve">ehaviour </w:t>
      </w:r>
      <w:sdt>
        <w:sdtPr>
          <w:tag w:val="goog_rdk_2"/>
          <w:id w:val="795796643"/>
        </w:sdtPr>
        <w:sdtEndPr/>
        <w:sdtContent>
          <w:r>
            <w:t>M</w:t>
          </w:r>
        </w:sdtContent>
      </w:sdt>
      <w:r>
        <w:t>anagement policy details our expectations of pupil behaviour and our whole school approach to behaviour management.</w:t>
      </w:r>
    </w:p>
    <w:p w:rsidR="005C2A6E" w:rsidRDefault="005C2A6E">
      <w:pPr>
        <w:spacing w:line="276" w:lineRule="auto"/>
      </w:pPr>
    </w:p>
    <w:p w:rsidR="005C2A6E" w:rsidRDefault="006108DA">
      <w:pPr>
        <w:spacing w:line="276" w:lineRule="auto"/>
      </w:pPr>
      <w:r>
        <w:t>Our objectives for this exclusions policy are as follows:</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be well publicised (via the website) and easily accessible</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be fair and balanced</w:t>
      </w:r>
    </w:p>
    <w:p w:rsidR="005C2A6E" w:rsidRDefault="006108DA">
      <w:pPr>
        <w:numPr>
          <w:ilvl w:val="0"/>
          <w:numId w:val="8"/>
        </w:numPr>
        <w:pBdr>
          <w:top w:val="nil"/>
          <w:left w:val="nil"/>
          <w:bottom w:val="nil"/>
          <w:right w:val="nil"/>
          <w:between w:val="nil"/>
        </w:pBdr>
        <w:spacing w:line="276" w:lineRule="auto"/>
        <w:rPr>
          <w:color w:val="000000"/>
        </w:rPr>
      </w:pPr>
      <w:r>
        <w:rPr>
          <w:color w:val="000000"/>
        </w:rPr>
        <w:t xml:space="preserve">To be used when all other avenues have been explored </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ensure a fair investigation</w:t>
      </w:r>
    </w:p>
    <w:p w:rsidR="005C2A6E" w:rsidRDefault="006108DA">
      <w:pPr>
        <w:numPr>
          <w:ilvl w:val="0"/>
          <w:numId w:val="8"/>
        </w:numPr>
        <w:pBdr>
          <w:top w:val="nil"/>
          <w:left w:val="nil"/>
          <w:bottom w:val="nil"/>
          <w:right w:val="nil"/>
          <w:between w:val="nil"/>
        </w:pBdr>
        <w:spacing w:line="276" w:lineRule="auto"/>
        <w:rPr>
          <w:color w:val="000000"/>
        </w:rPr>
      </w:pPr>
      <w:r>
        <w:rPr>
          <w:color w:val="000000"/>
        </w:rPr>
        <w:t>To allow for an appeal where appropriate/required</w:t>
      </w:r>
    </w:p>
    <w:p w:rsidR="005C2A6E" w:rsidRDefault="005C2A6E">
      <w:pPr>
        <w:spacing w:line="276" w:lineRule="auto"/>
      </w:pPr>
    </w:p>
    <w:p w:rsidR="005C2A6E" w:rsidRDefault="006108DA">
      <w:pPr>
        <w:numPr>
          <w:ilvl w:val="0"/>
          <w:numId w:val="13"/>
        </w:numPr>
        <w:pBdr>
          <w:top w:val="nil"/>
          <w:left w:val="nil"/>
          <w:bottom w:val="nil"/>
          <w:right w:val="nil"/>
          <w:between w:val="nil"/>
        </w:pBdr>
        <w:spacing w:after="120" w:line="276" w:lineRule="auto"/>
        <w:rPr>
          <w:b/>
          <w:color w:val="000000"/>
          <w:sz w:val="32"/>
          <w:szCs w:val="32"/>
        </w:rPr>
      </w:pPr>
      <w:r>
        <w:rPr>
          <w:b/>
          <w:color w:val="000000"/>
          <w:sz w:val="32"/>
          <w:szCs w:val="32"/>
        </w:rPr>
        <w:t>Rationale for exclusion</w:t>
      </w:r>
    </w:p>
    <w:p w:rsidR="005C2A6E" w:rsidRDefault="006108DA">
      <w:pPr>
        <w:spacing w:line="276" w:lineRule="auto"/>
      </w:pPr>
      <w:r>
        <w:t xml:space="preserve">Exclusion is an extreme sanction that is only administered by the Head Teacher. Exclusion, whether fixed term or permanent may be used for serious or persistent breaches of the school’s rules. Examples of breaches include, but are not limited, to the following: </w:t>
      </w:r>
    </w:p>
    <w:p w:rsidR="005C2A6E" w:rsidRDefault="005C2A6E">
      <w:pPr>
        <w:spacing w:line="276" w:lineRule="auto"/>
        <w:sectPr w:rsidR="005C2A6E">
          <w:headerReference w:type="default" r:id="rId8"/>
          <w:footerReference w:type="default" r:id="rId9"/>
          <w:pgSz w:w="11900" w:h="16840"/>
          <w:pgMar w:top="1440" w:right="1440" w:bottom="1440" w:left="1440" w:header="708" w:footer="708" w:gutter="0"/>
          <w:pgNumType w:start="1"/>
          <w:cols w:space="720"/>
        </w:sectPr>
      </w:pPr>
    </w:p>
    <w:p w:rsidR="005C2A6E" w:rsidRDefault="006108DA">
      <w:pPr>
        <w:numPr>
          <w:ilvl w:val="0"/>
          <w:numId w:val="2"/>
        </w:numPr>
        <w:pBdr>
          <w:top w:val="nil"/>
          <w:left w:val="nil"/>
          <w:bottom w:val="nil"/>
          <w:right w:val="nil"/>
          <w:between w:val="nil"/>
        </w:pBdr>
        <w:spacing w:line="276" w:lineRule="auto"/>
        <w:rPr>
          <w:color w:val="000000"/>
        </w:rPr>
      </w:pPr>
      <w:r>
        <w:rPr>
          <w:color w:val="000000"/>
        </w:rPr>
        <w:t>Bullying including cyber bullying / improper use of social media</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Actions which put the child or others in danger </w:t>
      </w:r>
    </w:p>
    <w:p w:rsidR="005C2A6E" w:rsidRDefault="006108DA">
      <w:pPr>
        <w:numPr>
          <w:ilvl w:val="0"/>
          <w:numId w:val="2"/>
        </w:numPr>
        <w:pBdr>
          <w:top w:val="nil"/>
          <w:left w:val="nil"/>
          <w:bottom w:val="nil"/>
          <w:right w:val="nil"/>
          <w:between w:val="nil"/>
        </w:pBdr>
        <w:spacing w:line="276" w:lineRule="auto"/>
        <w:rPr>
          <w:color w:val="000000"/>
        </w:rPr>
      </w:pPr>
      <w:r>
        <w:rPr>
          <w:color w:val="000000"/>
        </w:rPr>
        <w:t>Verbal abuse of staff or child</w:t>
      </w:r>
    </w:p>
    <w:p w:rsidR="005C2A6E" w:rsidRDefault="006108DA">
      <w:pPr>
        <w:numPr>
          <w:ilvl w:val="0"/>
          <w:numId w:val="2"/>
        </w:numPr>
        <w:pBdr>
          <w:top w:val="nil"/>
          <w:left w:val="nil"/>
          <w:bottom w:val="nil"/>
          <w:right w:val="nil"/>
          <w:between w:val="nil"/>
        </w:pBdr>
        <w:spacing w:line="276" w:lineRule="auto"/>
        <w:rPr>
          <w:color w:val="000000"/>
        </w:rPr>
      </w:pPr>
      <w:r>
        <w:rPr>
          <w:color w:val="000000"/>
        </w:rPr>
        <w:t>Physical abuse of staff or child</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Inappropriate sexual behaviour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Damage to property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Theft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Carrying an offensive weapon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Arson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Disruptive or defiant behaviour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Unacceptable behaviour which has previously been reported for which interventions have been unsuccessful </w:t>
      </w:r>
    </w:p>
    <w:p w:rsidR="005C2A6E" w:rsidRDefault="006108DA">
      <w:pPr>
        <w:numPr>
          <w:ilvl w:val="0"/>
          <w:numId w:val="2"/>
        </w:numPr>
        <w:pBdr>
          <w:top w:val="nil"/>
          <w:left w:val="nil"/>
          <w:bottom w:val="nil"/>
          <w:right w:val="nil"/>
          <w:between w:val="nil"/>
        </w:pBdr>
        <w:spacing w:line="276" w:lineRule="auto"/>
        <w:rPr>
          <w:color w:val="000000"/>
        </w:rPr>
      </w:pPr>
      <w:r>
        <w:rPr>
          <w:color w:val="000000"/>
        </w:rPr>
        <w:t xml:space="preserve">Assault </w:t>
      </w:r>
    </w:p>
    <w:p w:rsidR="005C2A6E" w:rsidRDefault="006108DA">
      <w:pPr>
        <w:numPr>
          <w:ilvl w:val="0"/>
          <w:numId w:val="2"/>
        </w:numPr>
        <w:pBdr>
          <w:top w:val="nil"/>
          <w:left w:val="nil"/>
          <w:bottom w:val="nil"/>
          <w:right w:val="nil"/>
          <w:between w:val="nil"/>
        </w:pBdr>
        <w:spacing w:line="276" w:lineRule="auto"/>
        <w:rPr>
          <w:color w:val="000000"/>
        </w:rPr>
      </w:pPr>
      <w:r>
        <w:rPr>
          <w:color w:val="000000"/>
        </w:rPr>
        <w:t>Possession of or under the influence of illegal substances</w:t>
      </w:r>
    </w:p>
    <w:p w:rsidR="005C2A6E" w:rsidRDefault="006108DA">
      <w:pPr>
        <w:numPr>
          <w:ilvl w:val="0"/>
          <w:numId w:val="2"/>
        </w:numPr>
        <w:pBdr>
          <w:top w:val="nil"/>
          <w:left w:val="nil"/>
          <w:bottom w:val="nil"/>
          <w:right w:val="nil"/>
          <w:between w:val="nil"/>
        </w:pBdr>
        <w:spacing w:line="276" w:lineRule="auto"/>
        <w:rPr>
          <w:color w:val="000000"/>
        </w:rPr>
        <w:sectPr w:rsidR="005C2A6E">
          <w:type w:val="continuous"/>
          <w:pgSz w:w="11900" w:h="16840"/>
          <w:pgMar w:top="1440" w:right="1440" w:bottom="1440" w:left="1440" w:header="708" w:footer="708" w:gutter="0"/>
          <w:cols w:num="2" w:space="720" w:equalWidth="0">
            <w:col w:w="4156" w:space="708"/>
            <w:col w:w="4156" w:space="0"/>
          </w:cols>
        </w:sectPr>
      </w:pPr>
      <w:r>
        <w:rPr>
          <w:color w:val="000000"/>
        </w:rPr>
        <w:t xml:space="preserve">Other situations where the Headteacher makes the judgement that exclusion is an appropriate sanction </w:t>
      </w:r>
    </w:p>
    <w:p w:rsidR="005C2A6E" w:rsidRDefault="005C2A6E">
      <w:pPr>
        <w:spacing w:line="276" w:lineRule="auto"/>
      </w:pPr>
    </w:p>
    <w:p w:rsidR="005C2A6E" w:rsidRDefault="006108DA">
      <w:pPr>
        <w:spacing w:line="276" w:lineRule="auto"/>
      </w:pPr>
      <w:r>
        <w:t xml:space="preserve">The school may apply a sanction (including fixed period or permanent exclusion) for poor behaviour away from the school premises which is either witnessed by a member of staff (for example on a school related activity) or reported to the school and is proven to be accurate. </w:t>
      </w:r>
    </w:p>
    <w:p w:rsidR="005C2A6E" w:rsidRDefault="005C2A6E">
      <w:pPr>
        <w:spacing w:line="276" w:lineRule="auto"/>
      </w:pPr>
    </w:p>
    <w:p w:rsidR="005C2A6E" w:rsidRDefault="006108DA">
      <w:pPr>
        <w:spacing w:line="276" w:lineRule="auto"/>
      </w:pPr>
      <w:r>
        <w:t>‘Informal’ or ‘unofficial’ exclusions, such as sending a pupil home ‘to cool off’, are unlawful, regardless of whether they occur with the agreement of parents or carers. Any exclusion of a pupil, even for short periods of time, must be formally recorded.</w:t>
      </w:r>
    </w:p>
    <w:p w:rsidR="005C2A6E" w:rsidRDefault="005C2A6E">
      <w:pPr>
        <w:spacing w:line="276" w:lineRule="auto"/>
        <w:rPr>
          <w:b/>
        </w:rPr>
      </w:pPr>
    </w:p>
    <w:p w:rsidR="005C2A6E" w:rsidRDefault="006108DA">
      <w:pPr>
        <w:spacing w:after="120" w:line="276" w:lineRule="auto"/>
        <w:rPr>
          <w:b/>
          <w:color w:val="000000"/>
        </w:rPr>
      </w:pPr>
      <w:r>
        <w:rPr>
          <w:b/>
          <w:color w:val="000000"/>
        </w:rPr>
        <w:t>Children with Special Educational Needs</w:t>
      </w:r>
    </w:p>
    <w:p w:rsidR="005C2A6E" w:rsidRDefault="006108DA">
      <w:pPr>
        <w:shd w:val="clear" w:color="auto" w:fill="FFFFFF"/>
        <w:spacing w:after="280" w:line="276" w:lineRule="auto"/>
        <w:rPr>
          <w:color w:val="000000"/>
        </w:rPr>
      </w:pPr>
      <w:r>
        <w:rPr>
          <w:color w:val="000000"/>
        </w:rPr>
        <w:t>Alderley Edge Community Primary School will take account of any special educational needs when considering whether or not to exclude a pupil and will take reasonable steps to ensure that a pupil is not treated less favourably for reasons related to their disability. Reasonable steps include:</w:t>
      </w:r>
    </w:p>
    <w:p w:rsidR="005C2A6E" w:rsidRDefault="006108DA">
      <w:pPr>
        <w:numPr>
          <w:ilvl w:val="0"/>
          <w:numId w:val="7"/>
        </w:numPr>
        <w:shd w:val="clear" w:color="auto" w:fill="FFFFFF"/>
        <w:spacing w:before="280" w:line="276" w:lineRule="auto"/>
        <w:rPr>
          <w:color w:val="000000"/>
        </w:rPr>
      </w:pPr>
      <w:r>
        <w:rPr>
          <w:color w:val="000000"/>
        </w:rPr>
        <w:t>Adaption in the school’s behaviour policy</w:t>
      </w:r>
    </w:p>
    <w:p w:rsidR="005C2A6E" w:rsidRDefault="006108DA">
      <w:pPr>
        <w:numPr>
          <w:ilvl w:val="0"/>
          <w:numId w:val="7"/>
        </w:numPr>
        <w:shd w:val="clear" w:color="auto" w:fill="FFFFFF"/>
        <w:spacing w:line="276" w:lineRule="auto"/>
        <w:rPr>
          <w:color w:val="000000"/>
        </w:rPr>
      </w:pPr>
      <w:r>
        <w:rPr>
          <w:color w:val="000000"/>
        </w:rPr>
        <w:t>Developing strategies to prevent the pupil’s behaviour</w:t>
      </w:r>
    </w:p>
    <w:p w:rsidR="005C2A6E" w:rsidRDefault="006108DA">
      <w:pPr>
        <w:numPr>
          <w:ilvl w:val="0"/>
          <w:numId w:val="7"/>
        </w:numPr>
        <w:shd w:val="clear" w:color="auto" w:fill="FFFFFF"/>
        <w:spacing w:line="276" w:lineRule="auto"/>
        <w:rPr>
          <w:color w:val="000000"/>
        </w:rPr>
      </w:pPr>
      <w:r>
        <w:rPr>
          <w:color w:val="000000"/>
        </w:rPr>
        <w:t>Requesting external help with the pupil</w:t>
      </w:r>
    </w:p>
    <w:p w:rsidR="005C2A6E" w:rsidRDefault="006108DA">
      <w:pPr>
        <w:numPr>
          <w:ilvl w:val="0"/>
          <w:numId w:val="7"/>
        </w:numPr>
        <w:shd w:val="clear" w:color="auto" w:fill="FFFFFF"/>
        <w:spacing w:after="280" w:line="276" w:lineRule="auto"/>
        <w:rPr>
          <w:color w:val="000000"/>
        </w:rPr>
      </w:pPr>
      <w:r>
        <w:rPr>
          <w:color w:val="000000"/>
        </w:rPr>
        <w:t>Staff training</w:t>
      </w:r>
    </w:p>
    <w:p w:rsidR="005C2A6E" w:rsidRDefault="006108DA">
      <w:pPr>
        <w:numPr>
          <w:ilvl w:val="0"/>
          <w:numId w:val="13"/>
        </w:numPr>
        <w:pBdr>
          <w:top w:val="nil"/>
          <w:left w:val="nil"/>
          <w:bottom w:val="nil"/>
          <w:right w:val="nil"/>
          <w:between w:val="nil"/>
        </w:pBdr>
        <w:rPr>
          <w:b/>
          <w:color w:val="000000"/>
          <w:sz w:val="32"/>
          <w:szCs w:val="32"/>
        </w:rPr>
      </w:pPr>
      <w:r>
        <w:rPr>
          <w:b/>
          <w:color w:val="000000"/>
          <w:sz w:val="32"/>
          <w:szCs w:val="32"/>
        </w:rPr>
        <w:t xml:space="preserve">Types of Exclusion </w:t>
      </w:r>
    </w:p>
    <w:p w:rsidR="005C2A6E" w:rsidRDefault="005C2A6E"/>
    <w:p w:rsidR="005C2A6E" w:rsidRDefault="006108DA">
      <w:r>
        <w:t xml:space="preserve">There are two types of exclusion: </w:t>
      </w:r>
    </w:p>
    <w:p w:rsidR="005C2A6E" w:rsidRDefault="005C2A6E"/>
    <w:p w:rsidR="005C2A6E" w:rsidRDefault="006108DA">
      <w:pPr>
        <w:rPr>
          <w:b/>
        </w:rPr>
      </w:pPr>
      <w:r>
        <w:rPr>
          <w:b/>
        </w:rPr>
        <w:t xml:space="preserve">A. Fixed Period Exclusion </w:t>
      </w:r>
    </w:p>
    <w:p w:rsidR="005C2A6E" w:rsidRDefault="005C2A6E"/>
    <w:p w:rsidR="005C2A6E" w:rsidRDefault="006108DA">
      <w:pPr>
        <w:spacing w:line="276" w:lineRule="auto"/>
      </w:pPr>
      <w:r>
        <w:t xml:space="preserve">Fixed Period Exclusions are limited to a maximum of 45 school days in any one year. The length of the exclusion will be determined by the headteacher depending upon the severity of the offence. The first exclusion will usually last between half of one day up to 5 days. In exceptional cases, usually where further evidence has come to light, a further fixed-period exclusion may be issued to begin immediately after the first period ends; or a permanent exclusion may be issued to begin immediately after the end of the fixed period. </w:t>
      </w:r>
    </w:p>
    <w:p w:rsidR="005C2A6E" w:rsidRDefault="005C2A6E">
      <w:pPr>
        <w:spacing w:line="276" w:lineRule="auto"/>
      </w:pPr>
    </w:p>
    <w:p w:rsidR="005C2A6E" w:rsidRDefault="006108DA">
      <w:pPr>
        <w:numPr>
          <w:ilvl w:val="0"/>
          <w:numId w:val="11"/>
        </w:numPr>
        <w:pBdr>
          <w:top w:val="nil"/>
          <w:left w:val="nil"/>
          <w:bottom w:val="nil"/>
          <w:right w:val="nil"/>
          <w:between w:val="nil"/>
        </w:pBdr>
        <w:spacing w:line="276" w:lineRule="auto"/>
        <w:rPr>
          <w:b/>
          <w:color w:val="000000"/>
          <w:u w:val="single"/>
        </w:rPr>
      </w:pPr>
      <w:r>
        <w:rPr>
          <w:b/>
          <w:color w:val="000000"/>
          <w:u w:val="single"/>
        </w:rPr>
        <w:t xml:space="preserve">Procedure for Fixed Period Exclusion* </w:t>
      </w:r>
    </w:p>
    <w:p w:rsidR="005C2A6E" w:rsidRDefault="005C2A6E">
      <w:pPr>
        <w:spacing w:line="276" w:lineRule="auto"/>
        <w:rPr>
          <w:b/>
        </w:rPr>
      </w:pPr>
    </w:p>
    <w:p w:rsidR="005C2A6E" w:rsidRDefault="006108DA">
      <w:pPr>
        <w:numPr>
          <w:ilvl w:val="0"/>
          <w:numId w:val="5"/>
        </w:numPr>
        <w:pBdr>
          <w:top w:val="nil"/>
          <w:left w:val="nil"/>
          <w:bottom w:val="nil"/>
          <w:right w:val="nil"/>
          <w:between w:val="nil"/>
        </w:pBdr>
        <w:spacing w:line="276" w:lineRule="auto"/>
        <w:rPr>
          <w:color w:val="000000"/>
        </w:rPr>
      </w:pPr>
      <w:r>
        <w:rPr>
          <w:color w:val="000000"/>
        </w:rPr>
        <w:t xml:space="preserve">On the day of the offence, the child’s parents/carers will be informed of the exclusion, its length and the specific reason for it. This will be communicated by letter and, if possible, by talking to the parents/carers. Parents/carers will also be informed in writing that they have rights to make representations to the governing body and Cheshire East Council Local Authority (CEC) </w:t>
      </w:r>
    </w:p>
    <w:p w:rsidR="005C2A6E" w:rsidRDefault="005C2A6E">
      <w:pPr>
        <w:pBdr>
          <w:top w:val="nil"/>
          <w:left w:val="nil"/>
          <w:bottom w:val="nil"/>
          <w:right w:val="nil"/>
          <w:between w:val="nil"/>
        </w:pBdr>
        <w:spacing w:line="276" w:lineRule="auto"/>
        <w:ind w:left="720"/>
        <w:rPr>
          <w:color w:val="000000"/>
        </w:rPr>
      </w:pPr>
    </w:p>
    <w:p w:rsidR="005C2A6E" w:rsidRDefault="006108DA">
      <w:pPr>
        <w:numPr>
          <w:ilvl w:val="0"/>
          <w:numId w:val="5"/>
        </w:numPr>
        <w:pBdr>
          <w:top w:val="nil"/>
          <w:left w:val="nil"/>
          <w:bottom w:val="nil"/>
          <w:right w:val="nil"/>
          <w:between w:val="nil"/>
        </w:pBdr>
        <w:spacing w:line="276" w:lineRule="auto"/>
        <w:rPr>
          <w:color w:val="000000"/>
        </w:rPr>
      </w:pPr>
      <w:r>
        <w:rPr>
          <w:color w:val="000000"/>
        </w:rPr>
        <w:t xml:space="preserve">The head teacher will inform the school’s governing body and CEC immediately where the total exclusions in the current term for that pupil will exceed 5 days, or where a public examination or national curriculum test will be missed. </w:t>
      </w:r>
    </w:p>
    <w:p w:rsidR="005C2A6E" w:rsidRDefault="005C2A6E">
      <w:pPr>
        <w:pBdr>
          <w:top w:val="nil"/>
          <w:left w:val="nil"/>
          <w:bottom w:val="nil"/>
          <w:right w:val="nil"/>
          <w:between w:val="nil"/>
        </w:pBdr>
        <w:spacing w:line="276" w:lineRule="auto"/>
        <w:ind w:left="720"/>
        <w:rPr>
          <w:color w:val="000000"/>
        </w:rPr>
      </w:pPr>
    </w:p>
    <w:p w:rsidR="005C2A6E" w:rsidRDefault="006108DA">
      <w:pPr>
        <w:pBdr>
          <w:top w:val="nil"/>
          <w:left w:val="nil"/>
          <w:bottom w:val="nil"/>
          <w:right w:val="nil"/>
          <w:between w:val="nil"/>
        </w:pBdr>
        <w:spacing w:line="276" w:lineRule="auto"/>
        <w:ind w:left="720"/>
        <w:rPr>
          <w:color w:val="000000"/>
        </w:rPr>
      </w:pPr>
      <w:r>
        <w:rPr>
          <w:color w:val="000000"/>
        </w:rPr>
        <w:lastRenderedPageBreak/>
        <w:t xml:space="preserve">All shorter exclusions will be reported to the school governing body and CEC once per term. If the total exclusions in the current term for that pupil exceed 15 days, the school’s governing body will convene an exclusions committee to consider the reinstatement of the excluded pupil within 15 days of receiving the notification. Parents/Carers, and a local authority representative will be invited to make representations at the meeting. </w:t>
      </w:r>
    </w:p>
    <w:p w:rsidR="005C2A6E" w:rsidRDefault="005C2A6E">
      <w:pPr>
        <w:pBdr>
          <w:top w:val="nil"/>
          <w:left w:val="nil"/>
          <w:bottom w:val="nil"/>
          <w:right w:val="nil"/>
          <w:between w:val="nil"/>
        </w:pBdr>
        <w:spacing w:line="276" w:lineRule="auto"/>
        <w:ind w:left="720"/>
        <w:rPr>
          <w:color w:val="000000"/>
        </w:rPr>
      </w:pPr>
    </w:p>
    <w:p w:rsidR="005C2A6E" w:rsidRDefault="006108DA">
      <w:pPr>
        <w:numPr>
          <w:ilvl w:val="0"/>
          <w:numId w:val="5"/>
        </w:numPr>
        <w:pBdr>
          <w:top w:val="nil"/>
          <w:left w:val="nil"/>
          <w:bottom w:val="nil"/>
          <w:right w:val="nil"/>
          <w:between w:val="nil"/>
        </w:pBdr>
        <w:spacing w:line="276" w:lineRule="auto"/>
        <w:rPr>
          <w:color w:val="000000"/>
        </w:rPr>
      </w:pPr>
      <w:r>
        <w:rPr>
          <w:color w:val="000000"/>
        </w:rPr>
        <w:t xml:space="preserve">The head teacher will </w:t>
      </w:r>
      <w:proofErr w:type="gramStart"/>
      <w:r>
        <w:rPr>
          <w:color w:val="000000"/>
        </w:rPr>
        <w:t>make arrangements</w:t>
      </w:r>
      <w:proofErr w:type="gramEnd"/>
      <w:r>
        <w:rPr>
          <w:color w:val="000000"/>
        </w:rPr>
        <w:t xml:space="preserve"> for the excluded child to receive schoolwork to do at home until he/she returns to school up to the fifth day. If the exclusion is for more than 5 days, the school must </w:t>
      </w:r>
      <w:proofErr w:type="gramStart"/>
      <w:r>
        <w:rPr>
          <w:color w:val="000000"/>
        </w:rPr>
        <w:t>make arrangements</w:t>
      </w:r>
      <w:proofErr w:type="gramEnd"/>
      <w:r>
        <w:rPr>
          <w:color w:val="000000"/>
        </w:rPr>
        <w:t xml:space="preserve"> for full-time education somewhere else from the sixth day.</w:t>
      </w:r>
    </w:p>
    <w:p w:rsidR="005C2A6E" w:rsidRDefault="005C2A6E"/>
    <w:p w:rsidR="005C2A6E" w:rsidRDefault="006108DA">
      <w:pPr>
        <w:rPr>
          <w:b/>
        </w:rPr>
      </w:pPr>
      <w:r>
        <w:rPr>
          <w:b/>
        </w:rPr>
        <w:t xml:space="preserve">B. Permanent Exclusion </w:t>
      </w:r>
    </w:p>
    <w:p w:rsidR="005C2A6E" w:rsidRDefault="005C2A6E"/>
    <w:p w:rsidR="005C2A6E" w:rsidRDefault="006108DA">
      <w:pPr>
        <w:spacing w:line="276" w:lineRule="auto"/>
      </w:pPr>
      <w:r>
        <w:t xml:space="preserve">The decision to exclude a child permanently is taken very seriously. There are two main types of situation in which permanent exclusion may be considered; </w:t>
      </w:r>
    </w:p>
    <w:p w:rsidR="005C2A6E" w:rsidRDefault="005C2A6E">
      <w:pPr>
        <w:spacing w:line="276" w:lineRule="auto"/>
      </w:pPr>
    </w:p>
    <w:p w:rsidR="005C2A6E" w:rsidRDefault="006108DA">
      <w:pPr>
        <w:numPr>
          <w:ilvl w:val="0"/>
          <w:numId w:val="12"/>
        </w:numPr>
        <w:pBdr>
          <w:top w:val="nil"/>
          <w:left w:val="nil"/>
          <w:bottom w:val="nil"/>
          <w:right w:val="nil"/>
          <w:between w:val="nil"/>
        </w:pBdr>
        <w:spacing w:line="276" w:lineRule="auto"/>
        <w:ind w:left="426" w:hanging="284"/>
        <w:rPr>
          <w:color w:val="000000"/>
        </w:rPr>
      </w:pPr>
      <w:r>
        <w:rPr>
          <w:color w:val="000000"/>
        </w:rPr>
        <w:t xml:space="preserve">As a final formal step following the use of a wide range of other strategies that have been unsuccessful in dealing with disciplinary offences. </w:t>
      </w:r>
    </w:p>
    <w:p w:rsidR="005C2A6E" w:rsidRDefault="005C2A6E">
      <w:pPr>
        <w:pBdr>
          <w:top w:val="nil"/>
          <w:left w:val="nil"/>
          <w:bottom w:val="nil"/>
          <w:right w:val="nil"/>
          <w:between w:val="nil"/>
        </w:pBdr>
        <w:spacing w:line="276" w:lineRule="auto"/>
        <w:ind w:left="426" w:hanging="284"/>
        <w:rPr>
          <w:color w:val="000000"/>
        </w:rPr>
      </w:pPr>
    </w:p>
    <w:p w:rsidR="005C2A6E" w:rsidRDefault="006108DA">
      <w:pPr>
        <w:numPr>
          <w:ilvl w:val="0"/>
          <w:numId w:val="12"/>
        </w:numPr>
        <w:pBdr>
          <w:top w:val="nil"/>
          <w:left w:val="nil"/>
          <w:bottom w:val="nil"/>
          <w:right w:val="nil"/>
          <w:between w:val="nil"/>
        </w:pBdr>
        <w:spacing w:line="276" w:lineRule="auto"/>
        <w:ind w:left="426" w:hanging="284"/>
        <w:rPr>
          <w:color w:val="000000"/>
        </w:rPr>
      </w:pPr>
      <w:r>
        <w:rPr>
          <w:color w:val="000000"/>
        </w:rPr>
        <w:t xml:space="preserve">Where there are exceptional circumstances and it is not appropriate to implement other strategies and where it would be appropriate to permanently exclude a child for a first “one-off” offence. </w:t>
      </w:r>
    </w:p>
    <w:p w:rsidR="005C2A6E" w:rsidRDefault="005C2A6E">
      <w:pPr>
        <w:spacing w:line="276" w:lineRule="auto"/>
      </w:pPr>
    </w:p>
    <w:p w:rsidR="005C2A6E" w:rsidRDefault="006108DA">
      <w:pPr>
        <w:spacing w:line="276" w:lineRule="auto"/>
      </w:pPr>
      <w:r>
        <w:t xml:space="preserve">In all cases a decision taken to permanently exclude must meet the following DfE criteria; </w:t>
      </w:r>
    </w:p>
    <w:p w:rsidR="005C2A6E" w:rsidRDefault="006108DA">
      <w:pPr>
        <w:spacing w:line="276" w:lineRule="auto"/>
      </w:pPr>
      <w:r>
        <w:t xml:space="preserve">In response to a serious breach, or persistent breaches of the School Behaviour Policy; </w:t>
      </w:r>
      <w:r>
        <w:rPr>
          <w:b/>
        </w:rPr>
        <w:t>and</w:t>
      </w:r>
      <w:r>
        <w:t xml:space="preserve"> </w:t>
      </w:r>
    </w:p>
    <w:p w:rsidR="005C2A6E" w:rsidRDefault="006108DA">
      <w:pPr>
        <w:spacing w:line="276" w:lineRule="auto"/>
      </w:pPr>
      <w:r>
        <w:t xml:space="preserve">where allowing the child to remain in school would seriously harm the education or welfare of the pupil or other members of the school. </w:t>
      </w:r>
    </w:p>
    <w:p w:rsidR="005C2A6E" w:rsidRDefault="005C2A6E">
      <w:pPr>
        <w:spacing w:line="276" w:lineRule="auto"/>
      </w:pPr>
    </w:p>
    <w:p w:rsidR="005C2A6E" w:rsidRDefault="006108DA">
      <w:pPr>
        <w:numPr>
          <w:ilvl w:val="0"/>
          <w:numId w:val="11"/>
        </w:numPr>
        <w:pBdr>
          <w:top w:val="nil"/>
          <w:left w:val="nil"/>
          <w:bottom w:val="nil"/>
          <w:right w:val="nil"/>
          <w:between w:val="nil"/>
        </w:pBdr>
        <w:spacing w:line="276" w:lineRule="auto"/>
        <w:ind w:left="426" w:hanging="426"/>
        <w:rPr>
          <w:color w:val="000000"/>
        </w:rPr>
      </w:pPr>
      <w:r>
        <w:rPr>
          <w:b/>
          <w:color w:val="000000"/>
          <w:u w:val="single"/>
        </w:rPr>
        <w:t xml:space="preserve">Procedure for Permanent Exclusion* </w:t>
      </w:r>
    </w:p>
    <w:p w:rsidR="005C2A6E" w:rsidRDefault="005C2A6E"/>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On the day of the exclusion, the child’s parents/carers will be informed of the exclusion</w:t>
      </w:r>
      <w:sdt>
        <w:sdtPr>
          <w:tag w:val="goog_rdk_4"/>
          <w:id w:val="-455867934"/>
        </w:sdtPr>
        <w:sdtEndPr/>
        <w:sdtContent>
          <w:r>
            <w:rPr>
              <w:color w:val="000000"/>
            </w:rPr>
            <w:t>,</w:t>
          </w:r>
        </w:sdtContent>
      </w:sdt>
      <w:r>
        <w:rPr>
          <w:color w:val="000000"/>
        </w:rPr>
        <w:t xml:space="preserve"> the fact that it is permanent and the specific reason for it. This will be communicated by letter and, if possible, by talking to the parents/carers. Parents/carers will be informed in writing that they have rights to make representations to the governing body and Cheshire East Local Authority. </w:t>
      </w:r>
    </w:p>
    <w:p w:rsidR="005C2A6E" w:rsidRDefault="005C2A6E">
      <w:pPr>
        <w:pBdr>
          <w:top w:val="nil"/>
          <w:left w:val="nil"/>
          <w:bottom w:val="nil"/>
          <w:right w:val="nil"/>
          <w:between w:val="nil"/>
        </w:pBdr>
        <w:spacing w:line="276" w:lineRule="auto"/>
        <w:ind w:left="360"/>
        <w:rPr>
          <w:color w:val="000000"/>
        </w:rPr>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 xml:space="preserve">The head teacher will notify, in writing, the L.A. and the school’s Governing Body immediately. </w:t>
      </w:r>
    </w:p>
    <w:p w:rsidR="005C2A6E" w:rsidRDefault="005C2A6E">
      <w:pPr>
        <w:spacing w:line="276" w:lineRule="auto"/>
        <w:ind w:left="-360"/>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 xml:space="preserve">The school’s governing body will convene an exclusions committee to consider the reinstatement of the excluded pupil within 15 days of receiving the notification. </w:t>
      </w:r>
      <w:r>
        <w:rPr>
          <w:color w:val="000000"/>
        </w:rPr>
        <w:lastRenderedPageBreak/>
        <w:t xml:space="preserve">Parents/Carers, and an L.A representative will be invited to make representations at the meeting. </w:t>
      </w:r>
    </w:p>
    <w:p w:rsidR="005C2A6E" w:rsidRDefault="005C2A6E">
      <w:pPr>
        <w:spacing w:line="276" w:lineRule="auto"/>
        <w:ind w:left="-360"/>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The child remains on the school’s register until the appeals procedure is completed, or until the parents/carers confirm that they accept the exclusion and intend to make other arrangements.</w:t>
      </w:r>
    </w:p>
    <w:p w:rsidR="005C2A6E" w:rsidRDefault="005C2A6E">
      <w:pPr>
        <w:spacing w:line="276" w:lineRule="auto"/>
        <w:ind w:left="-360"/>
      </w:pPr>
    </w:p>
    <w:p w:rsidR="005C2A6E" w:rsidRDefault="006108DA">
      <w:pPr>
        <w:numPr>
          <w:ilvl w:val="0"/>
          <w:numId w:val="6"/>
        </w:numPr>
        <w:pBdr>
          <w:top w:val="nil"/>
          <w:left w:val="nil"/>
          <w:bottom w:val="nil"/>
          <w:right w:val="nil"/>
          <w:between w:val="nil"/>
        </w:pBdr>
        <w:spacing w:line="276" w:lineRule="auto"/>
        <w:ind w:left="360"/>
        <w:rPr>
          <w:color w:val="000000"/>
        </w:rPr>
      </w:pPr>
      <w:r>
        <w:rPr>
          <w:color w:val="000000"/>
        </w:rPr>
        <w:t xml:space="preserve">The head teacher will arrange for work to be set and monitored during the period of appeal. </w:t>
      </w:r>
    </w:p>
    <w:p w:rsidR="005C2A6E" w:rsidRDefault="005C2A6E">
      <w:pPr>
        <w:spacing w:line="276" w:lineRule="auto"/>
      </w:pPr>
    </w:p>
    <w:p w:rsidR="005C2A6E" w:rsidRDefault="006108DA">
      <w:pPr>
        <w:spacing w:line="276" w:lineRule="auto"/>
      </w:pPr>
      <w:r>
        <w:t xml:space="preserve">* These procedures are a simplified summary of the procedures outlined in the DfE exclusion guidance document that can be found using this link: </w:t>
      </w:r>
      <w:hyperlink r:id="rId10">
        <w:r>
          <w:rPr>
            <w:color w:val="0563C1"/>
            <w:u w:val="single"/>
          </w:rPr>
          <w:t>https://www.gov.uk/government/publications/school-exclusion</w:t>
        </w:r>
      </w:hyperlink>
      <w:r>
        <w:t xml:space="preserve"> </w:t>
      </w:r>
    </w:p>
    <w:p w:rsidR="005C2A6E" w:rsidRDefault="005C2A6E">
      <w:pPr>
        <w:spacing w:line="276" w:lineRule="auto"/>
      </w:pPr>
    </w:p>
    <w:p w:rsidR="005C2A6E" w:rsidRDefault="006108DA">
      <w:pPr>
        <w:spacing w:line="276" w:lineRule="auto"/>
      </w:pPr>
      <w:r>
        <w:t>Appendix 2 contains an ‘Exclusions process flow chart once a decision to exclude has been made’.</w:t>
      </w:r>
    </w:p>
    <w:p w:rsidR="005C2A6E" w:rsidRDefault="005C2A6E">
      <w:pPr>
        <w:spacing w:line="276" w:lineRule="auto"/>
      </w:pPr>
    </w:p>
    <w:p w:rsidR="005C2A6E" w:rsidRDefault="005C2A6E">
      <w:pPr>
        <w:spacing w:line="276" w:lineRule="auto"/>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 xml:space="preserve">Roles and Responsibilities </w:t>
      </w:r>
    </w:p>
    <w:p w:rsidR="005C2A6E" w:rsidRDefault="005C2A6E">
      <w:pPr>
        <w:spacing w:line="276" w:lineRule="auto"/>
      </w:pPr>
    </w:p>
    <w:p w:rsidR="005C2A6E" w:rsidRDefault="006108DA">
      <w:pPr>
        <w:spacing w:line="276" w:lineRule="auto"/>
        <w:rPr>
          <w:b/>
        </w:rPr>
      </w:pPr>
      <w:r>
        <w:rPr>
          <w:b/>
        </w:rPr>
        <w:t>Head Teacher</w:t>
      </w:r>
    </w:p>
    <w:p w:rsidR="005C2A6E" w:rsidRDefault="006108DA">
      <w:pPr>
        <w:spacing w:line="276" w:lineRule="auto"/>
      </w:pPr>
      <w:r>
        <w:t xml:space="preserve">The DfE statutory guidance states that only the head teacher of a school can </w:t>
      </w:r>
      <w:proofErr w:type="gramStart"/>
      <w:r>
        <w:t>exclude</w:t>
      </w:r>
      <w:proofErr w:type="gramEnd"/>
      <w:r>
        <w:t xml:space="preserve"> a pupil. Exclusion is an extreme sanction that is only administered by the Head Teacher (as defined above). In reaching a decision on exclusion, the Head Teacher will always look at each case on its own merits. </w:t>
      </w:r>
    </w:p>
    <w:p w:rsidR="005C2A6E" w:rsidRDefault="005C2A6E">
      <w:pPr>
        <w:spacing w:line="276" w:lineRule="auto"/>
      </w:pPr>
    </w:p>
    <w:p w:rsidR="005C2A6E" w:rsidRDefault="006108DA">
      <w:pPr>
        <w:spacing w:line="276" w:lineRule="auto"/>
      </w:pPr>
      <w:r>
        <w:t xml:space="preserve">The Head Teacher may contact the Cheshire East School Exclusion team for guidance and will have regard to the Department for Education statutory guidance; “Exclusion from maintained school, academies and pupil referral units in England” </w:t>
      </w:r>
    </w:p>
    <w:p w:rsidR="005C2A6E" w:rsidRDefault="005C2A6E">
      <w:pPr>
        <w:spacing w:line="276" w:lineRule="auto"/>
      </w:pPr>
    </w:p>
    <w:p w:rsidR="005C2A6E" w:rsidRDefault="006108DA">
      <w:pPr>
        <w:spacing w:line="276" w:lineRule="auto"/>
      </w:pPr>
      <w:r>
        <w:t xml:space="preserve">The exclusion protocol for Alderley Edge Community Primary School should be followed for all exclusions and can be found in Appendix 1. </w:t>
      </w:r>
    </w:p>
    <w:p w:rsidR="005C2A6E" w:rsidRDefault="005C2A6E">
      <w:pPr>
        <w:spacing w:line="276" w:lineRule="auto"/>
      </w:pPr>
    </w:p>
    <w:p w:rsidR="005C2A6E" w:rsidRDefault="006108DA">
      <w:pPr>
        <w:spacing w:line="276" w:lineRule="auto"/>
        <w:rPr>
          <w:b/>
        </w:rPr>
      </w:pPr>
      <w:r>
        <w:rPr>
          <w:b/>
        </w:rPr>
        <w:t>The Governing Board</w:t>
      </w:r>
    </w:p>
    <w:p w:rsidR="005C2A6E" w:rsidRDefault="006108DA">
      <w:pPr>
        <w:spacing w:line="276" w:lineRule="auto"/>
      </w:pPr>
      <w:r>
        <w:t xml:space="preserve">The Governing Board will monitor the implementation of this policy and will keep under regular review the number of exclusions being made including a comparison with national data. The Governing Body has a duty to review the decision to exclude in the following circumstances; </w:t>
      </w:r>
    </w:p>
    <w:p w:rsidR="005C2A6E" w:rsidRDefault="005C2A6E">
      <w:pPr>
        <w:spacing w:line="276" w:lineRule="auto"/>
      </w:pPr>
    </w:p>
    <w:p w:rsidR="005C2A6E" w:rsidRDefault="006108DA">
      <w:pPr>
        <w:numPr>
          <w:ilvl w:val="0"/>
          <w:numId w:val="9"/>
        </w:numPr>
        <w:pBdr>
          <w:top w:val="nil"/>
          <w:left w:val="nil"/>
          <w:bottom w:val="nil"/>
          <w:right w:val="nil"/>
          <w:between w:val="nil"/>
        </w:pBdr>
        <w:spacing w:line="276" w:lineRule="auto"/>
        <w:rPr>
          <w:color w:val="000000"/>
        </w:rPr>
      </w:pPr>
      <w:r>
        <w:rPr>
          <w:color w:val="000000"/>
        </w:rPr>
        <w:t xml:space="preserve">If the exclusion is permanent </w:t>
      </w:r>
    </w:p>
    <w:p w:rsidR="005C2A6E" w:rsidRDefault="006108DA">
      <w:pPr>
        <w:numPr>
          <w:ilvl w:val="0"/>
          <w:numId w:val="9"/>
        </w:numPr>
        <w:pBdr>
          <w:top w:val="nil"/>
          <w:left w:val="nil"/>
          <w:bottom w:val="nil"/>
          <w:right w:val="nil"/>
          <w:between w:val="nil"/>
        </w:pBdr>
        <w:spacing w:line="276" w:lineRule="auto"/>
        <w:rPr>
          <w:color w:val="000000"/>
        </w:rPr>
      </w:pPr>
      <w:r>
        <w:rPr>
          <w:color w:val="000000"/>
        </w:rPr>
        <w:lastRenderedPageBreak/>
        <w:t xml:space="preserve">If the exclusion is fixed term and would bring the pupil’s total number of school days of exclusion to more than 15 in a term </w:t>
      </w:r>
    </w:p>
    <w:p w:rsidR="005C2A6E" w:rsidRDefault="006108DA">
      <w:pPr>
        <w:numPr>
          <w:ilvl w:val="0"/>
          <w:numId w:val="9"/>
        </w:numPr>
        <w:pBdr>
          <w:top w:val="nil"/>
          <w:left w:val="nil"/>
          <w:bottom w:val="nil"/>
          <w:right w:val="nil"/>
          <w:between w:val="nil"/>
        </w:pBdr>
        <w:spacing w:line="276" w:lineRule="auto"/>
        <w:rPr>
          <w:color w:val="000000"/>
        </w:rPr>
      </w:pPr>
      <w:r>
        <w:rPr>
          <w:color w:val="000000"/>
        </w:rPr>
        <w:t xml:space="preserve">If the exclusion would result in a pupil missing a public examination or national curriculum test </w:t>
      </w:r>
    </w:p>
    <w:p w:rsidR="005C2A6E" w:rsidRDefault="006108DA">
      <w:pPr>
        <w:numPr>
          <w:ilvl w:val="0"/>
          <w:numId w:val="9"/>
        </w:numPr>
        <w:pBdr>
          <w:top w:val="nil"/>
          <w:left w:val="nil"/>
          <w:bottom w:val="nil"/>
          <w:right w:val="nil"/>
          <w:between w:val="nil"/>
        </w:pBdr>
        <w:spacing w:line="276" w:lineRule="auto"/>
        <w:rPr>
          <w:color w:val="000000"/>
        </w:rPr>
      </w:pPr>
      <w:r>
        <w:rPr>
          <w:color w:val="000000"/>
        </w:rPr>
        <w:t xml:space="preserve">Representations are made by or on behalf of parents of an excluded child </w:t>
      </w:r>
    </w:p>
    <w:p w:rsidR="005C2A6E" w:rsidRDefault="005C2A6E">
      <w:pPr>
        <w:spacing w:line="276" w:lineRule="auto"/>
      </w:pPr>
    </w:p>
    <w:p w:rsidR="005C2A6E" w:rsidRDefault="006108DA">
      <w:pPr>
        <w:spacing w:line="276" w:lineRule="auto"/>
      </w:pPr>
      <w:r>
        <w:t>In circumstance a-c above the Governing Board will convene a Governors Exclusion Committee (GDC) meeting within 15 school days of receiving notice of the exclusion, to consider reinstating the excluded pupil. In light of its consideration the GDC can either;</w:t>
      </w:r>
    </w:p>
    <w:p w:rsidR="005C2A6E" w:rsidRDefault="005C2A6E">
      <w:pPr>
        <w:spacing w:line="276" w:lineRule="auto"/>
      </w:pPr>
    </w:p>
    <w:p w:rsidR="005C2A6E" w:rsidRDefault="006108DA">
      <w:pPr>
        <w:numPr>
          <w:ilvl w:val="0"/>
          <w:numId w:val="1"/>
        </w:numPr>
        <w:pBdr>
          <w:top w:val="nil"/>
          <w:left w:val="nil"/>
          <w:bottom w:val="nil"/>
          <w:right w:val="nil"/>
          <w:between w:val="nil"/>
        </w:pBdr>
        <w:spacing w:line="276" w:lineRule="auto"/>
        <w:rPr>
          <w:color w:val="000000"/>
        </w:rPr>
      </w:pPr>
      <w:r>
        <w:rPr>
          <w:color w:val="000000"/>
        </w:rPr>
        <w:t xml:space="preserve">Decline to reinstate the pupil or </w:t>
      </w:r>
    </w:p>
    <w:p w:rsidR="005C2A6E" w:rsidRDefault="006108DA">
      <w:pPr>
        <w:numPr>
          <w:ilvl w:val="0"/>
          <w:numId w:val="10"/>
        </w:numPr>
        <w:pBdr>
          <w:top w:val="nil"/>
          <w:left w:val="nil"/>
          <w:bottom w:val="nil"/>
          <w:right w:val="nil"/>
          <w:between w:val="nil"/>
        </w:pBdr>
        <w:spacing w:line="276" w:lineRule="auto"/>
        <w:rPr>
          <w:color w:val="000000"/>
        </w:rPr>
      </w:pPr>
      <w:r>
        <w:rPr>
          <w:color w:val="000000"/>
        </w:rPr>
        <w:t xml:space="preserve">Direct reinstatement of the pupil immediately or on a particular date </w:t>
      </w:r>
    </w:p>
    <w:p w:rsidR="005C2A6E" w:rsidRDefault="005C2A6E">
      <w:pPr>
        <w:spacing w:line="276" w:lineRule="auto"/>
      </w:pPr>
    </w:p>
    <w:p w:rsidR="005C2A6E" w:rsidRDefault="006108DA">
      <w:pPr>
        <w:spacing w:line="276" w:lineRule="auto"/>
      </w:pPr>
      <w:r>
        <w:t xml:space="preserve">In any Governors Exclusion Committee meeting to consider an exclusion, the Head Teacher who has made the legal decision to exclude will submit a report to the committee which they will present in the meeting. </w:t>
      </w:r>
    </w:p>
    <w:p w:rsidR="005C2A6E" w:rsidRDefault="005C2A6E">
      <w:pPr>
        <w:spacing w:line="276" w:lineRule="auto"/>
      </w:pPr>
    </w:p>
    <w:p w:rsidR="005C2A6E" w:rsidRDefault="006108DA">
      <w:pPr>
        <w:spacing w:line="276" w:lineRule="auto"/>
      </w:pPr>
      <w:r>
        <w:t xml:space="preserve">In the circumstances of d) above, where representation is being made by, or on behalf of, a parent of an excluded child, the Governing Board must consider those representations but it cannot direct reinstatement if the fixed term exclusion does not bring the total number of days of exclusion to more than 5 in a term. </w:t>
      </w:r>
    </w:p>
    <w:p w:rsidR="005C2A6E" w:rsidRDefault="005C2A6E">
      <w:pPr>
        <w:spacing w:line="276" w:lineRule="auto"/>
      </w:pPr>
    </w:p>
    <w:p w:rsidR="005C2A6E" w:rsidRDefault="006108DA">
      <w:pPr>
        <w:spacing w:line="276" w:lineRule="auto"/>
      </w:pPr>
      <w:r>
        <w:t xml:space="preserve">Where the Governing Board is unable to form an independent panel without any prior knowledge of the pupil or the background to the exclusion, the Governors may </w:t>
      </w:r>
      <w:sdt>
        <w:sdtPr>
          <w:tag w:val="goog_rdk_5"/>
          <w:id w:val="1928456279"/>
        </w:sdtPr>
        <w:sdtEndPr/>
        <w:sdtContent>
          <w:r>
            <w:t>invite Governors</w:t>
          </w:r>
        </w:sdtContent>
      </w:sdt>
      <w:sdt>
        <w:sdtPr>
          <w:tag w:val="goog_rdk_6"/>
          <w:id w:val="-1221977791"/>
          <w:showingPlcHdr/>
        </w:sdtPr>
        <w:sdtEndPr/>
        <w:sdtContent>
          <w:r>
            <w:t xml:space="preserve">     </w:t>
          </w:r>
        </w:sdtContent>
      </w:sdt>
      <w:r>
        <w:t xml:space="preserve"> from another school to form an independent panel.</w:t>
      </w:r>
    </w:p>
    <w:p w:rsidR="005C2A6E" w:rsidRDefault="005C2A6E">
      <w:pPr>
        <w:spacing w:line="276" w:lineRule="auto"/>
      </w:pPr>
    </w:p>
    <w:p w:rsidR="005C2A6E" w:rsidRDefault="006108DA">
      <w:pPr>
        <w:spacing w:line="276" w:lineRule="auto"/>
      </w:pPr>
      <w:r>
        <w:t xml:space="preserve">The Governors Exclusion Committee will have regard to the DfE statutory guidance “Exclusion from maintained schools, academies and pupil referral units in England” in reviewing any decisions to exclude. </w:t>
      </w:r>
    </w:p>
    <w:p w:rsidR="005C2A6E" w:rsidRDefault="005C2A6E">
      <w:pPr>
        <w:spacing w:line="276" w:lineRule="auto"/>
      </w:pPr>
    </w:p>
    <w:p w:rsidR="005C2A6E" w:rsidRDefault="005C2A6E">
      <w:pPr>
        <w:spacing w:line="276" w:lineRule="auto"/>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 xml:space="preserve">Monitoring and Evaluation </w:t>
      </w:r>
    </w:p>
    <w:p w:rsidR="005C2A6E" w:rsidRDefault="005C2A6E">
      <w:pPr>
        <w:spacing w:line="276" w:lineRule="auto"/>
      </w:pPr>
    </w:p>
    <w:p w:rsidR="005C2A6E" w:rsidRDefault="006108DA">
      <w:pPr>
        <w:spacing w:line="276" w:lineRule="auto"/>
      </w:pPr>
      <w:r>
        <w:t xml:space="preserve">The effectiveness of this policy will be monitored against the following criteria: </w:t>
      </w:r>
    </w:p>
    <w:p w:rsidR="005C2A6E" w:rsidRDefault="005C2A6E">
      <w:pPr>
        <w:spacing w:line="276" w:lineRule="auto"/>
      </w:pPr>
    </w:p>
    <w:p w:rsidR="005C2A6E" w:rsidRDefault="006108DA">
      <w:pPr>
        <w:numPr>
          <w:ilvl w:val="0"/>
          <w:numId w:val="10"/>
        </w:numPr>
        <w:pBdr>
          <w:top w:val="nil"/>
          <w:left w:val="nil"/>
          <w:bottom w:val="nil"/>
          <w:right w:val="nil"/>
          <w:between w:val="nil"/>
        </w:pBdr>
        <w:spacing w:line="276" w:lineRule="auto"/>
        <w:rPr>
          <w:color w:val="000000"/>
        </w:rPr>
      </w:pPr>
      <w:r>
        <w:rPr>
          <w:color w:val="000000"/>
        </w:rPr>
        <w:t>Compliance with statutory requirements</w:t>
      </w:r>
    </w:p>
    <w:p w:rsidR="005C2A6E" w:rsidRDefault="006108DA">
      <w:pPr>
        <w:numPr>
          <w:ilvl w:val="0"/>
          <w:numId w:val="10"/>
        </w:numPr>
        <w:pBdr>
          <w:top w:val="nil"/>
          <w:left w:val="nil"/>
          <w:bottom w:val="nil"/>
          <w:right w:val="nil"/>
          <w:between w:val="nil"/>
        </w:pBdr>
        <w:spacing w:line="276" w:lineRule="auto"/>
        <w:rPr>
          <w:color w:val="000000"/>
        </w:rPr>
      </w:pPr>
      <w:r>
        <w:rPr>
          <w:color w:val="000000"/>
        </w:rPr>
        <w:t>Number of and reasons for exclusions</w:t>
      </w:r>
    </w:p>
    <w:p w:rsidR="005C2A6E" w:rsidRDefault="006108DA">
      <w:pPr>
        <w:numPr>
          <w:ilvl w:val="0"/>
          <w:numId w:val="10"/>
        </w:numPr>
        <w:pBdr>
          <w:top w:val="nil"/>
          <w:left w:val="nil"/>
          <w:bottom w:val="nil"/>
          <w:right w:val="nil"/>
          <w:between w:val="nil"/>
        </w:pBdr>
        <w:spacing w:line="276" w:lineRule="auto"/>
        <w:rPr>
          <w:color w:val="000000"/>
        </w:rPr>
      </w:pPr>
      <w:r>
        <w:rPr>
          <w:color w:val="000000"/>
        </w:rPr>
        <w:t xml:space="preserve">Outcome of reviews and appeals </w:t>
      </w:r>
    </w:p>
    <w:p w:rsidR="005C2A6E" w:rsidRDefault="005C2A6E">
      <w:pPr>
        <w:pBdr>
          <w:top w:val="nil"/>
          <w:left w:val="nil"/>
          <w:bottom w:val="nil"/>
          <w:right w:val="nil"/>
          <w:between w:val="nil"/>
        </w:pBdr>
        <w:spacing w:line="276" w:lineRule="auto"/>
        <w:ind w:left="360"/>
        <w:rPr>
          <w:color w:val="000000"/>
        </w:rPr>
      </w:pPr>
    </w:p>
    <w:p w:rsidR="005C2A6E" w:rsidRDefault="005C2A6E">
      <w:pPr>
        <w:pBdr>
          <w:top w:val="nil"/>
          <w:left w:val="nil"/>
          <w:bottom w:val="nil"/>
          <w:right w:val="nil"/>
          <w:between w:val="nil"/>
        </w:pBdr>
        <w:spacing w:line="276" w:lineRule="auto"/>
        <w:ind w:left="360"/>
        <w:rPr>
          <w:color w:val="000000"/>
        </w:rPr>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Related Policies</w:t>
      </w:r>
    </w:p>
    <w:p w:rsidR="005C2A6E" w:rsidRDefault="005C2A6E">
      <w:pPr>
        <w:pBdr>
          <w:top w:val="nil"/>
          <w:left w:val="nil"/>
          <w:bottom w:val="nil"/>
          <w:right w:val="nil"/>
          <w:between w:val="nil"/>
        </w:pBdr>
        <w:spacing w:line="276" w:lineRule="auto"/>
        <w:ind w:left="426"/>
        <w:rPr>
          <w:b/>
          <w:color w:val="000000"/>
          <w:sz w:val="32"/>
          <w:szCs w:val="32"/>
        </w:rPr>
      </w:pPr>
    </w:p>
    <w:p w:rsidR="005C2A6E" w:rsidRDefault="006108DA">
      <w:pPr>
        <w:numPr>
          <w:ilvl w:val="0"/>
          <w:numId w:val="10"/>
        </w:numPr>
        <w:spacing w:line="276" w:lineRule="auto"/>
        <w:rPr>
          <w:sz w:val="22"/>
          <w:szCs w:val="22"/>
        </w:rPr>
      </w:pPr>
      <w:r>
        <w:rPr>
          <w:sz w:val="22"/>
          <w:szCs w:val="22"/>
        </w:rPr>
        <w:t>21. Positive Behaviour Management</w:t>
      </w:r>
    </w:p>
    <w:p w:rsidR="005C2A6E" w:rsidRDefault="006108DA">
      <w:pPr>
        <w:numPr>
          <w:ilvl w:val="0"/>
          <w:numId w:val="10"/>
        </w:numPr>
        <w:spacing w:line="276" w:lineRule="auto"/>
        <w:rPr>
          <w:sz w:val="22"/>
          <w:szCs w:val="22"/>
        </w:rPr>
      </w:pPr>
      <w:r>
        <w:rPr>
          <w:sz w:val="22"/>
          <w:szCs w:val="22"/>
        </w:rPr>
        <w:t>27. Equal Opportunities</w:t>
      </w:r>
    </w:p>
    <w:p w:rsidR="005C2A6E" w:rsidRDefault="006108DA">
      <w:pPr>
        <w:numPr>
          <w:ilvl w:val="0"/>
          <w:numId w:val="10"/>
        </w:numPr>
        <w:spacing w:line="276" w:lineRule="auto"/>
        <w:rPr>
          <w:sz w:val="22"/>
          <w:szCs w:val="22"/>
        </w:rPr>
      </w:pPr>
      <w:r>
        <w:rPr>
          <w:sz w:val="22"/>
          <w:szCs w:val="22"/>
        </w:rPr>
        <w:t xml:space="preserve">68. Prevention and Managing of Bullying </w:t>
      </w:r>
    </w:p>
    <w:p w:rsidR="005C2A6E" w:rsidRDefault="006108DA">
      <w:pPr>
        <w:numPr>
          <w:ilvl w:val="0"/>
          <w:numId w:val="10"/>
        </w:numPr>
        <w:spacing w:line="276" w:lineRule="auto"/>
        <w:rPr>
          <w:sz w:val="22"/>
          <w:szCs w:val="22"/>
        </w:rPr>
      </w:pPr>
      <w:r>
        <w:rPr>
          <w:sz w:val="22"/>
          <w:szCs w:val="22"/>
        </w:rPr>
        <w:t>74. Racial Equality</w:t>
      </w:r>
    </w:p>
    <w:p w:rsidR="005C2A6E" w:rsidRDefault="006108DA">
      <w:pPr>
        <w:numPr>
          <w:ilvl w:val="0"/>
          <w:numId w:val="10"/>
        </w:numPr>
        <w:spacing w:line="276" w:lineRule="auto"/>
        <w:rPr>
          <w:sz w:val="22"/>
          <w:szCs w:val="22"/>
        </w:rPr>
      </w:pPr>
      <w:r>
        <w:rPr>
          <w:sz w:val="22"/>
          <w:szCs w:val="22"/>
        </w:rPr>
        <w:t>70. Reasonable Use of Force</w:t>
      </w:r>
    </w:p>
    <w:p w:rsidR="005C2A6E" w:rsidRDefault="006108DA">
      <w:pPr>
        <w:numPr>
          <w:ilvl w:val="0"/>
          <w:numId w:val="10"/>
        </w:numPr>
        <w:spacing w:line="276" w:lineRule="auto"/>
        <w:rPr>
          <w:sz w:val="22"/>
          <w:szCs w:val="22"/>
        </w:rPr>
      </w:pPr>
      <w:r>
        <w:rPr>
          <w:sz w:val="22"/>
          <w:szCs w:val="22"/>
        </w:rPr>
        <w:t>36. Child Protection and Safeguarding</w:t>
      </w:r>
    </w:p>
    <w:p w:rsidR="005C2A6E" w:rsidRDefault="006108DA">
      <w:pPr>
        <w:numPr>
          <w:ilvl w:val="0"/>
          <w:numId w:val="10"/>
        </w:numPr>
        <w:spacing w:line="276" w:lineRule="auto"/>
        <w:rPr>
          <w:sz w:val="22"/>
          <w:szCs w:val="22"/>
        </w:rPr>
      </w:pPr>
      <w:r>
        <w:rPr>
          <w:sz w:val="22"/>
          <w:szCs w:val="22"/>
        </w:rPr>
        <w:t>107. Peer on Peer Abuse</w:t>
      </w:r>
    </w:p>
    <w:p w:rsidR="005C2A6E" w:rsidRDefault="006108DA">
      <w:pPr>
        <w:numPr>
          <w:ilvl w:val="0"/>
          <w:numId w:val="10"/>
        </w:numPr>
        <w:spacing w:line="276" w:lineRule="auto"/>
        <w:rPr>
          <w:sz w:val="22"/>
          <w:szCs w:val="22"/>
        </w:rPr>
      </w:pPr>
      <w:r>
        <w:rPr>
          <w:sz w:val="22"/>
          <w:szCs w:val="22"/>
        </w:rPr>
        <w:t>13. Additional Needs</w:t>
      </w:r>
    </w:p>
    <w:p w:rsidR="005C2A6E" w:rsidRDefault="006108DA">
      <w:pPr>
        <w:numPr>
          <w:ilvl w:val="0"/>
          <w:numId w:val="10"/>
        </w:numPr>
        <w:spacing w:line="276" w:lineRule="auto"/>
        <w:rPr>
          <w:sz w:val="22"/>
          <w:szCs w:val="22"/>
        </w:rPr>
      </w:pPr>
      <w:r>
        <w:rPr>
          <w:sz w:val="22"/>
          <w:szCs w:val="22"/>
        </w:rPr>
        <w:t>16. Attendance</w:t>
      </w:r>
    </w:p>
    <w:p w:rsidR="005C2A6E" w:rsidRDefault="006108DA">
      <w:pPr>
        <w:numPr>
          <w:ilvl w:val="0"/>
          <w:numId w:val="10"/>
        </w:numPr>
        <w:spacing w:line="276" w:lineRule="auto"/>
        <w:rPr>
          <w:sz w:val="22"/>
          <w:szCs w:val="22"/>
        </w:rPr>
      </w:pPr>
      <w:r>
        <w:rPr>
          <w:sz w:val="22"/>
          <w:szCs w:val="22"/>
        </w:rPr>
        <w:t>114. Substance Misuse Policy</w:t>
      </w:r>
    </w:p>
    <w:p w:rsidR="005C2A6E" w:rsidRDefault="006108DA">
      <w:pPr>
        <w:numPr>
          <w:ilvl w:val="0"/>
          <w:numId w:val="10"/>
        </w:numPr>
        <w:spacing w:line="276" w:lineRule="auto"/>
        <w:rPr>
          <w:sz w:val="22"/>
          <w:szCs w:val="22"/>
        </w:rPr>
      </w:pPr>
      <w:r>
        <w:rPr>
          <w:sz w:val="22"/>
          <w:szCs w:val="22"/>
        </w:rPr>
        <w:t>60. Complaints Policy</w:t>
      </w:r>
    </w:p>
    <w:p w:rsidR="005C2A6E" w:rsidRDefault="006108DA">
      <w:pPr>
        <w:rPr>
          <w:b/>
        </w:rPr>
      </w:pPr>
      <w:r>
        <w:br w:type="page"/>
      </w:r>
    </w:p>
    <w:p w:rsidR="005C2A6E" w:rsidRDefault="006108DA">
      <w:pPr>
        <w:numPr>
          <w:ilvl w:val="0"/>
          <w:numId w:val="5"/>
        </w:numPr>
        <w:pBdr>
          <w:top w:val="nil"/>
          <w:left w:val="nil"/>
          <w:bottom w:val="nil"/>
          <w:right w:val="nil"/>
          <w:between w:val="nil"/>
        </w:pBdr>
        <w:spacing w:line="276" w:lineRule="auto"/>
        <w:ind w:left="426" w:hanging="426"/>
        <w:rPr>
          <w:color w:val="000000"/>
          <w:sz w:val="32"/>
          <w:szCs w:val="32"/>
        </w:rPr>
      </w:pPr>
      <w:r>
        <w:rPr>
          <w:b/>
          <w:color w:val="000000"/>
          <w:sz w:val="32"/>
          <w:szCs w:val="32"/>
        </w:rPr>
        <w:lastRenderedPageBreak/>
        <w:t>Appendix 1 – Alderley Edge Community Primary School Exclusion Protocol</w:t>
      </w:r>
    </w:p>
    <w:p w:rsidR="005C2A6E" w:rsidRDefault="006108DA">
      <w:pPr>
        <w:spacing w:line="276" w:lineRule="auto"/>
        <w:rPr>
          <w:sz w:val="22"/>
          <w:szCs w:val="22"/>
        </w:rPr>
      </w:pPr>
      <w:r>
        <w:rPr>
          <w:sz w:val="22"/>
          <w:szCs w:val="22"/>
        </w:rPr>
        <w:t>The following protocol must be completed for all External Exclusions:</w:t>
      </w:r>
    </w:p>
    <w:p w:rsidR="005C2A6E" w:rsidRDefault="005C2A6E">
      <w:pPr>
        <w:spacing w:line="276" w:lineRule="auto"/>
        <w:rPr>
          <w:sz w:val="22"/>
          <w:szCs w:val="22"/>
        </w:rPr>
      </w:pPr>
    </w:p>
    <w:tbl>
      <w:tblPr>
        <w:tblStyle w:val="a1"/>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7919"/>
        <w:gridCol w:w="1284"/>
      </w:tblGrid>
      <w:tr w:rsidR="005C2A6E">
        <w:trPr>
          <w:trHeight w:val="1659"/>
        </w:trPr>
        <w:tc>
          <w:tcPr>
            <w:tcW w:w="606" w:type="dxa"/>
            <w:tcBorders>
              <w:top w:val="nil"/>
              <w:left w:val="nil"/>
              <w:bottom w:val="single" w:sz="4" w:space="0" w:color="000000"/>
              <w:right w:val="nil"/>
            </w:tcBorders>
          </w:tcPr>
          <w:p w:rsidR="005C2A6E" w:rsidRDefault="006108DA">
            <w:pPr>
              <w:spacing w:line="276" w:lineRule="auto"/>
              <w:jc w:val="center"/>
              <w:rPr>
                <w:b/>
                <w:sz w:val="36"/>
                <w:szCs w:val="36"/>
              </w:rPr>
            </w:pPr>
            <w:r>
              <w:rPr>
                <w:b/>
                <w:color w:val="FF0000"/>
                <w:sz w:val="36"/>
                <w:szCs w:val="36"/>
              </w:rPr>
              <w:t>!</w:t>
            </w:r>
          </w:p>
        </w:tc>
        <w:tc>
          <w:tcPr>
            <w:tcW w:w="9203" w:type="dxa"/>
            <w:gridSpan w:val="2"/>
            <w:tcBorders>
              <w:top w:val="nil"/>
              <w:left w:val="nil"/>
              <w:bottom w:val="single" w:sz="4" w:space="0" w:color="000000"/>
              <w:right w:val="nil"/>
            </w:tcBorders>
          </w:tcPr>
          <w:p w:rsidR="005C2A6E" w:rsidRDefault="006108DA">
            <w:pPr>
              <w:spacing w:line="276" w:lineRule="auto"/>
              <w:rPr>
                <w:sz w:val="22"/>
                <w:szCs w:val="22"/>
              </w:rPr>
            </w:pPr>
            <w:r>
              <w:rPr>
                <w:sz w:val="22"/>
                <w:szCs w:val="22"/>
              </w:rPr>
              <w:t xml:space="preserve">Only the Headteacher can make the decision to exclude. In the event that the Headteacher is not on the school site, every attempt must be made to contact them prior to excluding. If the Headteacher cannot be contacted, the Acting Headteacher (as specified in the scheme of delegation) may proceed.  </w:t>
            </w:r>
          </w:p>
          <w:p w:rsidR="005C2A6E" w:rsidRDefault="005C2A6E">
            <w:pPr>
              <w:spacing w:line="276" w:lineRule="auto"/>
              <w:rPr>
                <w:sz w:val="22"/>
                <w:szCs w:val="22"/>
              </w:rPr>
            </w:pPr>
          </w:p>
        </w:tc>
      </w:tr>
      <w:tr w:rsidR="005C2A6E">
        <w:trPr>
          <w:trHeight w:val="335"/>
        </w:trPr>
        <w:tc>
          <w:tcPr>
            <w:tcW w:w="606" w:type="dxa"/>
            <w:tcBorders>
              <w:top w:val="single" w:sz="4" w:space="0" w:color="000000"/>
            </w:tcBorders>
          </w:tcPr>
          <w:p w:rsidR="005C2A6E" w:rsidRDefault="005C2A6E">
            <w:pPr>
              <w:spacing w:line="276" w:lineRule="auto"/>
              <w:jc w:val="center"/>
              <w:rPr>
                <w:b/>
                <w:sz w:val="22"/>
                <w:szCs w:val="22"/>
              </w:rPr>
            </w:pPr>
          </w:p>
        </w:tc>
        <w:tc>
          <w:tcPr>
            <w:tcW w:w="7919" w:type="dxa"/>
            <w:tcBorders>
              <w:top w:val="single" w:sz="4" w:space="0" w:color="000000"/>
            </w:tcBorders>
          </w:tcPr>
          <w:p w:rsidR="005C2A6E" w:rsidRDefault="006108DA">
            <w:pPr>
              <w:spacing w:line="276" w:lineRule="auto"/>
              <w:jc w:val="center"/>
              <w:rPr>
                <w:b/>
                <w:sz w:val="22"/>
                <w:szCs w:val="22"/>
              </w:rPr>
            </w:pPr>
            <w:r>
              <w:rPr>
                <w:b/>
                <w:sz w:val="22"/>
                <w:szCs w:val="22"/>
              </w:rPr>
              <w:t>Protocol</w:t>
            </w:r>
          </w:p>
        </w:tc>
        <w:tc>
          <w:tcPr>
            <w:tcW w:w="1284" w:type="dxa"/>
            <w:tcBorders>
              <w:top w:val="single" w:sz="4" w:space="0" w:color="000000"/>
            </w:tcBorders>
          </w:tcPr>
          <w:p w:rsidR="005C2A6E" w:rsidRDefault="006108DA">
            <w:pPr>
              <w:spacing w:line="276" w:lineRule="auto"/>
              <w:jc w:val="center"/>
              <w:rPr>
                <w:b/>
                <w:sz w:val="22"/>
                <w:szCs w:val="22"/>
              </w:rPr>
            </w:pPr>
            <w:r>
              <w:rPr>
                <w:b/>
                <w:sz w:val="22"/>
                <w:szCs w:val="22"/>
              </w:rPr>
              <w:t>Complete</w:t>
            </w:r>
          </w:p>
        </w:tc>
      </w:tr>
      <w:tr w:rsidR="005C2A6E">
        <w:trPr>
          <w:trHeight w:val="1383"/>
        </w:trPr>
        <w:tc>
          <w:tcPr>
            <w:tcW w:w="606" w:type="dxa"/>
            <w:tcBorders>
              <w:top w:val="single" w:sz="4" w:space="0" w:color="000000"/>
            </w:tcBorders>
          </w:tcPr>
          <w:p w:rsidR="005C2A6E" w:rsidRDefault="006108DA">
            <w:pPr>
              <w:spacing w:line="276" w:lineRule="auto"/>
              <w:rPr>
                <w:sz w:val="22"/>
                <w:szCs w:val="22"/>
              </w:rPr>
            </w:pPr>
            <w:r>
              <w:rPr>
                <w:sz w:val="22"/>
                <w:szCs w:val="22"/>
              </w:rPr>
              <w:t>1</w:t>
            </w:r>
          </w:p>
        </w:tc>
        <w:tc>
          <w:tcPr>
            <w:tcW w:w="7919" w:type="dxa"/>
            <w:tcBorders>
              <w:top w:val="single" w:sz="4" w:space="0" w:color="000000"/>
            </w:tcBorders>
          </w:tcPr>
          <w:p w:rsidR="005C2A6E" w:rsidRDefault="006108DA">
            <w:pPr>
              <w:spacing w:line="276" w:lineRule="auto"/>
              <w:rPr>
                <w:sz w:val="22"/>
                <w:szCs w:val="22"/>
              </w:rPr>
            </w:pPr>
            <w:r>
              <w:rPr>
                <w:sz w:val="22"/>
                <w:szCs w:val="22"/>
              </w:rPr>
              <w:t>The child must have the opportunity to put their case with a signed written statement being obtained if at all possible. For younger children where this is not possible all effort must be made to hear the child’s voice, for example through a verbal statement taken by a trusted adult.</w:t>
            </w:r>
          </w:p>
        </w:tc>
        <w:tc>
          <w:tcPr>
            <w:tcW w:w="1284" w:type="dxa"/>
            <w:tcBorders>
              <w:top w:val="single" w:sz="4" w:space="0" w:color="000000"/>
            </w:tcBorders>
          </w:tcPr>
          <w:p w:rsidR="005C2A6E" w:rsidRDefault="005C2A6E">
            <w:pPr>
              <w:spacing w:line="276" w:lineRule="auto"/>
              <w:rPr>
                <w:sz w:val="22"/>
                <w:szCs w:val="22"/>
              </w:rPr>
            </w:pPr>
          </w:p>
        </w:tc>
      </w:tr>
      <w:tr w:rsidR="005C2A6E">
        <w:trPr>
          <w:trHeight w:val="326"/>
        </w:trPr>
        <w:tc>
          <w:tcPr>
            <w:tcW w:w="606" w:type="dxa"/>
          </w:tcPr>
          <w:p w:rsidR="005C2A6E" w:rsidRDefault="006108DA">
            <w:pPr>
              <w:spacing w:line="276" w:lineRule="auto"/>
              <w:rPr>
                <w:sz w:val="22"/>
                <w:szCs w:val="22"/>
              </w:rPr>
            </w:pPr>
            <w:r>
              <w:rPr>
                <w:sz w:val="22"/>
                <w:szCs w:val="22"/>
              </w:rPr>
              <w:t>2</w:t>
            </w:r>
          </w:p>
        </w:tc>
        <w:tc>
          <w:tcPr>
            <w:tcW w:w="7919" w:type="dxa"/>
          </w:tcPr>
          <w:p w:rsidR="005C2A6E" w:rsidRDefault="006108DA">
            <w:pPr>
              <w:spacing w:line="276" w:lineRule="auto"/>
              <w:rPr>
                <w:sz w:val="22"/>
                <w:szCs w:val="22"/>
              </w:rPr>
            </w:pPr>
            <w:r>
              <w:rPr>
                <w:sz w:val="22"/>
                <w:szCs w:val="22"/>
              </w:rPr>
              <w:t>Witness statements must be obtained whenever possible.</w:t>
            </w:r>
          </w:p>
        </w:tc>
        <w:tc>
          <w:tcPr>
            <w:tcW w:w="1284" w:type="dxa"/>
          </w:tcPr>
          <w:p w:rsidR="005C2A6E" w:rsidRDefault="005C2A6E">
            <w:pPr>
              <w:spacing w:line="276" w:lineRule="auto"/>
              <w:rPr>
                <w:sz w:val="22"/>
                <w:szCs w:val="22"/>
              </w:rPr>
            </w:pPr>
          </w:p>
        </w:tc>
      </w:tr>
      <w:tr w:rsidR="005C2A6E">
        <w:trPr>
          <w:trHeight w:val="671"/>
        </w:trPr>
        <w:tc>
          <w:tcPr>
            <w:tcW w:w="606" w:type="dxa"/>
          </w:tcPr>
          <w:p w:rsidR="005C2A6E" w:rsidRDefault="006108DA">
            <w:pPr>
              <w:spacing w:line="276" w:lineRule="auto"/>
              <w:rPr>
                <w:sz w:val="22"/>
                <w:szCs w:val="22"/>
              </w:rPr>
            </w:pPr>
            <w:r>
              <w:rPr>
                <w:sz w:val="22"/>
                <w:szCs w:val="22"/>
              </w:rPr>
              <w:t>3</w:t>
            </w:r>
          </w:p>
        </w:tc>
        <w:tc>
          <w:tcPr>
            <w:tcW w:w="7919" w:type="dxa"/>
          </w:tcPr>
          <w:p w:rsidR="005C2A6E" w:rsidRDefault="006108DA">
            <w:pPr>
              <w:spacing w:line="276" w:lineRule="auto"/>
              <w:rPr>
                <w:sz w:val="22"/>
                <w:szCs w:val="22"/>
              </w:rPr>
            </w:pPr>
            <w:r>
              <w:rPr>
                <w:sz w:val="22"/>
                <w:szCs w:val="22"/>
              </w:rPr>
              <w:t>The Class Teacher, Head Teacher (and SENCO where appropriate) must consult on the facts.</w:t>
            </w:r>
          </w:p>
        </w:tc>
        <w:tc>
          <w:tcPr>
            <w:tcW w:w="1284" w:type="dxa"/>
          </w:tcPr>
          <w:p w:rsidR="005C2A6E" w:rsidRDefault="005C2A6E">
            <w:pPr>
              <w:spacing w:line="276" w:lineRule="auto"/>
              <w:rPr>
                <w:sz w:val="22"/>
                <w:szCs w:val="22"/>
              </w:rPr>
            </w:pPr>
          </w:p>
        </w:tc>
      </w:tr>
      <w:tr w:rsidR="005C2A6E">
        <w:trPr>
          <w:trHeight w:val="661"/>
        </w:trPr>
        <w:tc>
          <w:tcPr>
            <w:tcW w:w="606" w:type="dxa"/>
          </w:tcPr>
          <w:p w:rsidR="005C2A6E" w:rsidRDefault="006108DA">
            <w:pPr>
              <w:spacing w:line="276" w:lineRule="auto"/>
              <w:rPr>
                <w:sz w:val="22"/>
                <w:szCs w:val="22"/>
              </w:rPr>
            </w:pPr>
            <w:r>
              <w:rPr>
                <w:sz w:val="22"/>
                <w:szCs w:val="22"/>
              </w:rPr>
              <w:t>4</w:t>
            </w:r>
          </w:p>
        </w:tc>
        <w:tc>
          <w:tcPr>
            <w:tcW w:w="7919" w:type="dxa"/>
          </w:tcPr>
          <w:p w:rsidR="005C2A6E" w:rsidRDefault="006108DA">
            <w:pPr>
              <w:spacing w:line="276" w:lineRule="auto"/>
              <w:rPr>
                <w:sz w:val="22"/>
                <w:szCs w:val="22"/>
              </w:rPr>
            </w:pPr>
            <w:r>
              <w:rPr>
                <w:sz w:val="22"/>
                <w:szCs w:val="22"/>
              </w:rPr>
              <w:t>The child’s attendance and behaviour records must be considered. Alternative sanctions may be considered.</w:t>
            </w:r>
          </w:p>
        </w:tc>
        <w:tc>
          <w:tcPr>
            <w:tcW w:w="1284" w:type="dxa"/>
          </w:tcPr>
          <w:p w:rsidR="005C2A6E" w:rsidRDefault="005C2A6E">
            <w:pPr>
              <w:spacing w:line="276" w:lineRule="auto"/>
              <w:rPr>
                <w:sz w:val="22"/>
                <w:szCs w:val="22"/>
              </w:rPr>
            </w:pPr>
          </w:p>
        </w:tc>
      </w:tr>
      <w:tr w:rsidR="005C2A6E">
        <w:trPr>
          <w:trHeight w:val="695"/>
        </w:trPr>
        <w:tc>
          <w:tcPr>
            <w:tcW w:w="606" w:type="dxa"/>
          </w:tcPr>
          <w:p w:rsidR="005C2A6E" w:rsidRDefault="006108DA">
            <w:pPr>
              <w:spacing w:line="276" w:lineRule="auto"/>
              <w:rPr>
                <w:sz w:val="22"/>
                <w:szCs w:val="22"/>
              </w:rPr>
            </w:pPr>
            <w:r>
              <w:rPr>
                <w:sz w:val="22"/>
                <w:szCs w:val="22"/>
              </w:rPr>
              <w:t>5</w:t>
            </w:r>
          </w:p>
        </w:tc>
        <w:tc>
          <w:tcPr>
            <w:tcW w:w="7919" w:type="dxa"/>
          </w:tcPr>
          <w:p w:rsidR="005C2A6E" w:rsidRDefault="006108DA">
            <w:pPr>
              <w:spacing w:line="276" w:lineRule="auto"/>
              <w:rPr>
                <w:sz w:val="22"/>
                <w:szCs w:val="22"/>
              </w:rPr>
            </w:pPr>
            <w:r>
              <w:rPr>
                <w:sz w:val="22"/>
                <w:szCs w:val="22"/>
              </w:rPr>
              <w:t xml:space="preserve">Head Teacher to inform the Chair of Governors of any </w:t>
            </w:r>
            <w:proofErr w:type="gramStart"/>
            <w:r>
              <w:rPr>
                <w:sz w:val="22"/>
                <w:szCs w:val="22"/>
              </w:rPr>
              <w:t>full time</w:t>
            </w:r>
            <w:proofErr w:type="gramEnd"/>
            <w:r>
              <w:rPr>
                <w:sz w:val="22"/>
                <w:szCs w:val="22"/>
              </w:rPr>
              <w:t xml:space="preserve"> exclusion. This can be after the event to </w:t>
            </w:r>
            <w:proofErr w:type="gramStart"/>
            <w:r>
              <w:rPr>
                <w:sz w:val="22"/>
                <w:szCs w:val="22"/>
              </w:rPr>
              <w:t>take into account</w:t>
            </w:r>
            <w:proofErr w:type="gramEnd"/>
            <w:r>
              <w:rPr>
                <w:sz w:val="22"/>
                <w:szCs w:val="22"/>
              </w:rPr>
              <w:t xml:space="preserve"> the need for swift action </w:t>
            </w:r>
            <w:sdt>
              <w:sdtPr>
                <w:tag w:val="goog_rdk_7"/>
                <w:id w:val="828252488"/>
              </w:sdtPr>
              <w:sdtEndPr/>
              <w:sdtContent>
                <w:r>
                  <w:rPr>
                    <w:sz w:val="22"/>
                    <w:szCs w:val="22"/>
                  </w:rPr>
                  <w:t>in some</w:t>
                </w:r>
              </w:sdtContent>
            </w:sdt>
            <w:sdt>
              <w:sdtPr>
                <w:tag w:val="goog_rdk_8"/>
                <w:id w:val="392323936"/>
                <w:showingPlcHdr/>
              </w:sdtPr>
              <w:sdtEndPr/>
              <w:sdtContent>
                <w:r>
                  <w:t xml:space="preserve">     </w:t>
                </w:r>
              </w:sdtContent>
            </w:sdt>
            <w:r>
              <w:rPr>
                <w:sz w:val="22"/>
                <w:szCs w:val="22"/>
              </w:rPr>
              <w:t xml:space="preserve"> circumstances. </w:t>
            </w:r>
          </w:p>
        </w:tc>
        <w:tc>
          <w:tcPr>
            <w:tcW w:w="1284" w:type="dxa"/>
          </w:tcPr>
          <w:p w:rsidR="005C2A6E" w:rsidRDefault="005C2A6E">
            <w:pPr>
              <w:spacing w:line="276" w:lineRule="auto"/>
              <w:rPr>
                <w:sz w:val="22"/>
                <w:szCs w:val="22"/>
              </w:rPr>
            </w:pPr>
          </w:p>
        </w:tc>
      </w:tr>
      <w:tr w:rsidR="005C2A6E">
        <w:trPr>
          <w:trHeight w:val="671"/>
        </w:trPr>
        <w:tc>
          <w:tcPr>
            <w:tcW w:w="606" w:type="dxa"/>
          </w:tcPr>
          <w:p w:rsidR="005C2A6E" w:rsidRDefault="006108DA">
            <w:pPr>
              <w:spacing w:line="276" w:lineRule="auto"/>
              <w:rPr>
                <w:sz w:val="22"/>
                <w:szCs w:val="22"/>
              </w:rPr>
            </w:pPr>
            <w:r>
              <w:rPr>
                <w:sz w:val="22"/>
                <w:szCs w:val="22"/>
              </w:rPr>
              <w:t>6</w:t>
            </w:r>
          </w:p>
        </w:tc>
        <w:tc>
          <w:tcPr>
            <w:tcW w:w="7919" w:type="dxa"/>
          </w:tcPr>
          <w:p w:rsidR="005C2A6E" w:rsidRDefault="006108DA">
            <w:pPr>
              <w:spacing w:line="276" w:lineRule="auto"/>
              <w:rPr>
                <w:sz w:val="22"/>
                <w:szCs w:val="22"/>
              </w:rPr>
            </w:pPr>
            <w:r>
              <w:rPr>
                <w:sz w:val="22"/>
                <w:szCs w:val="22"/>
              </w:rPr>
              <w:t xml:space="preserve">Head Teacher to consult with the Chair of Governors prior to making the decision to permanently exclude. </w:t>
            </w:r>
          </w:p>
        </w:tc>
        <w:tc>
          <w:tcPr>
            <w:tcW w:w="1284" w:type="dxa"/>
          </w:tcPr>
          <w:p w:rsidR="005C2A6E" w:rsidRDefault="005C2A6E">
            <w:pPr>
              <w:spacing w:line="276" w:lineRule="auto"/>
              <w:rPr>
                <w:sz w:val="22"/>
                <w:szCs w:val="22"/>
              </w:rPr>
            </w:pPr>
          </w:p>
        </w:tc>
      </w:tr>
      <w:tr w:rsidR="005C2A6E">
        <w:trPr>
          <w:trHeight w:val="661"/>
        </w:trPr>
        <w:tc>
          <w:tcPr>
            <w:tcW w:w="606" w:type="dxa"/>
          </w:tcPr>
          <w:p w:rsidR="005C2A6E" w:rsidRDefault="006108DA">
            <w:pPr>
              <w:spacing w:line="276" w:lineRule="auto"/>
              <w:rPr>
                <w:sz w:val="22"/>
                <w:szCs w:val="22"/>
              </w:rPr>
            </w:pPr>
            <w:r>
              <w:rPr>
                <w:sz w:val="22"/>
                <w:szCs w:val="22"/>
              </w:rPr>
              <w:t>7</w:t>
            </w:r>
          </w:p>
        </w:tc>
        <w:tc>
          <w:tcPr>
            <w:tcW w:w="7919" w:type="dxa"/>
          </w:tcPr>
          <w:p w:rsidR="005C2A6E" w:rsidRDefault="006108DA">
            <w:pPr>
              <w:spacing w:line="276" w:lineRule="auto"/>
              <w:rPr>
                <w:sz w:val="22"/>
                <w:szCs w:val="22"/>
              </w:rPr>
            </w:pPr>
            <w:r>
              <w:rPr>
                <w:sz w:val="22"/>
                <w:szCs w:val="22"/>
              </w:rPr>
              <w:t>The Head Teacher must satisfy themselves that this protocol has been followed before making the final decision.</w:t>
            </w:r>
          </w:p>
        </w:tc>
        <w:tc>
          <w:tcPr>
            <w:tcW w:w="1284" w:type="dxa"/>
          </w:tcPr>
          <w:p w:rsidR="005C2A6E" w:rsidRDefault="005C2A6E">
            <w:pPr>
              <w:spacing w:line="276" w:lineRule="auto"/>
              <w:rPr>
                <w:sz w:val="22"/>
                <w:szCs w:val="22"/>
              </w:rPr>
            </w:pPr>
          </w:p>
        </w:tc>
      </w:tr>
      <w:tr w:rsidR="005C2A6E">
        <w:trPr>
          <w:trHeight w:val="898"/>
        </w:trPr>
        <w:tc>
          <w:tcPr>
            <w:tcW w:w="606" w:type="dxa"/>
          </w:tcPr>
          <w:p w:rsidR="005C2A6E" w:rsidRDefault="006108DA">
            <w:pPr>
              <w:spacing w:line="276" w:lineRule="auto"/>
              <w:rPr>
                <w:sz w:val="22"/>
                <w:szCs w:val="22"/>
              </w:rPr>
            </w:pPr>
            <w:r>
              <w:rPr>
                <w:sz w:val="22"/>
                <w:szCs w:val="22"/>
              </w:rPr>
              <w:t>8</w:t>
            </w:r>
          </w:p>
        </w:tc>
        <w:tc>
          <w:tcPr>
            <w:tcW w:w="7919" w:type="dxa"/>
          </w:tcPr>
          <w:p w:rsidR="005C2A6E" w:rsidRDefault="006108DA">
            <w:pPr>
              <w:spacing w:line="276" w:lineRule="auto"/>
              <w:rPr>
                <w:sz w:val="22"/>
                <w:szCs w:val="22"/>
              </w:rPr>
            </w:pPr>
            <w:r>
              <w:rPr>
                <w:sz w:val="22"/>
                <w:szCs w:val="22"/>
              </w:rPr>
              <w:t xml:space="preserve">If an external exclusion is decided upon, parents, carers or guardians must be contacted immediately by phone. A letter is sent by post and a re-admission meeting booked with the parents, child, and the Head Teacher. </w:t>
            </w:r>
          </w:p>
        </w:tc>
        <w:tc>
          <w:tcPr>
            <w:tcW w:w="1284" w:type="dxa"/>
          </w:tcPr>
          <w:p w:rsidR="005C2A6E" w:rsidRDefault="005C2A6E">
            <w:pPr>
              <w:spacing w:line="276" w:lineRule="auto"/>
              <w:rPr>
                <w:sz w:val="22"/>
                <w:szCs w:val="22"/>
              </w:rPr>
            </w:pPr>
          </w:p>
        </w:tc>
      </w:tr>
      <w:tr w:rsidR="005C2A6E">
        <w:trPr>
          <w:trHeight w:val="548"/>
        </w:trPr>
        <w:tc>
          <w:tcPr>
            <w:tcW w:w="606" w:type="dxa"/>
          </w:tcPr>
          <w:p w:rsidR="005C2A6E" w:rsidRDefault="006108DA">
            <w:pPr>
              <w:spacing w:line="276" w:lineRule="auto"/>
              <w:rPr>
                <w:sz w:val="22"/>
                <w:szCs w:val="22"/>
              </w:rPr>
            </w:pPr>
            <w:r>
              <w:rPr>
                <w:sz w:val="22"/>
                <w:szCs w:val="22"/>
              </w:rPr>
              <w:t>9</w:t>
            </w:r>
          </w:p>
        </w:tc>
        <w:tc>
          <w:tcPr>
            <w:tcW w:w="7919" w:type="dxa"/>
          </w:tcPr>
          <w:p w:rsidR="005C2A6E" w:rsidRDefault="006108DA">
            <w:pPr>
              <w:spacing w:line="276" w:lineRule="auto"/>
              <w:rPr>
                <w:sz w:val="22"/>
                <w:szCs w:val="22"/>
              </w:rPr>
            </w:pPr>
            <w:r>
              <w:rPr>
                <w:sz w:val="22"/>
                <w:szCs w:val="22"/>
              </w:rPr>
              <w:t xml:space="preserve">Where applicable, the victim’s parents, carers or guardians should be informed </w:t>
            </w:r>
          </w:p>
        </w:tc>
        <w:tc>
          <w:tcPr>
            <w:tcW w:w="1284" w:type="dxa"/>
          </w:tcPr>
          <w:p w:rsidR="005C2A6E" w:rsidRDefault="005C2A6E">
            <w:pPr>
              <w:spacing w:line="276" w:lineRule="auto"/>
              <w:rPr>
                <w:sz w:val="22"/>
                <w:szCs w:val="22"/>
              </w:rPr>
            </w:pPr>
          </w:p>
        </w:tc>
      </w:tr>
      <w:tr w:rsidR="005C2A6E">
        <w:trPr>
          <w:trHeight w:val="335"/>
        </w:trPr>
        <w:tc>
          <w:tcPr>
            <w:tcW w:w="606" w:type="dxa"/>
          </w:tcPr>
          <w:p w:rsidR="005C2A6E" w:rsidRDefault="006108DA">
            <w:pPr>
              <w:spacing w:line="276" w:lineRule="auto"/>
              <w:rPr>
                <w:sz w:val="22"/>
                <w:szCs w:val="22"/>
              </w:rPr>
            </w:pPr>
            <w:r>
              <w:rPr>
                <w:sz w:val="22"/>
                <w:szCs w:val="22"/>
              </w:rPr>
              <w:t>10</w:t>
            </w:r>
          </w:p>
        </w:tc>
        <w:tc>
          <w:tcPr>
            <w:tcW w:w="7919" w:type="dxa"/>
          </w:tcPr>
          <w:p w:rsidR="005C2A6E" w:rsidRDefault="006108DA">
            <w:pPr>
              <w:spacing w:line="276" w:lineRule="auto"/>
              <w:rPr>
                <w:sz w:val="22"/>
                <w:szCs w:val="22"/>
              </w:rPr>
            </w:pPr>
            <w:r>
              <w:rPr>
                <w:sz w:val="22"/>
                <w:szCs w:val="22"/>
              </w:rPr>
              <w:t>Exclusion letter to be sent by first class post and emailed to parents</w:t>
            </w:r>
          </w:p>
        </w:tc>
        <w:tc>
          <w:tcPr>
            <w:tcW w:w="1284" w:type="dxa"/>
          </w:tcPr>
          <w:p w:rsidR="005C2A6E" w:rsidRDefault="005C2A6E">
            <w:pPr>
              <w:spacing w:line="276" w:lineRule="auto"/>
              <w:rPr>
                <w:sz w:val="22"/>
                <w:szCs w:val="22"/>
              </w:rPr>
            </w:pPr>
          </w:p>
        </w:tc>
      </w:tr>
      <w:tr w:rsidR="005C2A6E">
        <w:trPr>
          <w:trHeight w:val="997"/>
        </w:trPr>
        <w:tc>
          <w:tcPr>
            <w:tcW w:w="606" w:type="dxa"/>
          </w:tcPr>
          <w:p w:rsidR="005C2A6E" w:rsidRDefault="006108DA">
            <w:pPr>
              <w:spacing w:line="276" w:lineRule="auto"/>
              <w:rPr>
                <w:sz w:val="22"/>
                <w:szCs w:val="22"/>
              </w:rPr>
            </w:pPr>
            <w:r>
              <w:rPr>
                <w:sz w:val="22"/>
                <w:szCs w:val="22"/>
              </w:rPr>
              <w:t>11</w:t>
            </w:r>
          </w:p>
        </w:tc>
        <w:tc>
          <w:tcPr>
            <w:tcW w:w="7919" w:type="dxa"/>
          </w:tcPr>
          <w:p w:rsidR="005C2A6E" w:rsidRDefault="006108DA">
            <w:pPr>
              <w:pStyle w:val="Heading2"/>
              <w:shd w:val="clear" w:color="auto" w:fill="FFFFFF"/>
              <w:spacing w:before="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Advise the Cheshire school exclusions team </w:t>
            </w:r>
          </w:p>
          <w:p w:rsidR="005C2A6E" w:rsidRDefault="006108DA">
            <w:pPr>
              <w:numPr>
                <w:ilvl w:val="0"/>
                <w:numId w:val="4"/>
              </w:numPr>
              <w:shd w:val="clear" w:color="auto" w:fill="FFFFFF"/>
              <w:spacing w:line="276" w:lineRule="auto"/>
              <w:ind w:left="1095"/>
              <w:rPr>
                <w:sz w:val="22"/>
                <w:szCs w:val="22"/>
              </w:rPr>
            </w:pPr>
            <w:r>
              <w:rPr>
                <w:sz w:val="22"/>
                <w:szCs w:val="22"/>
              </w:rPr>
              <w:t>email:  </w:t>
            </w:r>
            <w:hyperlink r:id="rId11">
              <w:r>
                <w:rPr>
                  <w:sz w:val="22"/>
                  <w:szCs w:val="22"/>
                </w:rPr>
                <w:t>ExclusionCE@cheshireeast.gov.uk</w:t>
              </w:r>
            </w:hyperlink>
          </w:p>
          <w:p w:rsidR="005C2A6E" w:rsidRDefault="006108DA">
            <w:pPr>
              <w:numPr>
                <w:ilvl w:val="0"/>
                <w:numId w:val="4"/>
              </w:numPr>
              <w:shd w:val="clear" w:color="auto" w:fill="FFFFFF"/>
              <w:spacing w:line="276" w:lineRule="auto"/>
              <w:ind w:left="1095"/>
              <w:rPr>
                <w:sz w:val="22"/>
                <w:szCs w:val="22"/>
              </w:rPr>
            </w:pPr>
            <w:r>
              <w:rPr>
                <w:sz w:val="22"/>
                <w:szCs w:val="22"/>
              </w:rPr>
              <w:t>telephone: 01270 375255</w:t>
            </w:r>
          </w:p>
        </w:tc>
        <w:tc>
          <w:tcPr>
            <w:tcW w:w="1284" w:type="dxa"/>
          </w:tcPr>
          <w:p w:rsidR="005C2A6E" w:rsidRDefault="005C2A6E">
            <w:pPr>
              <w:spacing w:line="276" w:lineRule="auto"/>
              <w:rPr>
                <w:sz w:val="22"/>
                <w:szCs w:val="22"/>
              </w:rPr>
            </w:pPr>
          </w:p>
        </w:tc>
      </w:tr>
      <w:tr w:rsidR="005C2A6E">
        <w:trPr>
          <w:trHeight w:val="335"/>
        </w:trPr>
        <w:tc>
          <w:tcPr>
            <w:tcW w:w="606" w:type="dxa"/>
          </w:tcPr>
          <w:p w:rsidR="005C2A6E" w:rsidRDefault="006108DA">
            <w:pPr>
              <w:spacing w:line="276" w:lineRule="auto"/>
              <w:rPr>
                <w:sz w:val="22"/>
                <w:szCs w:val="22"/>
              </w:rPr>
            </w:pPr>
            <w:r>
              <w:rPr>
                <w:sz w:val="22"/>
                <w:szCs w:val="22"/>
              </w:rPr>
              <w:t>12</w:t>
            </w:r>
          </w:p>
        </w:tc>
        <w:tc>
          <w:tcPr>
            <w:tcW w:w="7919" w:type="dxa"/>
          </w:tcPr>
          <w:p w:rsidR="005C2A6E" w:rsidRDefault="006108DA">
            <w:pPr>
              <w:spacing w:line="276" w:lineRule="auto"/>
              <w:rPr>
                <w:sz w:val="22"/>
                <w:szCs w:val="22"/>
              </w:rPr>
            </w:pPr>
            <w:r>
              <w:rPr>
                <w:sz w:val="22"/>
                <w:szCs w:val="22"/>
              </w:rPr>
              <w:t>All considerations, decisions and actions must be documented in writing</w:t>
            </w:r>
          </w:p>
        </w:tc>
        <w:tc>
          <w:tcPr>
            <w:tcW w:w="1284" w:type="dxa"/>
          </w:tcPr>
          <w:p w:rsidR="005C2A6E" w:rsidRDefault="005C2A6E">
            <w:pPr>
              <w:spacing w:line="276" w:lineRule="auto"/>
              <w:rPr>
                <w:sz w:val="22"/>
                <w:szCs w:val="22"/>
              </w:rPr>
            </w:pPr>
          </w:p>
        </w:tc>
      </w:tr>
    </w:tbl>
    <w:p w:rsidR="005C2A6E" w:rsidRDefault="005C2A6E">
      <w:pPr>
        <w:spacing w:line="276" w:lineRule="auto"/>
        <w:rPr>
          <w:sz w:val="22"/>
          <w:szCs w:val="22"/>
        </w:rPr>
      </w:pPr>
    </w:p>
    <w:p w:rsidR="005C2A6E" w:rsidRDefault="006108DA">
      <w:pPr>
        <w:spacing w:line="276" w:lineRule="auto"/>
        <w:rPr>
          <w:sz w:val="22"/>
          <w:szCs w:val="22"/>
        </w:rPr>
      </w:pPr>
      <w:r>
        <w:rPr>
          <w:sz w:val="22"/>
          <w:szCs w:val="22"/>
        </w:rPr>
        <w:t xml:space="preserve">Child’s Name: </w:t>
      </w:r>
      <w:r>
        <w:rPr>
          <w:sz w:val="22"/>
          <w:szCs w:val="22"/>
        </w:rPr>
        <w:tab/>
      </w:r>
      <w:r>
        <w:rPr>
          <w:sz w:val="22"/>
          <w:szCs w:val="22"/>
        </w:rPr>
        <w:tab/>
      </w:r>
      <w:r>
        <w:rPr>
          <w:sz w:val="22"/>
          <w:szCs w:val="22"/>
        </w:rPr>
        <w:tab/>
      </w:r>
      <w:r>
        <w:rPr>
          <w:sz w:val="22"/>
          <w:szCs w:val="22"/>
        </w:rPr>
        <w:tab/>
      </w:r>
      <w:r>
        <w:rPr>
          <w:sz w:val="22"/>
          <w:szCs w:val="22"/>
        </w:rPr>
        <w:tab/>
        <w:t xml:space="preserve">Year Group: </w:t>
      </w:r>
      <w:r>
        <w:rPr>
          <w:sz w:val="22"/>
          <w:szCs w:val="22"/>
        </w:rPr>
        <w:tab/>
      </w:r>
      <w:r>
        <w:rPr>
          <w:sz w:val="22"/>
          <w:szCs w:val="22"/>
        </w:rPr>
        <w:tab/>
        <w:t xml:space="preserve">Date: </w:t>
      </w:r>
    </w:p>
    <w:p w:rsidR="005C2A6E" w:rsidRDefault="005C2A6E">
      <w:pPr>
        <w:spacing w:line="276" w:lineRule="auto"/>
        <w:rPr>
          <w:sz w:val="22"/>
          <w:szCs w:val="22"/>
        </w:rPr>
      </w:pPr>
    </w:p>
    <w:p w:rsidR="005C2A6E" w:rsidRDefault="006108DA">
      <w:pPr>
        <w:spacing w:line="276" w:lineRule="auto"/>
        <w:rPr>
          <w:sz w:val="22"/>
          <w:szCs w:val="22"/>
        </w:rPr>
      </w:pPr>
      <w:r>
        <w:rPr>
          <w:sz w:val="22"/>
          <w:szCs w:val="22"/>
        </w:rPr>
        <w:t xml:space="preserve">Signed……………………………………………………………………Head Teacher  </w:t>
      </w:r>
    </w:p>
    <w:p w:rsidR="005C2A6E" w:rsidRDefault="005C2A6E">
      <w:pPr>
        <w:spacing w:line="276" w:lineRule="auto"/>
        <w:rPr>
          <w:sz w:val="22"/>
          <w:szCs w:val="22"/>
        </w:rPr>
      </w:pPr>
    </w:p>
    <w:p w:rsidR="005C2A6E" w:rsidRDefault="006108DA">
      <w:pPr>
        <w:spacing w:line="276" w:lineRule="auto"/>
        <w:rPr>
          <w:sz w:val="22"/>
          <w:szCs w:val="22"/>
        </w:rPr>
      </w:pPr>
      <w:r>
        <w:rPr>
          <w:sz w:val="22"/>
          <w:szCs w:val="22"/>
        </w:rPr>
        <w:t xml:space="preserve">Date…………………………………. </w:t>
      </w:r>
    </w:p>
    <w:p w:rsidR="005C2A6E" w:rsidRDefault="006108DA">
      <w:pPr>
        <w:rPr>
          <w:b/>
          <w:sz w:val="22"/>
          <w:szCs w:val="22"/>
        </w:rPr>
      </w:pPr>
      <w:r>
        <w:lastRenderedPageBreak/>
        <w:br w:type="page"/>
      </w:r>
    </w:p>
    <w:p w:rsidR="005C2A6E" w:rsidRDefault="006108DA">
      <w:pPr>
        <w:numPr>
          <w:ilvl w:val="0"/>
          <w:numId w:val="5"/>
        </w:numPr>
        <w:pBdr>
          <w:top w:val="nil"/>
          <w:left w:val="nil"/>
          <w:bottom w:val="nil"/>
          <w:right w:val="nil"/>
          <w:between w:val="nil"/>
        </w:pBdr>
        <w:rPr>
          <w:b/>
          <w:color w:val="000000"/>
          <w:sz w:val="32"/>
          <w:szCs w:val="32"/>
        </w:rPr>
      </w:pPr>
      <w:r>
        <w:rPr>
          <w:b/>
          <w:color w:val="000000"/>
          <w:sz w:val="32"/>
          <w:szCs w:val="32"/>
        </w:rPr>
        <w:lastRenderedPageBreak/>
        <w:t>Appendix 2</w:t>
      </w:r>
      <w:r>
        <w:rPr>
          <w:b/>
          <w:color w:val="000000"/>
        </w:rPr>
        <w:t xml:space="preserve"> </w:t>
      </w:r>
      <w:r>
        <w:rPr>
          <w:b/>
          <w:color w:val="000000"/>
          <w:sz w:val="32"/>
          <w:szCs w:val="32"/>
        </w:rPr>
        <w:t>– Exclusions Process Flow Chart once a decision to exclude has been made</w:t>
      </w:r>
    </w:p>
    <w:p w:rsidR="005C2A6E" w:rsidRDefault="006108DA">
      <w:pPr>
        <w:spacing w:line="276" w:lineRule="auto"/>
        <w:rPr>
          <w:b/>
        </w:rPr>
      </w:pPr>
      <w:r>
        <w:rPr>
          <w:noProof/>
        </w:rPr>
        <w:drawing>
          <wp:inline distT="0" distB="0" distL="0" distR="0">
            <wp:extent cx="5677724" cy="828179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677724" cy="8281797"/>
                    </a:xfrm>
                    <a:prstGeom prst="rect">
                      <a:avLst/>
                    </a:prstGeom>
                    <a:ln/>
                  </pic:spPr>
                </pic:pic>
              </a:graphicData>
            </a:graphic>
          </wp:inline>
        </w:drawing>
      </w:r>
    </w:p>
    <w:p w:rsidR="005C2A6E" w:rsidRDefault="005C2A6E">
      <w:pPr>
        <w:rPr>
          <w:b/>
        </w:rPr>
      </w:pPr>
    </w:p>
    <w:p w:rsidR="005C2A6E" w:rsidRDefault="006108DA">
      <w:pPr>
        <w:numPr>
          <w:ilvl w:val="0"/>
          <w:numId w:val="5"/>
        </w:numPr>
        <w:pBdr>
          <w:top w:val="nil"/>
          <w:left w:val="nil"/>
          <w:bottom w:val="nil"/>
          <w:right w:val="nil"/>
          <w:between w:val="nil"/>
        </w:pBdr>
        <w:spacing w:line="276" w:lineRule="auto"/>
        <w:ind w:left="426" w:hanging="426"/>
        <w:rPr>
          <w:b/>
          <w:color w:val="000000"/>
          <w:sz w:val="32"/>
          <w:szCs w:val="32"/>
        </w:rPr>
      </w:pPr>
      <w:r>
        <w:rPr>
          <w:b/>
          <w:color w:val="000000"/>
          <w:sz w:val="32"/>
          <w:szCs w:val="32"/>
        </w:rPr>
        <w:t>Appendix 3 – Sample letters</w:t>
      </w:r>
    </w:p>
    <w:p w:rsidR="005C2A6E" w:rsidRDefault="005C2A6E"/>
    <w:p w:rsidR="005C2A6E" w:rsidRDefault="006108DA">
      <w:r>
        <w:t xml:space="preserve">Please note that all these appendices are copies taken from the CE Intranet and at the time they were included in this policy were current.  Users of this policy </w:t>
      </w:r>
      <w:r>
        <w:rPr>
          <w:b/>
          <w:i/>
        </w:rPr>
        <w:t>MUST</w:t>
      </w:r>
      <w:r>
        <w:t xml:space="preserve"> check to make sure the advice has not changed:</w:t>
      </w:r>
    </w:p>
    <w:p w:rsidR="005C2A6E" w:rsidRDefault="005C2A6E"/>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 xml:space="preserve">Sample letters for schools following an exclusion available from Cheshire East via CHESS HUB - </w:t>
      </w:r>
      <w:hyperlink r:id="rId13">
        <w:r>
          <w:rPr>
            <w:color w:val="0563C1"/>
            <w:u w:val="single"/>
          </w:rPr>
          <w:t>https://www.chesshub.co.uk/</w:t>
        </w:r>
      </w:hyperlink>
    </w:p>
    <w:p w:rsidR="005C2A6E" w:rsidRDefault="005C2A6E"/>
    <w:p w:rsidR="005C2A6E" w:rsidRDefault="005C2A6E">
      <w:pPr>
        <w:rPr>
          <w:rFonts w:ascii="Arial" w:eastAsia="Arial" w:hAnsi="Arial" w:cs="Arial"/>
          <w:sz w:val="22"/>
          <w:szCs w:val="22"/>
        </w:rPr>
      </w:pPr>
    </w:p>
    <w:p w:rsidR="005C2A6E" w:rsidRDefault="005C2A6E">
      <w:pPr>
        <w:rPr>
          <w:rFonts w:ascii="Arial" w:eastAsia="Arial" w:hAnsi="Arial" w:cs="Arial"/>
          <w:sz w:val="22"/>
          <w:szCs w:val="22"/>
        </w:rPr>
      </w:pPr>
    </w:p>
    <w:p w:rsidR="005C2A6E" w:rsidRDefault="006108DA">
      <w:pPr>
        <w:numPr>
          <w:ilvl w:val="0"/>
          <w:numId w:val="5"/>
        </w:numPr>
        <w:pBdr>
          <w:top w:val="nil"/>
          <w:left w:val="nil"/>
          <w:bottom w:val="nil"/>
          <w:right w:val="nil"/>
          <w:between w:val="nil"/>
        </w:pBdr>
        <w:spacing w:line="276" w:lineRule="auto"/>
        <w:ind w:left="567" w:hanging="567"/>
        <w:rPr>
          <w:b/>
          <w:color w:val="000000"/>
          <w:sz w:val="32"/>
          <w:szCs w:val="32"/>
        </w:rPr>
      </w:pPr>
      <w:r>
        <w:rPr>
          <w:b/>
          <w:color w:val="000000"/>
          <w:sz w:val="32"/>
          <w:szCs w:val="32"/>
        </w:rPr>
        <w:t>Appendix 4 – Useful Links</w:t>
      </w:r>
    </w:p>
    <w:p w:rsidR="005C2A6E" w:rsidRDefault="005C2A6E">
      <w:pPr>
        <w:spacing w:line="276" w:lineRule="auto"/>
      </w:pPr>
    </w:p>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 xml:space="preserve">Sample letters for schools following an exclusion available from Cheshire East via CHESS HUB - </w:t>
      </w:r>
      <w:hyperlink r:id="rId14">
        <w:r>
          <w:rPr>
            <w:color w:val="0563C1"/>
            <w:u w:val="single"/>
          </w:rPr>
          <w:t>https://www.chesshub.co.uk/</w:t>
        </w:r>
      </w:hyperlink>
    </w:p>
    <w:p w:rsidR="005C2A6E" w:rsidRDefault="005C2A6E">
      <w:pPr>
        <w:spacing w:line="276" w:lineRule="auto"/>
      </w:pPr>
    </w:p>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 xml:space="preserve">Cheshire East Council exclusions information for Parents: </w:t>
      </w:r>
    </w:p>
    <w:p w:rsidR="005C2A6E" w:rsidRDefault="009E7480">
      <w:pPr>
        <w:pBdr>
          <w:top w:val="nil"/>
          <w:left w:val="nil"/>
          <w:bottom w:val="nil"/>
          <w:right w:val="nil"/>
          <w:between w:val="nil"/>
        </w:pBdr>
        <w:spacing w:line="276" w:lineRule="auto"/>
        <w:ind w:left="360"/>
        <w:rPr>
          <w:color w:val="000000"/>
        </w:rPr>
      </w:pPr>
      <w:hyperlink r:id="rId15">
        <w:r w:rsidR="006108DA">
          <w:rPr>
            <w:color w:val="0563C1"/>
            <w:u w:val="single"/>
          </w:rPr>
          <w:t>https://www.cheshireeast.gov.uk/schools/school-attendance/school-exclusions.aspx</w:t>
        </w:r>
      </w:hyperlink>
      <w:r w:rsidR="006108DA">
        <w:rPr>
          <w:color w:val="000000"/>
        </w:rPr>
        <w:t xml:space="preserve"> </w:t>
      </w:r>
    </w:p>
    <w:p w:rsidR="005C2A6E" w:rsidRDefault="005C2A6E">
      <w:pPr>
        <w:spacing w:line="276" w:lineRule="auto"/>
      </w:pPr>
    </w:p>
    <w:p w:rsidR="005C2A6E" w:rsidRDefault="006108DA">
      <w:pPr>
        <w:numPr>
          <w:ilvl w:val="0"/>
          <w:numId w:val="3"/>
        </w:numPr>
        <w:pBdr>
          <w:top w:val="nil"/>
          <w:left w:val="nil"/>
          <w:bottom w:val="nil"/>
          <w:right w:val="nil"/>
          <w:between w:val="nil"/>
        </w:pBdr>
        <w:spacing w:line="276" w:lineRule="auto"/>
        <w:ind w:left="360"/>
        <w:rPr>
          <w:color w:val="000000"/>
        </w:rPr>
      </w:pPr>
      <w:r>
        <w:rPr>
          <w:color w:val="000000"/>
        </w:rPr>
        <w:t>Changes to the School Exclusion process during the coronavirus outbreak:</w:t>
      </w:r>
    </w:p>
    <w:p w:rsidR="005C2A6E" w:rsidRDefault="009E7480">
      <w:pPr>
        <w:pBdr>
          <w:top w:val="nil"/>
          <w:left w:val="nil"/>
          <w:bottom w:val="nil"/>
          <w:right w:val="nil"/>
          <w:between w:val="nil"/>
        </w:pBdr>
        <w:spacing w:line="276" w:lineRule="auto"/>
        <w:ind w:left="360"/>
        <w:rPr>
          <w:color w:val="0563C1"/>
          <w:u w:val="single"/>
        </w:rPr>
      </w:pPr>
      <w:hyperlink r:id="rId16">
        <w:r w:rsidR="006108DA">
          <w:rPr>
            <w:color w:val="0563C1"/>
            <w:u w:val="single"/>
          </w:rPr>
          <w:t>https://www.gov.uk/government/publications/school-exclusion/changes-to-the-school-exclusion-process-during-the-coronavirus-outbreak</w:t>
        </w:r>
      </w:hyperlink>
    </w:p>
    <w:p w:rsidR="005C2A6E" w:rsidRDefault="005C2A6E">
      <w:pPr>
        <w:pBdr>
          <w:top w:val="nil"/>
          <w:left w:val="nil"/>
          <w:bottom w:val="nil"/>
          <w:right w:val="nil"/>
          <w:between w:val="nil"/>
        </w:pBdr>
        <w:spacing w:line="276" w:lineRule="auto"/>
        <w:ind w:left="360"/>
        <w:rPr>
          <w:color w:val="000000"/>
        </w:rPr>
      </w:pPr>
    </w:p>
    <w:p w:rsidR="005C2A6E" w:rsidRDefault="006108DA">
      <w:pPr>
        <w:numPr>
          <w:ilvl w:val="0"/>
          <w:numId w:val="3"/>
        </w:numPr>
        <w:pBdr>
          <w:top w:val="nil"/>
          <w:left w:val="nil"/>
          <w:bottom w:val="nil"/>
          <w:right w:val="nil"/>
          <w:between w:val="nil"/>
        </w:pBdr>
        <w:spacing w:line="276" w:lineRule="auto"/>
        <w:ind w:left="426" w:hanging="426"/>
        <w:rPr>
          <w:color w:val="000000"/>
        </w:rPr>
      </w:pPr>
      <w:r>
        <w:rPr>
          <w:color w:val="000000"/>
        </w:rPr>
        <w:t xml:space="preserve">Government’s Statutory guidance on School suspensions and permanent exclusions: </w:t>
      </w:r>
      <w:hyperlink r:id="rId17">
        <w:r>
          <w:rPr>
            <w:color w:val="0563C1"/>
            <w:u w:val="single"/>
          </w:rPr>
          <w:t>https://www.gov.uk/government/publications/school-exclusion</w:t>
        </w:r>
      </w:hyperlink>
    </w:p>
    <w:p w:rsidR="005C2A6E" w:rsidRDefault="006108DA">
      <w:pPr>
        <w:pBdr>
          <w:top w:val="nil"/>
          <w:left w:val="nil"/>
          <w:bottom w:val="nil"/>
          <w:right w:val="nil"/>
          <w:between w:val="nil"/>
        </w:pBdr>
        <w:spacing w:line="276" w:lineRule="auto"/>
        <w:ind w:left="360"/>
        <w:rPr>
          <w:color w:val="000000"/>
        </w:rPr>
      </w:pPr>
      <w:r>
        <w:rPr>
          <w:color w:val="000000"/>
        </w:rPr>
        <w:t xml:space="preserve"> </w:t>
      </w:r>
    </w:p>
    <w:p w:rsidR="005C2A6E" w:rsidRDefault="005C2A6E">
      <w:pPr>
        <w:pBdr>
          <w:top w:val="nil"/>
          <w:left w:val="nil"/>
          <w:bottom w:val="nil"/>
          <w:right w:val="nil"/>
          <w:between w:val="nil"/>
        </w:pBdr>
        <w:spacing w:line="276" w:lineRule="auto"/>
        <w:ind w:left="360"/>
        <w:rPr>
          <w:color w:val="000000"/>
        </w:rPr>
      </w:pPr>
    </w:p>
    <w:p w:rsidR="005C2A6E" w:rsidRDefault="005C2A6E">
      <w:pPr>
        <w:pBdr>
          <w:top w:val="nil"/>
          <w:left w:val="nil"/>
          <w:bottom w:val="nil"/>
          <w:right w:val="nil"/>
          <w:between w:val="nil"/>
        </w:pBdr>
        <w:spacing w:line="276" w:lineRule="auto"/>
        <w:ind w:left="360"/>
        <w:rPr>
          <w:color w:val="000000"/>
        </w:rPr>
      </w:pPr>
    </w:p>
    <w:p w:rsidR="005C2A6E" w:rsidRDefault="005C2A6E">
      <w:pPr>
        <w:pBdr>
          <w:top w:val="nil"/>
          <w:left w:val="nil"/>
          <w:bottom w:val="nil"/>
          <w:right w:val="nil"/>
          <w:between w:val="nil"/>
        </w:pBdr>
        <w:spacing w:line="276" w:lineRule="auto"/>
        <w:ind w:left="360"/>
        <w:rPr>
          <w:color w:val="000000"/>
        </w:rPr>
      </w:pPr>
    </w:p>
    <w:sectPr w:rsidR="005C2A6E">
      <w:type w:val="continuous"/>
      <w:pgSz w:w="11900" w:h="16840"/>
      <w:pgMar w:top="1440" w:right="1440" w:bottom="823"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FD7" w:rsidRDefault="006108DA">
      <w:r>
        <w:separator/>
      </w:r>
    </w:p>
  </w:endnote>
  <w:endnote w:type="continuationSeparator" w:id="0">
    <w:p w:rsidR="00780FD7" w:rsidRDefault="0061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6E" w:rsidRDefault="006108DA">
    <w:pPr>
      <w:pBdr>
        <w:top w:val="nil"/>
        <w:left w:val="nil"/>
        <w:bottom w:val="nil"/>
        <w:right w:val="nil"/>
        <w:between w:val="nil"/>
      </w:pBdr>
      <w:tabs>
        <w:tab w:val="center" w:pos="4513"/>
        <w:tab w:val="right" w:pos="9026"/>
      </w:tabs>
      <w:jc w:val="right"/>
      <w:rPr>
        <w:color w:val="000000"/>
      </w:rPr>
    </w:pPr>
    <w:r>
      <w:rPr>
        <w:color w:val="000000"/>
      </w:rPr>
      <w:t>LW / FGB (11.24)</w:t>
    </w:r>
  </w:p>
  <w:p w:rsidR="005C2A6E" w:rsidRDefault="005C2A6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FD7" w:rsidRDefault="006108DA">
      <w:r>
        <w:separator/>
      </w:r>
    </w:p>
  </w:footnote>
  <w:footnote w:type="continuationSeparator" w:id="0">
    <w:p w:rsidR="00780FD7" w:rsidRDefault="0061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6E" w:rsidRDefault="006108DA">
    <w:pPr>
      <w:pBdr>
        <w:top w:val="nil"/>
        <w:left w:val="nil"/>
        <w:bottom w:val="nil"/>
        <w:right w:val="nil"/>
        <w:between w:val="nil"/>
      </w:pBdr>
      <w:tabs>
        <w:tab w:val="center" w:pos="4513"/>
        <w:tab w:val="right" w:pos="9026"/>
      </w:tabs>
      <w:jc w:val="right"/>
      <w:rPr>
        <w:color w:val="000000"/>
        <w:sz w:val="16"/>
        <w:szCs w:val="16"/>
      </w:rPr>
    </w:pPr>
    <w:r>
      <w:rPr>
        <w:color w:val="000000"/>
        <w:sz w:val="16"/>
        <w:szCs w:val="16"/>
      </w:rPr>
      <w:t>76. Exclusions</w:t>
    </w:r>
  </w:p>
  <w:p w:rsidR="005C2A6E" w:rsidRDefault="005C2A6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BD7"/>
    <w:multiLevelType w:val="multilevel"/>
    <w:tmpl w:val="05E0C7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DE747B"/>
    <w:multiLevelType w:val="multilevel"/>
    <w:tmpl w:val="B45E2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DF2520"/>
    <w:multiLevelType w:val="multilevel"/>
    <w:tmpl w:val="E38299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3E7F57"/>
    <w:multiLevelType w:val="multilevel"/>
    <w:tmpl w:val="FB86F0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1C4ED0"/>
    <w:multiLevelType w:val="multilevel"/>
    <w:tmpl w:val="8DF2E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565307"/>
    <w:multiLevelType w:val="multilevel"/>
    <w:tmpl w:val="0382F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934F4A"/>
    <w:multiLevelType w:val="multilevel"/>
    <w:tmpl w:val="3D24F9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9C6640"/>
    <w:multiLevelType w:val="multilevel"/>
    <w:tmpl w:val="DCD8EB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5A14F3C"/>
    <w:multiLevelType w:val="multilevel"/>
    <w:tmpl w:val="F8E2B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983AFA"/>
    <w:multiLevelType w:val="multilevel"/>
    <w:tmpl w:val="881E8924"/>
    <w:lvl w:ilvl="0">
      <w:start w:val="1"/>
      <w:numFmt w:val="decimal"/>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A443A"/>
    <w:multiLevelType w:val="multilevel"/>
    <w:tmpl w:val="68283D2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3706B35"/>
    <w:multiLevelType w:val="multilevel"/>
    <w:tmpl w:val="3676C6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9B570A"/>
    <w:multiLevelType w:val="multilevel"/>
    <w:tmpl w:val="D8D62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4"/>
  </w:num>
  <w:num w:numId="4">
    <w:abstractNumId w:val="2"/>
  </w:num>
  <w:num w:numId="5">
    <w:abstractNumId w:val="9"/>
  </w:num>
  <w:num w:numId="6">
    <w:abstractNumId w:val="8"/>
  </w:num>
  <w:num w:numId="7">
    <w:abstractNumId w:val="7"/>
  </w:num>
  <w:num w:numId="8">
    <w:abstractNumId w:val="1"/>
  </w:num>
  <w:num w:numId="9">
    <w:abstractNumId w:val="11"/>
  </w:num>
  <w:num w:numId="10">
    <w:abstractNumId w:val="3"/>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6E"/>
    <w:rsid w:val="005C2A6E"/>
    <w:rsid w:val="006108DA"/>
    <w:rsid w:val="00780FD7"/>
    <w:rsid w:val="009E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9FE7F-89C5-4B63-A9BB-55CE9D17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128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01B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835CF"/>
    <w:pPr>
      <w:ind w:left="720"/>
      <w:contextualSpacing/>
    </w:pPr>
  </w:style>
  <w:style w:type="table" w:styleId="TableGrid">
    <w:name w:val="Table Grid"/>
    <w:basedOn w:val="TableNormal"/>
    <w:uiPriority w:val="39"/>
    <w:rsid w:val="003B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1287"/>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631287"/>
  </w:style>
  <w:style w:type="character" w:styleId="Hyperlink">
    <w:name w:val="Hyperlink"/>
    <w:basedOn w:val="DefaultParagraphFont"/>
    <w:uiPriority w:val="99"/>
    <w:unhideWhenUsed/>
    <w:rsid w:val="00631287"/>
    <w:rPr>
      <w:color w:val="0563C1" w:themeColor="hyperlink"/>
      <w:u w:val="single"/>
    </w:rPr>
  </w:style>
  <w:style w:type="character" w:customStyle="1" w:styleId="UnresolvedMention1">
    <w:name w:val="Unresolved Mention1"/>
    <w:basedOn w:val="DefaultParagraphFont"/>
    <w:uiPriority w:val="99"/>
    <w:semiHidden/>
    <w:unhideWhenUsed/>
    <w:rsid w:val="00631287"/>
    <w:rPr>
      <w:color w:val="605E5C"/>
      <w:shd w:val="clear" w:color="auto" w:fill="E1DFDD"/>
    </w:rPr>
  </w:style>
  <w:style w:type="character" w:customStyle="1" w:styleId="Heading2Char">
    <w:name w:val="Heading 2 Char"/>
    <w:basedOn w:val="DefaultParagraphFont"/>
    <w:link w:val="Heading2"/>
    <w:uiPriority w:val="9"/>
    <w:rsid w:val="00A01B2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01B2D"/>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1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512"/>
    <w:rPr>
      <w:rFonts w:ascii="Segoe UI" w:hAnsi="Segoe UI" w:cs="Segoe UI"/>
      <w:sz w:val="18"/>
      <w:szCs w:val="18"/>
    </w:rPr>
  </w:style>
  <w:style w:type="paragraph" w:styleId="Header">
    <w:name w:val="header"/>
    <w:basedOn w:val="Normal"/>
    <w:link w:val="HeaderChar"/>
    <w:uiPriority w:val="99"/>
    <w:unhideWhenUsed/>
    <w:rsid w:val="001107E2"/>
    <w:pPr>
      <w:tabs>
        <w:tab w:val="center" w:pos="4513"/>
        <w:tab w:val="right" w:pos="9026"/>
      </w:tabs>
    </w:pPr>
  </w:style>
  <w:style w:type="character" w:customStyle="1" w:styleId="HeaderChar">
    <w:name w:val="Header Char"/>
    <w:basedOn w:val="DefaultParagraphFont"/>
    <w:link w:val="Header"/>
    <w:uiPriority w:val="99"/>
    <w:rsid w:val="001107E2"/>
  </w:style>
  <w:style w:type="paragraph" w:styleId="Footer">
    <w:name w:val="footer"/>
    <w:basedOn w:val="Normal"/>
    <w:link w:val="FooterChar"/>
    <w:uiPriority w:val="99"/>
    <w:unhideWhenUsed/>
    <w:rsid w:val="001107E2"/>
    <w:pPr>
      <w:tabs>
        <w:tab w:val="center" w:pos="4513"/>
        <w:tab w:val="right" w:pos="9026"/>
      </w:tabs>
    </w:pPr>
  </w:style>
  <w:style w:type="character" w:customStyle="1" w:styleId="FooterChar">
    <w:name w:val="Footer Char"/>
    <w:basedOn w:val="DefaultParagraphFont"/>
    <w:link w:val="Footer"/>
    <w:uiPriority w:val="99"/>
    <w:rsid w:val="001107E2"/>
  </w:style>
  <w:style w:type="character" w:styleId="FollowedHyperlink">
    <w:name w:val="FollowedHyperlink"/>
    <w:basedOn w:val="DefaultParagraphFont"/>
    <w:uiPriority w:val="99"/>
    <w:semiHidden/>
    <w:unhideWhenUsed/>
    <w:rsid w:val="00265AB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esshub.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www.gov.uk/government/publications/school-exclusion" TargetMode="External"/><Relationship Id="rId2" Type="http://schemas.openxmlformats.org/officeDocument/2006/relationships/numbering" Target="numbering.xml"/><Relationship Id="rId16" Type="http://schemas.openxmlformats.org/officeDocument/2006/relationships/hyperlink" Target="https://www.gov.uk/government/publications/school-exclusion/changes-to-the-school-exclusion-process-during-the-coronavirus-outbr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clusionCE@cheshireeast.gov.uk" TargetMode="External"/><Relationship Id="rId5" Type="http://schemas.openxmlformats.org/officeDocument/2006/relationships/webSettings" Target="webSettings.xml"/><Relationship Id="rId15" Type="http://schemas.openxmlformats.org/officeDocument/2006/relationships/hyperlink" Target="https://www.cheshireeast.gov.uk/schools/school-attendance/school-exclusions.aspx" TargetMode="External"/><Relationship Id="rId10" Type="http://schemas.openxmlformats.org/officeDocument/2006/relationships/hyperlink" Target="https://www.gov.uk/government/publications/school-exclu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hessh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laBPOWT5SPmDOrH129XEBeu0Q==">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Clark</dc:creator>
  <cp:lastModifiedBy>Head Teacher</cp:lastModifiedBy>
  <cp:revision>2</cp:revision>
  <dcterms:created xsi:type="dcterms:W3CDTF">2024-12-03T10:39:00Z</dcterms:created>
  <dcterms:modified xsi:type="dcterms:W3CDTF">2024-12-03T10:39:00Z</dcterms:modified>
</cp:coreProperties>
</file>