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29AD" w14:textId="05927752" w:rsidR="00166723" w:rsidRPr="00166723" w:rsidRDefault="00166723" w:rsidP="00166723">
      <w:pPr>
        <w:rPr>
          <w:color w:val="5B9BD5" w:themeColor="accent1"/>
          <w:sz w:val="40"/>
          <w:szCs w:val="40"/>
        </w:rPr>
      </w:pPr>
      <w:r>
        <w:rPr>
          <w:noProof/>
          <w:color w:val="5B9BD5" w:themeColor="accent1"/>
          <w:sz w:val="40"/>
          <w:szCs w:val="40"/>
        </w:rPr>
        <w:drawing>
          <wp:inline distT="0" distB="0" distL="0" distR="0" wp14:anchorId="1BCEB2EB" wp14:editId="63B296DE">
            <wp:extent cx="3648075" cy="897255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737"/>
                    <a:stretch/>
                  </pic:blipFill>
                  <pic:spPr bwMode="auto">
                    <a:xfrm>
                      <a:off x="0" y="0"/>
                      <a:ext cx="3676267" cy="904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35F7" w:rsidRPr="009935F7">
        <w:rPr>
          <w:color w:val="5B9BD5" w:themeColor="accent1"/>
          <w:sz w:val="40"/>
          <w:szCs w:val="40"/>
        </w:rPr>
        <w:t xml:space="preserve"> </w:t>
      </w:r>
      <w:r w:rsidR="009935F7">
        <w:rPr>
          <w:color w:val="5B9BD5" w:themeColor="accent1"/>
          <w:sz w:val="40"/>
          <w:szCs w:val="40"/>
        </w:rPr>
        <w:t xml:space="preserve">       </w:t>
      </w:r>
      <w:r w:rsidR="00080C6C">
        <w:rPr>
          <w:color w:val="5B9BD5" w:themeColor="accent1"/>
          <w:sz w:val="40"/>
          <w:szCs w:val="40"/>
        </w:rPr>
        <w:t>P</w:t>
      </w:r>
      <w:r w:rsidR="009935F7" w:rsidRPr="00B646FB">
        <w:rPr>
          <w:color w:val="5B9BD5" w:themeColor="accent1"/>
          <w:sz w:val="40"/>
          <w:szCs w:val="40"/>
        </w:rPr>
        <w:t>up</w:t>
      </w:r>
      <w:r w:rsidR="008C4FA8">
        <w:rPr>
          <w:color w:val="5B9BD5" w:themeColor="accent1"/>
          <w:sz w:val="40"/>
          <w:szCs w:val="40"/>
        </w:rPr>
        <w:t xml:space="preserve">il Premium Action Plan </w:t>
      </w:r>
      <w:r w:rsidR="00080C6C">
        <w:rPr>
          <w:color w:val="5B9BD5" w:themeColor="accent1"/>
          <w:sz w:val="40"/>
          <w:szCs w:val="40"/>
        </w:rPr>
        <w:t xml:space="preserve">Review </w:t>
      </w:r>
      <w:r w:rsidR="00CA71A5">
        <w:rPr>
          <w:color w:val="5B9BD5" w:themeColor="accent1"/>
          <w:sz w:val="40"/>
          <w:szCs w:val="40"/>
        </w:rPr>
        <w:t>20</w:t>
      </w:r>
      <w:r w:rsidR="00966DF9">
        <w:rPr>
          <w:color w:val="5B9BD5" w:themeColor="accent1"/>
          <w:sz w:val="40"/>
          <w:szCs w:val="40"/>
        </w:rPr>
        <w:t>2</w:t>
      </w:r>
      <w:r w:rsidR="00F21D34">
        <w:rPr>
          <w:color w:val="5B9BD5" w:themeColor="accent1"/>
          <w:sz w:val="40"/>
          <w:szCs w:val="40"/>
        </w:rPr>
        <w:t>4</w:t>
      </w:r>
      <w:r w:rsidR="00CA71A5">
        <w:rPr>
          <w:color w:val="5B9BD5" w:themeColor="accent1"/>
          <w:sz w:val="40"/>
          <w:szCs w:val="40"/>
        </w:rPr>
        <w:t>-202</w:t>
      </w:r>
      <w:r w:rsidR="00F21D34">
        <w:rPr>
          <w:color w:val="5B9BD5" w:themeColor="accent1"/>
          <w:sz w:val="40"/>
          <w:szCs w:val="40"/>
        </w:rPr>
        <w:t>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405"/>
        <w:gridCol w:w="2693"/>
        <w:gridCol w:w="4111"/>
        <w:gridCol w:w="3402"/>
        <w:gridCol w:w="1701"/>
      </w:tblGrid>
      <w:tr w:rsidR="00704721" w:rsidRPr="001F669A" w14:paraId="64CA6C6D" w14:textId="77777777" w:rsidTr="00655648">
        <w:tc>
          <w:tcPr>
            <w:tcW w:w="14312" w:type="dxa"/>
            <w:gridSpan w:val="5"/>
            <w:shd w:val="clear" w:color="auto" w:fill="DEEAF6" w:themeFill="accent1" w:themeFillTint="33"/>
          </w:tcPr>
          <w:p w14:paraId="05F6B6AB" w14:textId="6ECDE0FC" w:rsidR="00704721" w:rsidRPr="002B66E3" w:rsidRDefault="00704721" w:rsidP="008C4FA8">
            <w:pPr>
              <w:rPr>
                <w:b/>
              </w:rPr>
            </w:pPr>
            <w:r w:rsidRPr="002B66E3">
              <w:rPr>
                <w:b/>
              </w:rPr>
              <w:t>R</w:t>
            </w:r>
            <w:r w:rsidR="00822151" w:rsidRPr="002B66E3">
              <w:rPr>
                <w:b/>
              </w:rPr>
              <w:t>EVIEW OF EXPENDITURE – 20</w:t>
            </w:r>
            <w:r w:rsidR="00966DF9" w:rsidRPr="002B66E3">
              <w:rPr>
                <w:b/>
              </w:rPr>
              <w:t>2</w:t>
            </w:r>
            <w:r w:rsidR="00DB3530">
              <w:rPr>
                <w:b/>
              </w:rPr>
              <w:t>4</w:t>
            </w:r>
            <w:r w:rsidR="00822151" w:rsidRPr="002B66E3">
              <w:rPr>
                <w:b/>
              </w:rPr>
              <w:t>/202</w:t>
            </w:r>
            <w:r w:rsidR="00DB3530">
              <w:rPr>
                <w:b/>
              </w:rPr>
              <w:t>5</w:t>
            </w:r>
            <w:r w:rsidR="00C3127A" w:rsidRPr="002B66E3">
              <w:rPr>
                <w:b/>
              </w:rPr>
              <w:t xml:space="preserve">     </w:t>
            </w:r>
            <w:r w:rsidR="00166723" w:rsidRPr="002B66E3">
              <w:t>£4</w:t>
            </w:r>
            <w:r w:rsidR="00437C6A" w:rsidRPr="002B66E3">
              <w:t>0,</w:t>
            </w:r>
            <w:r w:rsidR="00F21D34">
              <w:t>200</w:t>
            </w:r>
            <w:r w:rsidR="00166723" w:rsidRPr="002B66E3">
              <w:t>.00</w:t>
            </w:r>
          </w:p>
        </w:tc>
      </w:tr>
      <w:tr w:rsidR="00704721" w:rsidRPr="001F669A" w14:paraId="73D2288B" w14:textId="77777777" w:rsidTr="00655648">
        <w:tc>
          <w:tcPr>
            <w:tcW w:w="14312" w:type="dxa"/>
            <w:gridSpan w:val="5"/>
            <w:shd w:val="clear" w:color="auto" w:fill="DEEAF6" w:themeFill="accent1" w:themeFillTint="33"/>
          </w:tcPr>
          <w:p w14:paraId="44AE752D" w14:textId="77777777" w:rsidR="00704721" w:rsidRPr="002B66E3" w:rsidRDefault="00704721" w:rsidP="0070472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2B66E3">
              <w:rPr>
                <w:b/>
              </w:rPr>
              <w:t>Quality of teaching for all.</w:t>
            </w:r>
          </w:p>
        </w:tc>
      </w:tr>
      <w:tr w:rsidR="00704721" w:rsidRPr="001F669A" w14:paraId="788A08BE" w14:textId="77777777" w:rsidTr="00655648">
        <w:tc>
          <w:tcPr>
            <w:tcW w:w="2405" w:type="dxa"/>
            <w:shd w:val="clear" w:color="auto" w:fill="DEEAF6" w:themeFill="accent1" w:themeFillTint="33"/>
          </w:tcPr>
          <w:p w14:paraId="606A5D99" w14:textId="77777777" w:rsidR="00704721" w:rsidRPr="002B66E3" w:rsidRDefault="00704721" w:rsidP="006B5E8D">
            <w:pPr>
              <w:rPr>
                <w:b/>
              </w:rPr>
            </w:pPr>
            <w:r w:rsidRPr="002B66E3">
              <w:rPr>
                <w:b/>
              </w:rPr>
              <w:t>Desired outcome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6B958F38" w14:textId="77777777" w:rsidR="00704721" w:rsidRPr="002B66E3" w:rsidRDefault="00704721" w:rsidP="006B5E8D">
            <w:pPr>
              <w:rPr>
                <w:b/>
              </w:rPr>
            </w:pPr>
            <w:r w:rsidRPr="002B66E3">
              <w:rPr>
                <w:b/>
              </w:rPr>
              <w:t>Chosen action/approach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63A452F9" w14:textId="77777777" w:rsidR="00704721" w:rsidRPr="002B66E3" w:rsidRDefault="00704721" w:rsidP="006B5E8D">
            <w:r w:rsidRPr="002B66E3">
              <w:rPr>
                <w:b/>
              </w:rPr>
              <w:t xml:space="preserve">Impact: </w:t>
            </w:r>
            <w:r w:rsidRPr="002B66E3">
              <w:t>Did we meet the success criteria? Include impact on pupils not eligible for PP if appropriate.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32100F92" w14:textId="77777777" w:rsidR="00704721" w:rsidRPr="002B66E3" w:rsidRDefault="00704721" w:rsidP="006B5E8D">
            <w:pPr>
              <w:rPr>
                <w:b/>
              </w:rPr>
            </w:pPr>
            <w:r w:rsidRPr="002B66E3">
              <w:rPr>
                <w:b/>
              </w:rPr>
              <w:t>Lessons learned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D322A35" w14:textId="77777777" w:rsidR="00704721" w:rsidRPr="002B66E3" w:rsidRDefault="00704721" w:rsidP="006B5E8D">
            <w:pPr>
              <w:rPr>
                <w:b/>
              </w:rPr>
            </w:pPr>
            <w:r w:rsidRPr="002B66E3">
              <w:rPr>
                <w:b/>
              </w:rPr>
              <w:t>Cost</w:t>
            </w:r>
          </w:p>
        </w:tc>
      </w:tr>
      <w:tr w:rsidR="00EC083E" w:rsidRPr="001F669A" w14:paraId="58D27592" w14:textId="77777777" w:rsidTr="002B66E3">
        <w:tc>
          <w:tcPr>
            <w:tcW w:w="2405" w:type="dxa"/>
          </w:tcPr>
          <w:p w14:paraId="3D8F717E" w14:textId="77777777" w:rsidR="00EC083E" w:rsidRPr="00A87EF4" w:rsidRDefault="00EC083E" w:rsidP="00EC083E">
            <w:r w:rsidRPr="00A87EF4">
              <w:t>Member of staff trained to BSL level 3</w:t>
            </w:r>
          </w:p>
          <w:p w14:paraId="3698114F" w14:textId="25D6D3FE" w:rsidR="00EC083E" w:rsidRPr="00F07836" w:rsidRDefault="00EC083E" w:rsidP="00EC083E">
            <w:pPr>
              <w:ind w:left="32"/>
            </w:pPr>
          </w:p>
        </w:tc>
        <w:tc>
          <w:tcPr>
            <w:tcW w:w="2693" w:type="dxa"/>
            <w:shd w:val="clear" w:color="auto" w:fill="auto"/>
          </w:tcPr>
          <w:p w14:paraId="4301CDC8" w14:textId="77777777" w:rsidR="00EC083E" w:rsidRDefault="00EC083E" w:rsidP="00EC083E">
            <w:pPr>
              <w:rPr>
                <w:bCs/>
              </w:rPr>
            </w:pPr>
            <w:r w:rsidRPr="00A87EF4">
              <w:rPr>
                <w:bCs/>
              </w:rPr>
              <w:t>Attendance at BSL training course.</w:t>
            </w:r>
          </w:p>
          <w:p w14:paraId="26B646A3" w14:textId="22E96CA9" w:rsidR="00EC083E" w:rsidRPr="00F07836" w:rsidRDefault="00EC083E" w:rsidP="00EC083E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14:paraId="39C091D7" w14:textId="4AAF7FD6" w:rsidR="00EC083E" w:rsidRPr="00F07836" w:rsidRDefault="00EC083E" w:rsidP="00EC083E">
            <w:r>
              <w:t>Member of staff has been trained and is using her skills with a HI pupil in her class. She has supported him in transition to his next class and the move went well.</w:t>
            </w:r>
          </w:p>
        </w:tc>
        <w:tc>
          <w:tcPr>
            <w:tcW w:w="3402" w:type="dxa"/>
          </w:tcPr>
          <w:p w14:paraId="2BA7A88B" w14:textId="34414881" w:rsidR="00EC083E" w:rsidRPr="00F07836" w:rsidRDefault="00EC083E" w:rsidP="00EC083E">
            <w:r>
              <w:t>This was an effective course, supported by our HI service.</w:t>
            </w:r>
          </w:p>
        </w:tc>
        <w:tc>
          <w:tcPr>
            <w:tcW w:w="1701" w:type="dxa"/>
            <w:shd w:val="clear" w:color="auto" w:fill="auto"/>
          </w:tcPr>
          <w:p w14:paraId="59F9A241" w14:textId="5FAD690C" w:rsidR="00EC083E" w:rsidRPr="00F07836" w:rsidRDefault="00EC083E" w:rsidP="00EC083E">
            <w:pPr>
              <w:rPr>
                <w:b/>
              </w:rPr>
            </w:pPr>
            <w:r w:rsidRPr="00F07836">
              <w:rPr>
                <w:b/>
              </w:rPr>
              <w:t>£1,002.00</w:t>
            </w:r>
          </w:p>
        </w:tc>
      </w:tr>
      <w:tr w:rsidR="00C3127A" w:rsidRPr="001F669A" w14:paraId="5F167992" w14:textId="77777777" w:rsidTr="00655648">
        <w:tc>
          <w:tcPr>
            <w:tcW w:w="14312" w:type="dxa"/>
            <w:gridSpan w:val="5"/>
            <w:shd w:val="clear" w:color="auto" w:fill="DEEAF6" w:themeFill="accent1" w:themeFillTint="33"/>
          </w:tcPr>
          <w:p w14:paraId="1A7D96FF" w14:textId="77777777" w:rsidR="00C3127A" w:rsidRPr="00F07836" w:rsidRDefault="00C3127A" w:rsidP="00C3127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F07836">
              <w:rPr>
                <w:b/>
              </w:rPr>
              <w:t>Targeted support</w:t>
            </w:r>
          </w:p>
        </w:tc>
      </w:tr>
      <w:tr w:rsidR="005F75C3" w:rsidRPr="001F669A" w14:paraId="22EDBC9C" w14:textId="77777777" w:rsidTr="00655648">
        <w:tc>
          <w:tcPr>
            <w:tcW w:w="2405" w:type="dxa"/>
            <w:vMerge w:val="restart"/>
          </w:tcPr>
          <w:p w14:paraId="516351B8" w14:textId="229D1520" w:rsidR="005F75C3" w:rsidRDefault="005F75C3" w:rsidP="005F75C3">
            <w:r w:rsidRPr="00783305">
              <w:t>Specialist interventions or equipment</w:t>
            </w:r>
            <w:r>
              <w:t>:</w:t>
            </w:r>
          </w:p>
          <w:p w14:paraId="5D355C89" w14:textId="5E6C2574" w:rsidR="005F75C3" w:rsidRDefault="005F75C3" w:rsidP="005F75C3">
            <w:r w:rsidRPr="00783305">
              <w:t xml:space="preserve">Music therapy </w:t>
            </w:r>
          </w:p>
          <w:p w14:paraId="75E5C973" w14:textId="0B6E39B7" w:rsidR="005F75C3" w:rsidRDefault="005F75C3" w:rsidP="005F75C3"/>
          <w:p w14:paraId="1EA8DB8D" w14:textId="4EFB814B" w:rsidR="005F75C3" w:rsidRDefault="005F75C3" w:rsidP="005F75C3"/>
          <w:p w14:paraId="219C089E" w14:textId="77777777" w:rsidR="005F75C3" w:rsidRPr="00F07836" w:rsidRDefault="005F75C3" w:rsidP="005F75C3"/>
          <w:p w14:paraId="632BE9B4" w14:textId="38BB5AC0" w:rsidR="005F75C3" w:rsidRDefault="005F75C3" w:rsidP="00B66989">
            <w:r w:rsidRPr="00F07836">
              <w:t>Hall speaker</w:t>
            </w:r>
          </w:p>
          <w:p w14:paraId="06955723" w14:textId="2A3C95F5" w:rsidR="005F75C3" w:rsidRDefault="005F75C3" w:rsidP="00B66989"/>
          <w:p w14:paraId="7151B357" w14:textId="6659FA8D" w:rsidR="005F75C3" w:rsidRDefault="005F75C3" w:rsidP="00B66989"/>
          <w:p w14:paraId="24EDED6F" w14:textId="77777777" w:rsidR="005F75C3" w:rsidRPr="00F07836" w:rsidRDefault="005F75C3" w:rsidP="00B66989"/>
          <w:p w14:paraId="26B19AD9" w14:textId="0863BB46" w:rsidR="005F75C3" w:rsidRDefault="005F75C3" w:rsidP="00B66989">
            <w:pPr>
              <w:rPr>
                <w:rFonts w:ascii="Calibri" w:eastAsia="Times New Roman" w:hAnsi="Calibri" w:cs="Calibri"/>
                <w:lang w:eastAsia="en-GB"/>
              </w:rPr>
            </w:pPr>
            <w:r w:rsidRPr="008122CB">
              <w:rPr>
                <w:rFonts w:ascii="Calibri" w:eastAsia="Times New Roman" w:hAnsi="Calibri" w:cs="Calibri"/>
                <w:lang w:eastAsia="en-GB"/>
              </w:rPr>
              <w:t>Huntington flooring</w:t>
            </w:r>
          </w:p>
          <w:p w14:paraId="75142872" w14:textId="21608A36" w:rsidR="00F37CA5" w:rsidRDefault="00F37CA5" w:rsidP="00B66989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0FA30992" w14:textId="7CB2D23E" w:rsidR="00F37CA5" w:rsidRDefault="00F37CA5" w:rsidP="00B66989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73389B2B" w14:textId="77777777" w:rsidR="00F37CA5" w:rsidRPr="00F07836" w:rsidRDefault="00F37CA5" w:rsidP="00B66989"/>
          <w:p w14:paraId="068E455C" w14:textId="5E2D938C" w:rsidR="005F75C3" w:rsidRDefault="005F75C3" w:rsidP="00B66989">
            <w:pPr>
              <w:rPr>
                <w:rFonts w:ascii="Calibri" w:eastAsia="Times New Roman" w:hAnsi="Calibri" w:cs="Calibri"/>
                <w:lang w:eastAsia="en-GB"/>
              </w:rPr>
            </w:pPr>
            <w:r w:rsidRPr="008122CB">
              <w:rPr>
                <w:rFonts w:ascii="Calibri" w:eastAsia="Times New Roman" w:hAnsi="Calibri" w:cs="Calibri"/>
                <w:lang w:eastAsia="en-GB"/>
              </w:rPr>
              <w:t>Swimming pool works</w:t>
            </w:r>
          </w:p>
          <w:p w14:paraId="15823EC6" w14:textId="40AEFCC9" w:rsidR="00F37CA5" w:rsidRDefault="00F37CA5" w:rsidP="00B66989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1424701B" w14:textId="54ED816B" w:rsidR="00F37CA5" w:rsidRDefault="00F37CA5" w:rsidP="00B66989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368AB5E5" w14:textId="77777777" w:rsidR="00F37CA5" w:rsidRPr="00F07836" w:rsidRDefault="00F37CA5" w:rsidP="00B66989"/>
          <w:p w14:paraId="1B079BB0" w14:textId="1966114B" w:rsidR="005F75C3" w:rsidRDefault="005F75C3" w:rsidP="00B66989">
            <w:pPr>
              <w:rPr>
                <w:rFonts w:ascii="Calibri" w:eastAsia="Times New Roman" w:hAnsi="Calibri" w:cs="Calibri"/>
                <w:lang w:eastAsia="en-GB"/>
              </w:rPr>
            </w:pPr>
            <w:r w:rsidRPr="008122CB">
              <w:rPr>
                <w:rFonts w:ascii="Calibri" w:eastAsia="Times New Roman" w:hAnsi="Calibri" w:cs="Calibri"/>
                <w:lang w:eastAsia="en-GB"/>
              </w:rPr>
              <w:t>Laptops</w:t>
            </w:r>
          </w:p>
          <w:p w14:paraId="7BB21E65" w14:textId="7B44F2B6" w:rsidR="00F37CA5" w:rsidRDefault="00F37CA5" w:rsidP="00B66989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1F203139" w14:textId="310D09FC" w:rsidR="00F37CA5" w:rsidRDefault="00F37CA5" w:rsidP="00B66989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5C44DDD0" w14:textId="77777777" w:rsidR="00F37CA5" w:rsidRPr="00F07836" w:rsidRDefault="00F37CA5" w:rsidP="00B66989"/>
          <w:p w14:paraId="7C42B412" w14:textId="0DEC6A6F" w:rsidR="005F75C3" w:rsidRPr="00F07836" w:rsidRDefault="005F75C3" w:rsidP="00B66989">
            <w:r w:rsidRPr="008122CB">
              <w:rPr>
                <w:rFonts w:ascii="Calibri" w:eastAsia="Times New Roman" w:hAnsi="Calibri" w:cs="Calibri"/>
                <w:lang w:eastAsia="en-GB"/>
              </w:rPr>
              <w:t>Huntington fencing</w:t>
            </w:r>
          </w:p>
        </w:tc>
        <w:tc>
          <w:tcPr>
            <w:tcW w:w="2693" w:type="dxa"/>
          </w:tcPr>
          <w:p w14:paraId="54109D6D" w14:textId="12BA07AA" w:rsidR="005F75C3" w:rsidRPr="00084681" w:rsidRDefault="005F75C3" w:rsidP="005F75C3">
            <w:pPr>
              <w:rPr>
                <w:b/>
              </w:rPr>
            </w:pPr>
            <w:r w:rsidRPr="00084681">
              <w:lastRenderedPageBreak/>
              <w:t xml:space="preserve">Music Therapy by a therapist for </w:t>
            </w:r>
            <w:r>
              <w:t>1</w:t>
            </w:r>
            <w:r w:rsidRPr="00084681">
              <w:t xml:space="preserve"> day a week.</w:t>
            </w:r>
          </w:p>
          <w:p w14:paraId="5F4FEB8F" w14:textId="25063D58" w:rsidR="005F75C3" w:rsidRPr="00F07836" w:rsidRDefault="005F75C3" w:rsidP="005F75C3">
            <w:pPr>
              <w:rPr>
                <w:bCs/>
              </w:rPr>
            </w:pPr>
          </w:p>
        </w:tc>
        <w:tc>
          <w:tcPr>
            <w:tcW w:w="4111" w:type="dxa"/>
          </w:tcPr>
          <w:p w14:paraId="180CBE18" w14:textId="489FBE99" w:rsidR="005F75C3" w:rsidRPr="00F07836" w:rsidRDefault="005F75C3" w:rsidP="005F75C3">
            <w:r w:rsidRPr="00084681">
              <w:t xml:space="preserve">Our music therapist now works </w:t>
            </w:r>
            <w:r>
              <w:t>1</w:t>
            </w:r>
            <w:r w:rsidRPr="00084681">
              <w:t xml:space="preserve"> day a week and continues</w:t>
            </w:r>
            <w:r>
              <w:t xml:space="preserve"> to make</w:t>
            </w:r>
            <w:r w:rsidRPr="00084681">
              <w:t xml:space="preserve"> a great difference with some of our most vulnerable pupils. She has</w:t>
            </w:r>
            <w:r>
              <w:t xml:space="preserve"> continued</w:t>
            </w:r>
            <w:r w:rsidRPr="00084681">
              <w:t xml:space="preserve"> work</w:t>
            </w:r>
            <w:r>
              <w:t>ing</w:t>
            </w:r>
            <w:r w:rsidRPr="00084681">
              <w:t xml:space="preserve"> with our LAC and CP level pupils during the year.</w:t>
            </w:r>
          </w:p>
        </w:tc>
        <w:tc>
          <w:tcPr>
            <w:tcW w:w="3402" w:type="dxa"/>
          </w:tcPr>
          <w:p w14:paraId="3BE55CD6" w14:textId="401A4BF1" w:rsidR="005F75C3" w:rsidRPr="00F07836" w:rsidRDefault="005F75C3" w:rsidP="005F75C3">
            <w:r w:rsidRPr="00084681">
              <w:t xml:space="preserve">This continues to be a vital part of our offer in school and </w:t>
            </w:r>
            <w:r>
              <w:t>although</w:t>
            </w:r>
            <w:r w:rsidRPr="00084681">
              <w:t xml:space="preserve"> our music therapist </w:t>
            </w:r>
            <w:r>
              <w:t>is unable to offer more than 1 day, it is still of great value to those she works with.</w:t>
            </w:r>
          </w:p>
        </w:tc>
        <w:tc>
          <w:tcPr>
            <w:tcW w:w="1701" w:type="dxa"/>
            <w:shd w:val="clear" w:color="auto" w:fill="auto"/>
          </w:tcPr>
          <w:p w14:paraId="69274778" w14:textId="53D61301" w:rsidR="005F75C3" w:rsidRPr="00F07836" w:rsidRDefault="005F75C3" w:rsidP="005F75C3">
            <w:pPr>
              <w:rPr>
                <w:b/>
              </w:rPr>
            </w:pPr>
            <w:r w:rsidRPr="00F07836">
              <w:rPr>
                <w:b/>
              </w:rPr>
              <w:t>£11,797.00</w:t>
            </w:r>
          </w:p>
        </w:tc>
      </w:tr>
      <w:tr w:rsidR="005F75C3" w:rsidRPr="001F669A" w14:paraId="04E1BC63" w14:textId="77777777" w:rsidTr="00655648">
        <w:tc>
          <w:tcPr>
            <w:tcW w:w="2405" w:type="dxa"/>
            <w:vMerge/>
          </w:tcPr>
          <w:p w14:paraId="3E59E22E" w14:textId="5956422B" w:rsidR="005F75C3" w:rsidRPr="00F07836" w:rsidRDefault="005F75C3" w:rsidP="00B66989"/>
        </w:tc>
        <w:tc>
          <w:tcPr>
            <w:tcW w:w="2693" w:type="dxa"/>
          </w:tcPr>
          <w:p w14:paraId="1946D7A7" w14:textId="1F2C8A90" w:rsidR="005F75C3" w:rsidRPr="00F07836" w:rsidRDefault="005F75C3" w:rsidP="00B66989">
            <w:r>
              <w:t>Replacement speaker system for Sandy Lane Site</w:t>
            </w:r>
          </w:p>
        </w:tc>
        <w:tc>
          <w:tcPr>
            <w:tcW w:w="4111" w:type="dxa"/>
          </w:tcPr>
          <w:p w14:paraId="4DCBEC72" w14:textId="528BFDD8" w:rsidR="005F75C3" w:rsidRPr="00F07836" w:rsidRDefault="005F75C3" w:rsidP="00B66989">
            <w:r>
              <w:t>The hall is a big space and needs an appropriate audio system, which we now have. It needs to be robust enough to work for our pupils, which it now is.</w:t>
            </w:r>
          </w:p>
        </w:tc>
        <w:tc>
          <w:tcPr>
            <w:tcW w:w="3402" w:type="dxa"/>
          </w:tcPr>
          <w:p w14:paraId="233AB5E5" w14:textId="080EBED3" w:rsidR="005F75C3" w:rsidRPr="00F07836" w:rsidRDefault="005F75C3" w:rsidP="00B66989">
            <w:r>
              <w:t>There is now more opportunity to use the hall space differently.</w:t>
            </w:r>
          </w:p>
        </w:tc>
        <w:tc>
          <w:tcPr>
            <w:tcW w:w="1701" w:type="dxa"/>
            <w:shd w:val="clear" w:color="auto" w:fill="auto"/>
          </w:tcPr>
          <w:p w14:paraId="1E60DBEC" w14:textId="50148BFE" w:rsidR="005F75C3" w:rsidRPr="00F07836" w:rsidRDefault="005F75C3" w:rsidP="00B66989">
            <w:pPr>
              <w:rPr>
                <w:b/>
              </w:rPr>
            </w:pPr>
            <w:r w:rsidRPr="00F07836">
              <w:rPr>
                <w:b/>
              </w:rPr>
              <w:t>£192.00</w:t>
            </w:r>
          </w:p>
        </w:tc>
      </w:tr>
      <w:tr w:rsidR="005F75C3" w:rsidRPr="001F669A" w14:paraId="17C62CC8" w14:textId="77777777" w:rsidTr="00655648">
        <w:tc>
          <w:tcPr>
            <w:tcW w:w="2405" w:type="dxa"/>
            <w:vMerge/>
          </w:tcPr>
          <w:p w14:paraId="0D717B53" w14:textId="67BFF4EE" w:rsidR="005F75C3" w:rsidRPr="00F07836" w:rsidRDefault="005F75C3" w:rsidP="00B66989"/>
        </w:tc>
        <w:tc>
          <w:tcPr>
            <w:tcW w:w="2693" w:type="dxa"/>
          </w:tcPr>
          <w:p w14:paraId="5594E848" w14:textId="14485925" w:rsidR="005F75C3" w:rsidRPr="00F07836" w:rsidRDefault="005F75C3" w:rsidP="00B66989">
            <w:r>
              <w:t>Appropriate laminate flooring for new kitchen area.</w:t>
            </w:r>
          </w:p>
        </w:tc>
        <w:tc>
          <w:tcPr>
            <w:tcW w:w="4111" w:type="dxa"/>
          </w:tcPr>
          <w:p w14:paraId="4C9FF6C9" w14:textId="580BF3A9" w:rsidR="005F75C3" w:rsidRPr="00F07836" w:rsidRDefault="005F75C3" w:rsidP="00B66989">
            <w:r>
              <w:t>This has meant we can open the kitchen and pupils get a proper hot dinner. Older pupils also get work experience in the kitchen now that it is fully renovated.</w:t>
            </w:r>
          </w:p>
        </w:tc>
        <w:tc>
          <w:tcPr>
            <w:tcW w:w="3402" w:type="dxa"/>
          </w:tcPr>
          <w:p w14:paraId="2FCB54B0" w14:textId="11F89473" w:rsidR="005F75C3" w:rsidRPr="00F07836" w:rsidRDefault="005F75C3" w:rsidP="00B66989">
            <w:r>
              <w:t>This is a much better arrangement than cooking ready meals in class</w:t>
            </w:r>
            <w:r w:rsidR="00F37CA5">
              <w:t xml:space="preserve"> and means more children can have a hot meal.</w:t>
            </w:r>
          </w:p>
        </w:tc>
        <w:tc>
          <w:tcPr>
            <w:tcW w:w="1701" w:type="dxa"/>
            <w:shd w:val="clear" w:color="auto" w:fill="auto"/>
          </w:tcPr>
          <w:p w14:paraId="267CAB59" w14:textId="132860A9" w:rsidR="005F75C3" w:rsidRPr="00F07836" w:rsidRDefault="005F75C3" w:rsidP="00B66989">
            <w:pPr>
              <w:rPr>
                <w:b/>
                <w:bCs/>
              </w:rPr>
            </w:pPr>
            <w:r w:rsidRPr="008122CB">
              <w:rPr>
                <w:rFonts w:ascii="Calibri" w:eastAsia="Times New Roman" w:hAnsi="Calibri" w:cs="Calibri"/>
                <w:b/>
                <w:bCs/>
                <w:lang w:eastAsia="en-GB"/>
              </w:rPr>
              <w:t>£5484.00</w:t>
            </w:r>
          </w:p>
        </w:tc>
      </w:tr>
      <w:tr w:rsidR="005F75C3" w:rsidRPr="001F669A" w14:paraId="55663C15" w14:textId="77777777" w:rsidTr="00655648">
        <w:tc>
          <w:tcPr>
            <w:tcW w:w="2405" w:type="dxa"/>
            <w:vMerge/>
          </w:tcPr>
          <w:p w14:paraId="222BFCA6" w14:textId="0B3A2D3E" w:rsidR="005F75C3" w:rsidRPr="00F07836" w:rsidRDefault="005F75C3" w:rsidP="00B66989"/>
        </w:tc>
        <w:tc>
          <w:tcPr>
            <w:tcW w:w="2693" w:type="dxa"/>
          </w:tcPr>
          <w:p w14:paraId="0C883450" w14:textId="1AF19C40" w:rsidR="005F75C3" w:rsidRPr="00F07836" w:rsidRDefault="00F37CA5" w:rsidP="00B66989">
            <w:r>
              <w:t>Tiling and flooring has been renewed.</w:t>
            </w:r>
          </w:p>
        </w:tc>
        <w:tc>
          <w:tcPr>
            <w:tcW w:w="4111" w:type="dxa"/>
          </w:tcPr>
          <w:p w14:paraId="604BA9E4" w14:textId="6EB65028" w:rsidR="005F75C3" w:rsidRPr="00F07836" w:rsidRDefault="00F37CA5" w:rsidP="00B66989">
            <w:r>
              <w:t>The pool is getting on in age and needed this renovation, the pool surround is now safer and cleaner and the changing rooms are better.</w:t>
            </w:r>
          </w:p>
        </w:tc>
        <w:tc>
          <w:tcPr>
            <w:tcW w:w="3402" w:type="dxa"/>
          </w:tcPr>
          <w:p w14:paraId="51C17EF2" w14:textId="6124C83A" w:rsidR="005F75C3" w:rsidRPr="00F07836" w:rsidRDefault="00F37CA5" w:rsidP="00B66989">
            <w:r>
              <w:t>The pool will continue to need renovations as it ages to keep it safe and useable for all pupils.</w:t>
            </w:r>
          </w:p>
        </w:tc>
        <w:tc>
          <w:tcPr>
            <w:tcW w:w="1701" w:type="dxa"/>
            <w:shd w:val="clear" w:color="auto" w:fill="auto"/>
          </w:tcPr>
          <w:p w14:paraId="5C8516FE" w14:textId="77777777" w:rsidR="005F75C3" w:rsidRPr="008122CB" w:rsidRDefault="005F75C3" w:rsidP="00F0783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122CB">
              <w:rPr>
                <w:rFonts w:ascii="Calibri" w:eastAsia="Times New Roman" w:hAnsi="Calibri" w:cs="Calibri"/>
                <w:b/>
                <w:bCs/>
                <w:lang w:eastAsia="en-GB"/>
              </w:rPr>
              <w:t>£900</w:t>
            </w:r>
          </w:p>
          <w:p w14:paraId="072FF211" w14:textId="77777777" w:rsidR="005F75C3" w:rsidRPr="00F07836" w:rsidRDefault="005F75C3" w:rsidP="00B66989">
            <w:pPr>
              <w:rPr>
                <w:b/>
                <w:bCs/>
              </w:rPr>
            </w:pPr>
          </w:p>
        </w:tc>
      </w:tr>
      <w:tr w:rsidR="005F75C3" w:rsidRPr="001F669A" w14:paraId="781C7410" w14:textId="77777777" w:rsidTr="00655648">
        <w:tc>
          <w:tcPr>
            <w:tcW w:w="2405" w:type="dxa"/>
            <w:vMerge/>
          </w:tcPr>
          <w:p w14:paraId="02586F8F" w14:textId="46BA7426" w:rsidR="005F75C3" w:rsidRPr="00F07836" w:rsidRDefault="005F75C3" w:rsidP="00B66989"/>
        </w:tc>
        <w:tc>
          <w:tcPr>
            <w:tcW w:w="2693" w:type="dxa"/>
          </w:tcPr>
          <w:p w14:paraId="15BC6332" w14:textId="3BB8A654" w:rsidR="005F75C3" w:rsidRPr="00F07836" w:rsidRDefault="00F37CA5" w:rsidP="00B66989">
            <w:r>
              <w:t>Replacement laptops purchased.</w:t>
            </w:r>
          </w:p>
        </w:tc>
        <w:tc>
          <w:tcPr>
            <w:tcW w:w="4111" w:type="dxa"/>
          </w:tcPr>
          <w:p w14:paraId="77362904" w14:textId="0F45F769" w:rsidR="005F75C3" w:rsidRPr="00F07836" w:rsidRDefault="00F37CA5" w:rsidP="00B66989">
            <w:r>
              <w:t xml:space="preserve">Older laptops were slow and unable to connect effectively with the server. Staff </w:t>
            </w:r>
            <w:r>
              <w:lastRenderedPageBreak/>
              <w:t>can now work more effectively with less time wasted.</w:t>
            </w:r>
          </w:p>
        </w:tc>
        <w:tc>
          <w:tcPr>
            <w:tcW w:w="3402" w:type="dxa"/>
          </w:tcPr>
          <w:p w14:paraId="73D0639A" w14:textId="2AA86637" w:rsidR="005F75C3" w:rsidRPr="00F07836" w:rsidRDefault="00F37CA5" w:rsidP="00B66989">
            <w:r>
              <w:lastRenderedPageBreak/>
              <w:t>Laptops will need to be updated regularly to enable staff to work most efficiently for their classes</w:t>
            </w:r>
          </w:p>
        </w:tc>
        <w:tc>
          <w:tcPr>
            <w:tcW w:w="1701" w:type="dxa"/>
            <w:shd w:val="clear" w:color="auto" w:fill="auto"/>
          </w:tcPr>
          <w:p w14:paraId="1C8A138B" w14:textId="66194D24" w:rsidR="005F75C3" w:rsidRPr="00F07836" w:rsidRDefault="005F75C3" w:rsidP="00B66989">
            <w:pPr>
              <w:rPr>
                <w:b/>
                <w:bCs/>
              </w:rPr>
            </w:pPr>
            <w:r w:rsidRPr="008122CB">
              <w:rPr>
                <w:rFonts w:ascii="Calibri" w:eastAsia="Times New Roman" w:hAnsi="Calibri" w:cs="Calibri"/>
                <w:b/>
                <w:bCs/>
                <w:lang w:eastAsia="en-GB"/>
              </w:rPr>
              <w:t>£2,934</w:t>
            </w:r>
          </w:p>
        </w:tc>
      </w:tr>
      <w:tr w:rsidR="005F75C3" w:rsidRPr="001F669A" w14:paraId="635B2391" w14:textId="77777777" w:rsidTr="00655648">
        <w:tc>
          <w:tcPr>
            <w:tcW w:w="2405" w:type="dxa"/>
            <w:vMerge/>
          </w:tcPr>
          <w:p w14:paraId="56323814" w14:textId="00043587" w:rsidR="005F75C3" w:rsidRPr="00F07836" w:rsidRDefault="005F75C3" w:rsidP="00B66989"/>
        </w:tc>
        <w:tc>
          <w:tcPr>
            <w:tcW w:w="2693" w:type="dxa"/>
          </w:tcPr>
          <w:p w14:paraId="5F9E4AA7" w14:textId="71098C7D" w:rsidR="005F75C3" w:rsidRPr="00F07836" w:rsidRDefault="00F37CA5" w:rsidP="00B66989">
            <w:r>
              <w:t>Fencing around the field and playgrounds.</w:t>
            </w:r>
          </w:p>
        </w:tc>
        <w:tc>
          <w:tcPr>
            <w:tcW w:w="4111" w:type="dxa"/>
          </w:tcPr>
          <w:p w14:paraId="56A2DE61" w14:textId="6D843059" w:rsidR="005F75C3" w:rsidRPr="00F07836" w:rsidRDefault="00F37CA5" w:rsidP="00B66989">
            <w:r>
              <w:t>Pupils now have safe access to all three outside areas. It also meant that we had a safe area for our Duke of Edinburgh award camp-out.</w:t>
            </w:r>
          </w:p>
        </w:tc>
        <w:tc>
          <w:tcPr>
            <w:tcW w:w="3402" w:type="dxa"/>
          </w:tcPr>
          <w:p w14:paraId="413A16CA" w14:textId="03945B6E" w:rsidR="005F75C3" w:rsidRPr="00F07836" w:rsidRDefault="00F37CA5" w:rsidP="00B66989">
            <w:r>
              <w:t>We are learning the best way to use our site with our pupils.</w:t>
            </w:r>
          </w:p>
        </w:tc>
        <w:tc>
          <w:tcPr>
            <w:tcW w:w="1701" w:type="dxa"/>
            <w:shd w:val="clear" w:color="auto" w:fill="auto"/>
          </w:tcPr>
          <w:p w14:paraId="74ACC85B" w14:textId="49EE2A9B" w:rsidR="005F75C3" w:rsidRPr="008122CB" w:rsidRDefault="005F75C3" w:rsidP="00F0783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122CB">
              <w:rPr>
                <w:rFonts w:ascii="Calibri" w:eastAsia="Times New Roman" w:hAnsi="Calibri" w:cs="Calibri"/>
                <w:b/>
                <w:bCs/>
                <w:lang w:eastAsia="en-GB"/>
              </w:rPr>
              <w:t>£3,898</w:t>
            </w:r>
          </w:p>
          <w:p w14:paraId="6C891E45" w14:textId="77777777" w:rsidR="005F75C3" w:rsidRPr="00F07836" w:rsidRDefault="005F75C3" w:rsidP="00B66989">
            <w:pPr>
              <w:rPr>
                <w:b/>
                <w:bCs/>
              </w:rPr>
            </w:pPr>
          </w:p>
        </w:tc>
      </w:tr>
      <w:tr w:rsidR="005F75C3" w:rsidRPr="001F669A" w14:paraId="2578D4BE" w14:textId="77777777" w:rsidTr="006E6E55">
        <w:tc>
          <w:tcPr>
            <w:tcW w:w="2405" w:type="dxa"/>
          </w:tcPr>
          <w:p w14:paraId="50B820CB" w14:textId="77777777" w:rsidR="005F75C3" w:rsidRPr="00F07836" w:rsidRDefault="005F75C3" w:rsidP="006E6E55">
            <w:r>
              <w:t>Support regarding Sensory Processing issues.</w:t>
            </w:r>
          </w:p>
        </w:tc>
        <w:tc>
          <w:tcPr>
            <w:tcW w:w="2693" w:type="dxa"/>
          </w:tcPr>
          <w:p w14:paraId="42CEE7B0" w14:textId="77777777" w:rsidR="005F75C3" w:rsidRPr="00F07836" w:rsidRDefault="005F75C3" w:rsidP="006E6E55">
            <w:r>
              <w:t>Input from Andrea Clare, Sensory Processing Consultant</w:t>
            </w:r>
          </w:p>
        </w:tc>
        <w:tc>
          <w:tcPr>
            <w:tcW w:w="4111" w:type="dxa"/>
          </w:tcPr>
          <w:p w14:paraId="169B108C" w14:textId="1DB5F8FC" w:rsidR="005F75C3" w:rsidRPr="00F07836" w:rsidRDefault="005F75C3" w:rsidP="006E6E55">
            <w:r>
              <w:t xml:space="preserve">Andrea worked with </w:t>
            </w:r>
            <w:r w:rsidR="00F37CA5">
              <w:t>more</w:t>
            </w:r>
            <w:r>
              <w:t xml:space="preserve"> of our most complex pupils, supporting staff with interventions and parents with ideas for home. Her work also supported the school in finding the best provision for pupils who may need a change of placement in future.</w:t>
            </w:r>
          </w:p>
        </w:tc>
        <w:tc>
          <w:tcPr>
            <w:tcW w:w="3402" w:type="dxa"/>
          </w:tcPr>
          <w:p w14:paraId="55D69AE2" w14:textId="3381783E" w:rsidR="005F75C3" w:rsidRPr="00F07836" w:rsidRDefault="005F75C3" w:rsidP="006E6E55">
            <w:r>
              <w:t xml:space="preserve">There </w:t>
            </w:r>
            <w:r w:rsidR="00F37CA5">
              <w:t>continues to be</w:t>
            </w:r>
            <w:r>
              <w:t xml:space="preserve"> a waiting list of pupils and classes we would like Andrea to work with.</w:t>
            </w:r>
          </w:p>
        </w:tc>
        <w:tc>
          <w:tcPr>
            <w:tcW w:w="1701" w:type="dxa"/>
            <w:shd w:val="clear" w:color="auto" w:fill="auto"/>
          </w:tcPr>
          <w:p w14:paraId="2500A9A5" w14:textId="77777777" w:rsidR="005F75C3" w:rsidRPr="00F07836" w:rsidRDefault="005F75C3" w:rsidP="006E6E55">
            <w:pPr>
              <w:rPr>
                <w:b/>
              </w:rPr>
            </w:pPr>
            <w:r w:rsidRPr="00F07836">
              <w:rPr>
                <w:b/>
              </w:rPr>
              <w:t>£4,886.00</w:t>
            </w:r>
          </w:p>
        </w:tc>
      </w:tr>
      <w:tr w:rsidR="00822151" w:rsidRPr="001F669A" w14:paraId="05E27BE9" w14:textId="77777777" w:rsidTr="00655648">
        <w:tc>
          <w:tcPr>
            <w:tcW w:w="14312" w:type="dxa"/>
            <w:gridSpan w:val="5"/>
            <w:shd w:val="clear" w:color="auto" w:fill="DEEAF6" w:themeFill="accent1" w:themeFillTint="33"/>
          </w:tcPr>
          <w:p w14:paraId="32EB3F27" w14:textId="77777777" w:rsidR="00822151" w:rsidRPr="00F07836" w:rsidRDefault="00822151" w:rsidP="0082215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F07836">
              <w:rPr>
                <w:b/>
              </w:rPr>
              <w:t>Other approaches including SEHW</w:t>
            </w:r>
          </w:p>
        </w:tc>
      </w:tr>
      <w:tr w:rsidR="00F37CA5" w:rsidRPr="001F669A" w14:paraId="5BC04FA1" w14:textId="77777777" w:rsidTr="00655648">
        <w:trPr>
          <w:trHeight w:val="1880"/>
        </w:trPr>
        <w:tc>
          <w:tcPr>
            <w:tcW w:w="2405" w:type="dxa"/>
          </w:tcPr>
          <w:p w14:paraId="5CB84AB9" w14:textId="0B69909F" w:rsidR="00F37CA5" w:rsidRPr="00F07836" w:rsidRDefault="00F37CA5" w:rsidP="00F37CA5">
            <w:pPr>
              <w:ind w:left="32"/>
            </w:pPr>
            <w:r>
              <w:t>Facilitating access to broader and extended curriculum opportunities, including educational visits, residential visits, arts and sports activities etc.</w:t>
            </w:r>
          </w:p>
        </w:tc>
        <w:tc>
          <w:tcPr>
            <w:tcW w:w="2693" w:type="dxa"/>
          </w:tcPr>
          <w:p w14:paraId="6BDDD955" w14:textId="77777777" w:rsidR="00F37CA5" w:rsidRPr="00084681" w:rsidRDefault="00F37CA5" w:rsidP="00F37CA5">
            <w:pPr>
              <w:rPr>
                <w:bCs/>
              </w:rPr>
            </w:pPr>
            <w:r w:rsidRPr="00084681">
              <w:rPr>
                <w:bCs/>
              </w:rPr>
              <w:t>Funding for residential trips/visits.</w:t>
            </w:r>
          </w:p>
          <w:p w14:paraId="38E78D36" w14:textId="77777777" w:rsidR="00F37CA5" w:rsidRPr="00084681" w:rsidRDefault="00F37CA5" w:rsidP="00F37CA5">
            <w:pPr>
              <w:rPr>
                <w:b/>
              </w:rPr>
            </w:pPr>
          </w:p>
          <w:p w14:paraId="614F9D35" w14:textId="77777777" w:rsidR="00F37CA5" w:rsidRPr="00084681" w:rsidRDefault="00F37CA5" w:rsidP="00F37CA5">
            <w:pPr>
              <w:rPr>
                <w:bCs/>
              </w:rPr>
            </w:pPr>
          </w:p>
          <w:p w14:paraId="5B2795B8" w14:textId="464EF49D" w:rsidR="00F37CA5" w:rsidRPr="00F07836" w:rsidRDefault="00F37CA5" w:rsidP="00F37CA5">
            <w:pPr>
              <w:rPr>
                <w:b/>
              </w:rPr>
            </w:pPr>
            <w:r w:rsidRPr="00084681">
              <w:rPr>
                <w:bCs/>
              </w:rPr>
              <w:t>Duke of Edinburgh Award Scheme</w:t>
            </w:r>
          </w:p>
        </w:tc>
        <w:tc>
          <w:tcPr>
            <w:tcW w:w="4111" w:type="dxa"/>
          </w:tcPr>
          <w:p w14:paraId="0B61C794" w14:textId="47BA3D52" w:rsidR="00F37CA5" w:rsidRPr="00F07836" w:rsidRDefault="00F37CA5" w:rsidP="00F37CA5">
            <w:pPr>
              <w:shd w:val="clear" w:color="auto" w:fill="FFFFFF"/>
              <w:textAlignment w:val="baseline"/>
            </w:pPr>
            <w:r w:rsidRPr="00084681">
              <w:t xml:space="preserve">A </w:t>
            </w:r>
            <w:r>
              <w:t xml:space="preserve">large </w:t>
            </w:r>
            <w:r w:rsidRPr="00084681">
              <w:t xml:space="preserve">number of pupils </w:t>
            </w:r>
            <w:r>
              <w:t xml:space="preserve">across school </w:t>
            </w:r>
            <w:r w:rsidRPr="00084681">
              <w:t>have benefitted from the funding of their school trip</w:t>
            </w:r>
            <w:r>
              <w:t>s</w:t>
            </w:r>
            <w:r w:rsidRPr="00084681">
              <w:t>, and the 14-19 department have all accessed DofE</w:t>
            </w:r>
            <w:r>
              <w:t xml:space="preserve"> (bronze)</w:t>
            </w:r>
            <w:r w:rsidRPr="00084681">
              <w:t>.</w:t>
            </w:r>
          </w:p>
        </w:tc>
        <w:tc>
          <w:tcPr>
            <w:tcW w:w="3402" w:type="dxa"/>
          </w:tcPr>
          <w:p w14:paraId="0AC1A371" w14:textId="66F9BD0A" w:rsidR="00F37CA5" w:rsidRPr="00F07836" w:rsidRDefault="00F37CA5" w:rsidP="00F37CA5">
            <w:r>
              <w:t>Because we have funded DofE properly over a few years we will now be starting work on the Silver level next year</w:t>
            </w:r>
            <w:r w:rsidR="00EC083E">
              <w:t>, including an expedition to the Lake District.</w:t>
            </w:r>
          </w:p>
        </w:tc>
        <w:tc>
          <w:tcPr>
            <w:tcW w:w="1701" w:type="dxa"/>
          </w:tcPr>
          <w:p w14:paraId="55C55C9E" w14:textId="77777777" w:rsidR="00F37CA5" w:rsidRDefault="00F37CA5" w:rsidP="00F37CA5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122CB">
              <w:rPr>
                <w:rFonts w:ascii="Calibri" w:eastAsia="Times New Roman" w:hAnsi="Calibri" w:cs="Calibri"/>
                <w:b/>
                <w:bCs/>
                <w:lang w:eastAsia="en-GB"/>
              </w:rPr>
              <w:t>£2,259.35</w:t>
            </w:r>
          </w:p>
          <w:p w14:paraId="166E2401" w14:textId="77777777" w:rsidR="00F37CA5" w:rsidRDefault="00F37CA5" w:rsidP="00F37CA5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2232CABA" w14:textId="77777777" w:rsidR="00F37CA5" w:rsidRDefault="00F37CA5" w:rsidP="00F37CA5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0DAC1E84" w14:textId="77777777" w:rsidR="00F37CA5" w:rsidRDefault="00F37CA5" w:rsidP="00F37CA5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1F1B76DC" w14:textId="77777777" w:rsidR="00F37CA5" w:rsidRPr="00F07836" w:rsidRDefault="00F37CA5" w:rsidP="00F37CA5">
            <w:pPr>
              <w:rPr>
                <w:b/>
              </w:rPr>
            </w:pPr>
            <w:r w:rsidRPr="00F07836">
              <w:rPr>
                <w:b/>
              </w:rPr>
              <w:t>£1,700.00</w:t>
            </w:r>
          </w:p>
          <w:p w14:paraId="48FE383D" w14:textId="1197F559" w:rsidR="00F37CA5" w:rsidRPr="00F07836" w:rsidRDefault="00F37CA5" w:rsidP="00F37CA5">
            <w:pPr>
              <w:rPr>
                <w:b/>
                <w:bCs/>
              </w:rPr>
            </w:pPr>
          </w:p>
        </w:tc>
      </w:tr>
      <w:tr w:rsidR="00EC083E" w:rsidRPr="001F669A" w14:paraId="732BCF0C" w14:textId="77777777" w:rsidTr="00655648">
        <w:trPr>
          <w:trHeight w:val="1880"/>
        </w:trPr>
        <w:tc>
          <w:tcPr>
            <w:tcW w:w="2405" w:type="dxa"/>
          </w:tcPr>
          <w:p w14:paraId="382D10BD" w14:textId="1035620F" w:rsidR="00EC083E" w:rsidRPr="00F07836" w:rsidRDefault="00EC083E" w:rsidP="00EC083E">
            <w:pPr>
              <w:ind w:left="32"/>
            </w:pPr>
            <w:r>
              <w:t>Training staff in Mental Health Support.</w:t>
            </w:r>
          </w:p>
        </w:tc>
        <w:tc>
          <w:tcPr>
            <w:tcW w:w="2693" w:type="dxa"/>
          </w:tcPr>
          <w:p w14:paraId="33E80498" w14:textId="33353C2F" w:rsidR="00EC083E" w:rsidRPr="00F07836" w:rsidRDefault="00EC083E" w:rsidP="00EC083E">
            <w:pPr>
              <w:rPr>
                <w:bCs/>
              </w:rPr>
            </w:pPr>
            <w:r>
              <w:rPr>
                <w:bCs/>
              </w:rPr>
              <w:t xml:space="preserve">Place2Be Mental Health First Aid course. </w:t>
            </w:r>
          </w:p>
        </w:tc>
        <w:tc>
          <w:tcPr>
            <w:tcW w:w="4111" w:type="dxa"/>
          </w:tcPr>
          <w:p w14:paraId="6704FE34" w14:textId="282A8D36" w:rsidR="00EC083E" w:rsidRPr="00F07836" w:rsidRDefault="00EC083E" w:rsidP="00EC083E">
            <w:r>
              <w:t>Staff are more aware of Mental Health first aid and have supported pupils and other staff effectively. Staff completed the course during the year.</w:t>
            </w:r>
          </w:p>
        </w:tc>
        <w:tc>
          <w:tcPr>
            <w:tcW w:w="3402" w:type="dxa"/>
          </w:tcPr>
          <w:p w14:paraId="4598F991" w14:textId="4845AEDC" w:rsidR="00EC083E" w:rsidRPr="00F07836" w:rsidRDefault="00EC083E" w:rsidP="00EC083E">
            <w:r>
              <w:t>This might be something to continue regularly.</w:t>
            </w:r>
          </w:p>
        </w:tc>
        <w:tc>
          <w:tcPr>
            <w:tcW w:w="1701" w:type="dxa"/>
          </w:tcPr>
          <w:p w14:paraId="18AB0000" w14:textId="5B2A9E98" w:rsidR="00EC083E" w:rsidRPr="00F07836" w:rsidRDefault="00EC083E" w:rsidP="00EC083E">
            <w:pPr>
              <w:rPr>
                <w:b/>
              </w:rPr>
            </w:pPr>
            <w:r w:rsidRPr="00F07836">
              <w:rPr>
                <w:b/>
              </w:rPr>
              <w:t>£800</w:t>
            </w:r>
          </w:p>
        </w:tc>
      </w:tr>
      <w:tr w:rsidR="00822151" w:rsidRPr="001F669A" w14:paraId="3562BB78" w14:textId="77777777" w:rsidTr="00655648">
        <w:tc>
          <w:tcPr>
            <w:tcW w:w="12611" w:type="dxa"/>
            <w:gridSpan w:val="4"/>
          </w:tcPr>
          <w:p w14:paraId="525EE0F6" w14:textId="77777777" w:rsidR="00822151" w:rsidRPr="00EC083E" w:rsidRDefault="00822151" w:rsidP="00822151">
            <w:pPr>
              <w:jc w:val="right"/>
            </w:pPr>
            <w:r w:rsidRPr="00EC083E">
              <w:t>Total Expenditure</w:t>
            </w:r>
          </w:p>
        </w:tc>
        <w:tc>
          <w:tcPr>
            <w:tcW w:w="1701" w:type="dxa"/>
          </w:tcPr>
          <w:p w14:paraId="1CE918A2" w14:textId="2C7EBE54" w:rsidR="00822151" w:rsidRPr="00EC083E" w:rsidRDefault="00F21D34" w:rsidP="00822151">
            <w:pPr>
              <w:rPr>
                <w:b/>
                <w:color w:val="FF0000"/>
              </w:rPr>
            </w:pPr>
            <w:r w:rsidRPr="00EC083E">
              <w:rPr>
                <w:b/>
              </w:rPr>
              <w:t>£</w:t>
            </w:r>
            <w:r w:rsidR="00F07836" w:rsidRPr="00EC083E">
              <w:rPr>
                <w:b/>
              </w:rPr>
              <w:t>35,852.35</w:t>
            </w:r>
          </w:p>
        </w:tc>
      </w:tr>
    </w:tbl>
    <w:p w14:paraId="27BEC269" w14:textId="77777777" w:rsidR="00704721" w:rsidRPr="00B646FB" w:rsidRDefault="00704721" w:rsidP="002C0F2F">
      <w:pPr>
        <w:rPr>
          <w:color w:val="5B9BD5" w:themeColor="accent1"/>
          <w:sz w:val="40"/>
          <w:szCs w:val="40"/>
        </w:rPr>
      </w:pPr>
    </w:p>
    <w:sectPr w:rsidR="00704721" w:rsidRPr="00B646FB" w:rsidSect="00B646FB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48C"/>
    <w:multiLevelType w:val="hybridMultilevel"/>
    <w:tmpl w:val="D16EE1A0"/>
    <w:lvl w:ilvl="0" w:tplc="6BC03A08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9" w:hanging="360"/>
      </w:pPr>
    </w:lvl>
    <w:lvl w:ilvl="2" w:tplc="0809001B" w:tentative="1">
      <w:start w:val="1"/>
      <w:numFmt w:val="lowerRoman"/>
      <w:lvlText w:val="%3."/>
      <w:lvlJc w:val="right"/>
      <w:pPr>
        <w:ind w:left="2029" w:hanging="180"/>
      </w:pPr>
    </w:lvl>
    <w:lvl w:ilvl="3" w:tplc="0809000F" w:tentative="1">
      <w:start w:val="1"/>
      <w:numFmt w:val="decimal"/>
      <w:lvlText w:val="%4."/>
      <w:lvlJc w:val="left"/>
      <w:pPr>
        <w:ind w:left="2749" w:hanging="360"/>
      </w:pPr>
    </w:lvl>
    <w:lvl w:ilvl="4" w:tplc="08090019" w:tentative="1">
      <w:start w:val="1"/>
      <w:numFmt w:val="lowerLetter"/>
      <w:lvlText w:val="%5."/>
      <w:lvlJc w:val="left"/>
      <w:pPr>
        <w:ind w:left="3469" w:hanging="360"/>
      </w:pPr>
    </w:lvl>
    <w:lvl w:ilvl="5" w:tplc="0809001B" w:tentative="1">
      <w:start w:val="1"/>
      <w:numFmt w:val="lowerRoman"/>
      <w:lvlText w:val="%6."/>
      <w:lvlJc w:val="right"/>
      <w:pPr>
        <w:ind w:left="4189" w:hanging="180"/>
      </w:pPr>
    </w:lvl>
    <w:lvl w:ilvl="6" w:tplc="0809000F" w:tentative="1">
      <w:start w:val="1"/>
      <w:numFmt w:val="decimal"/>
      <w:lvlText w:val="%7."/>
      <w:lvlJc w:val="left"/>
      <w:pPr>
        <w:ind w:left="4909" w:hanging="360"/>
      </w:pPr>
    </w:lvl>
    <w:lvl w:ilvl="7" w:tplc="08090019" w:tentative="1">
      <w:start w:val="1"/>
      <w:numFmt w:val="lowerLetter"/>
      <w:lvlText w:val="%8."/>
      <w:lvlJc w:val="left"/>
      <w:pPr>
        <w:ind w:left="5629" w:hanging="360"/>
      </w:pPr>
    </w:lvl>
    <w:lvl w:ilvl="8" w:tplc="08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" w15:restartNumberingAfterBreak="0">
    <w:nsid w:val="275D65F4"/>
    <w:multiLevelType w:val="hybridMultilevel"/>
    <w:tmpl w:val="0AEAF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3A00"/>
    <w:multiLevelType w:val="hybridMultilevel"/>
    <w:tmpl w:val="823CD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4831"/>
    <w:multiLevelType w:val="hybridMultilevel"/>
    <w:tmpl w:val="A3743E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47B1"/>
    <w:multiLevelType w:val="hybridMultilevel"/>
    <w:tmpl w:val="3E325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D6B7B"/>
    <w:multiLevelType w:val="hybridMultilevel"/>
    <w:tmpl w:val="4CEA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65102"/>
    <w:multiLevelType w:val="hybridMultilevel"/>
    <w:tmpl w:val="0C8CB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A18BE"/>
    <w:multiLevelType w:val="hybridMultilevel"/>
    <w:tmpl w:val="C13EF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941A5"/>
    <w:multiLevelType w:val="hybridMultilevel"/>
    <w:tmpl w:val="71E6E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77FC4"/>
    <w:multiLevelType w:val="hybridMultilevel"/>
    <w:tmpl w:val="B02C3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A1F6A"/>
    <w:multiLevelType w:val="hybridMultilevel"/>
    <w:tmpl w:val="15C0E784"/>
    <w:lvl w:ilvl="0" w:tplc="D7BE3BE4">
      <w:start w:val="1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76"/>
    <w:rsid w:val="00080C6C"/>
    <w:rsid w:val="00084681"/>
    <w:rsid w:val="000C5006"/>
    <w:rsid w:val="000E0E9D"/>
    <w:rsid w:val="000F441C"/>
    <w:rsid w:val="001269A5"/>
    <w:rsid w:val="00136B2C"/>
    <w:rsid w:val="00140F8E"/>
    <w:rsid w:val="00142D64"/>
    <w:rsid w:val="00163ABE"/>
    <w:rsid w:val="00166723"/>
    <w:rsid w:val="00191F98"/>
    <w:rsid w:val="001943AF"/>
    <w:rsid w:val="001D6E9A"/>
    <w:rsid w:val="001F669A"/>
    <w:rsid w:val="0023248F"/>
    <w:rsid w:val="00274CB6"/>
    <w:rsid w:val="002B66E3"/>
    <w:rsid w:val="002C0F2F"/>
    <w:rsid w:val="002D79BE"/>
    <w:rsid w:val="00340955"/>
    <w:rsid w:val="00362CD4"/>
    <w:rsid w:val="003A0904"/>
    <w:rsid w:val="003A0D71"/>
    <w:rsid w:val="003B36DD"/>
    <w:rsid w:val="00424887"/>
    <w:rsid w:val="00437C6A"/>
    <w:rsid w:val="0048633A"/>
    <w:rsid w:val="004B142A"/>
    <w:rsid w:val="004C2BD3"/>
    <w:rsid w:val="004F19BF"/>
    <w:rsid w:val="004F5721"/>
    <w:rsid w:val="0053240B"/>
    <w:rsid w:val="00563F0D"/>
    <w:rsid w:val="00573935"/>
    <w:rsid w:val="0058115D"/>
    <w:rsid w:val="005A2E1A"/>
    <w:rsid w:val="005A2E3D"/>
    <w:rsid w:val="005A3A1B"/>
    <w:rsid w:val="005C54E1"/>
    <w:rsid w:val="005F75C3"/>
    <w:rsid w:val="006447EB"/>
    <w:rsid w:val="00655648"/>
    <w:rsid w:val="0066342E"/>
    <w:rsid w:val="00674939"/>
    <w:rsid w:val="00697C32"/>
    <w:rsid w:val="006B25A8"/>
    <w:rsid w:val="006C3DC1"/>
    <w:rsid w:val="006D4197"/>
    <w:rsid w:val="006E1C42"/>
    <w:rsid w:val="00704721"/>
    <w:rsid w:val="00731A15"/>
    <w:rsid w:val="00741F36"/>
    <w:rsid w:val="00746A2D"/>
    <w:rsid w:val="007860C9"/>
    <w:rsid w:val="00791C87"/>
    <w:rsid w:val="0079274A"/>
    <w:rsid w:val="008035CA"/>
    <w:rsid w:val="008122CB"/>
    <w:rsid w:val="00822151"/>
    <w:rsid w:val="00851E1C"/>
    <w:rsid w:val="00886D0F"/>
    <w:rsid w:val="0088799F"/>
    <w:rsid w:val="008C4FA8"/>
    <w:rsid w:val="008C5559"/>
    <w:rsid w:val="0096586C"/>
    <w:rsid w:val="00966557"/>
    <w:rsid w:val="00966DF9"/>
    <w:rsid w:val="00980395"/>
    <w:rsid w:val="0098172A"/>
    <w:rsid w:val="009935F7"/>
    <w:rsid w:val="009E7DC8"/>
    <w:rsid w:val="00A22F5F"/>
    <w:rsid w:val="00A8751F"/>
    <w:rsid w:val="00B258C4"/>
    <w:rsid w:val="00B3628B"/>
    <w:rsid w:val="00B646FB"/>
    <w:rsid w:val="00B66989"/>
    <w:rsid w:val="00B96C5E"/>
    <w:rsid w:val="00C1362B"/>
    <w:rsid w:val="00C3127A"/>
    <w:rsid w:val="00C32AC8"/>
    <w:rsid w:val="00C43E1A"/>
    <w:rsid w:val="00C734DE"/>
    <w:rsid w:val="00C759BA"/>
    <w:rsid w:val="00C81E8E"/>
    <w:rsid w:val="00CA4705"/>
    <w:rsid w:val="00CA71A5"/>
    <w:rsid w:val="00CB7E10"/>
    <w:rsid w:val="00CF219A"/>
    <w:rsid w:val="00CF2893"/>
    <w:rsid w:val="00D026A2"/>
    <w:rsid w:val="00D22276"/>
    <w:rsid w:val="00D60320"/>
    <w:rsid w:val="00D7337D"/>
    <w:rsid w:val="00DB3530"/>
    <w:rsid w:val="00DB40B0"/>
    <w:rsid w:val="00DD7836"/>
    <w:rsid w:val="00DF115B"/>
    <w:rsid w:val="00E057F2"/>
    <w:rsid w:val="00E76A27"/>
    <w:rsid w:val="00EC083E"/>
    <w:rsid w:val="00EC591A"/>
    <w:rsid w:val="00ED27E9"/>
    <w:rsid w:val="00EE2A5C"/>
    <w:rsid w:val="00EE33F9"/>
    <w:rsid w:val="00F07836"/>
    <w:rsid w:val="00F21D34"/>
    <w:rsid w:val="00F36E3A"/>
    <w:rsid w:val="00F37CA5"/>
    <w:rsid w:val="00F739C7"/>
    <w:rsid w:val="00FE14BB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9F6E"/>
  <w15:chartTrackingRefBased/>
  <w15:docId w15:val="{6560811C-8B06-4B00-ADF6-2A561D1D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A2D"/>
    <w:pPr>
      <w:ind w:left="720"/>
      <w:contextualSpacing/>
    </w:pPr>
  </w:style>
  <w:style w:type="table" w:styleId="TableGrid">
    <w:name w:val="Table Grid"/>
    <w:basedOn w:val="TableNormal"/>
    <w:uiPriority w:val="39"/>
    <w:rsid w:val="002C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67493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Ruth Buckley</cp:lastModifiedBy>
  <cp:revision>6</cp:revision>
  <cp:lastPrinted>2019-04-30T13:26:00Z</cp:lastPrinted>
  <dcterms:created xsi:type="dcterms:W3CDTF">2025-10-13T10:23:00Z</dcterms:created>
  <dcterms:modified xsi:type="dcterms:W3CDTF">2025-10-14T09:33:00Z</dcterms:modified>
</cp:coreProperties>
</file>