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29AD" w14:textId="7ACE8B33" w:rsidR="00166723" w:rsidRPr="00166723" w:rsidRDefault="00166723" w:rsidP="00166723">
      <w:pPr>
        <w:rPr>
          <w:color w:val="5B9BD5" w:themeColor="accent1"/>
          <w:sz w:val="40"/>
          <w:szCs w:val="40"/>
        </w:rPr>
      </w:pPr>
      <w:r>
        <w:rPr>
          <w:noProof/>
          <w:color w:val="5B9BD5" w:themeColor="accent1"/>
          <w:sz w:val="40"/>
          <w:szCs w:val="40"/>
        </w:rPr>
        <w:drawing>
          <wp:inline distT="0" distB="0" distL="0" distR="0" wp14:anchorId="1BCEB2EB" wp14:editId="63B296DE">
            <wp:extent cx="3648075" cy="897255"/>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5">
                      <a:extLst>
                        <a:ext uri="{28A0092B-C50C-407E-A947-70E740481C1C}">
                          <a14:useLocalDpi xmlns:a14="http://schemas.microsoft.com/office/drawing/2010/main" val="0"/>
                        </a:ext>
                      </a:extLst>
                    </a:blip>
                    <a:srcRect r="33737"/>
                    <a:stretch/>
                  </pic:blipFill>
                  <pic:spPr bwMode="auto">
                    <a:xfrm>
                      <a:off x="0" y="0"/>
                      <a:ext cx="3676267" cy="904189"/>
                    </a:xfrm>
                    <a:prstGeom prst="rect">
                      <a:avLst/>
                    </a:prstGeom>
                    <a:ln>
                      <a:noFill/>
                    </a:ln>
                    <a:extLst>
                      <a:ext uri="{53640926-AAD7-44D8-BBD7-CCE9431645EC}">
                        <a14:shadowObscured xmlns:a14="http://schemas.microsoft.com/office/drawing/2010/main"/>
                      </a:ext>
                    </a:extLst>
                  </pic:spPr>
                </pic:pic>
              </a:graphicData>
            </a:graphic>
          </wp:inline>
        </w:drawing>
      </w:r>
      <w:r w:rsidR="009935F7" w:rsidRPr="009935F7">
        <w:rPr>
          <w:color w:val="5B9BD5" w:themeColor="accent1"/>
          <w:sz w:val="40"/>
          <w:szCs w:val="40"/>
        </w:rPr>
        <w:t xml:space="preserve"> </w:t>
      </w:r>
      <w:r w:rsidR="009935F7">
        <w:rPr>
          <w:color w:val="5B9BD5" w:themeColor="accent1"/>
          <w:sz w:val="40"/>
          <w:szCs w:val="40"/>
        </w:rPr>
        <w:t xml:space="preserve">       </w:t>
      </w:r>
      <w:r w:rsidR="00080C6C">
        <w:rPr>
          <w:color w:val="5B9BD5" w:themeColor="accent1"/>
          <w:sz w:val="40"/>
          <w:szCs w:val="40"/>
        </w:rPr>
        <w:t>P</w:t>
      </w:r>
      <w:r w:rsidR="009935F7" w:rsidRPr="00B646FB">
        <w:rPr>
          <w:color w:val="5B9BD5" w:themeColor="accent1"/>
          <w:sz w:val="40"/>
          <w:szCs w:val="40"/>
        </w:rPr>
        <w:t>up</w:t>
      </w:r>
      <w:r w:rsidR="008C4FA8">
        <w:rPr>
          <w:color w:val="5B9BD5" w:themeColor="accent1"/>
          <w:sz w:val="40"/>
          <w:szCs w:val="40"/>
        </w:rPr>
        <w:t xml:space="preserve">il Premium Action Plan </w:t>
      </w:r>
      <w:r w:rsidR="00080C6C">
        <w:rPr>
          <w:color w:val="5B9BD5" w:themeColor="accent1"/>
          <w:sz w:val="40"/>
          <w:szCs w:val="40"/>
        </w:rPr>
        <w:t xml:space="preserve">Review </w:t>
      </w:r>
      <w:r w:rsidR="00CA71A5">
        <w:rPr>
          <w:color w:val="5B9BD5" w:themeColor="accent1"/>
          <w:sz w:val="40"/>
          <w:szCs w:val="40"/>
        </w:rPr>
        <w:t>20</w:t>
      </w:r>
      <w:r w:rsidR="00966DF9">
        <w:rPr>
          <w:color w:val="5B9BD5" w:themeColor="accent1"/>
          <w:sz w:val="40"/>
          <w:szCs w:val="40"/>
        </w:rPr>
        <w:t>2</w:t>
      </w:r>
      <w:r w:rsidR="001269A5">
        <w:rPr>
          <w:color w:val="5B9BD5" w:themeColor="accent1"/>
          <w:sz w:val="40"/>
          <w:szCs w:val="40"/>
        </w:rPr>
        <w:t>3</w:t>
      </w:r>
      <w:r w:rsidR="00CA71A5">
        <w:rPr>
          <w:color w:val="5B9BD5" w:themeColor="accent1"/>
          <w:sz w:val="40"/>
          <w:szCs w:val="40"/>
        </w:rPr>
        <w:t>-202</w:t>
      </w:r>
      <w:r w:rsidR="001269A5">
        <w:rPr>
          <w:color w:val="5B9BD5" w:themeColor="accent1"/>
          <w:sz w:val="40"/>
          <w:szCs w:val="40"/>
        </w:rPr>
        <w:t>4</w:t>
      </w:r>
    </w:p>
    <w:tbl>
      <w:tblPr>
        <w:tblStyle w:val="TableGrid"/>
        <w:tblW w:w="14312" w:type="dxa"/>
        <w:tblLook w:val="04A0" w:firstRow="1" w:lastRow="0" w:firstColumn="1" w:lastColumn="0" w:noHBand="0" w:noVBand="1"/>
      </w:tblPr>
      <w:tblGrid>
        <w:gridCol w:w="2405"/>
        <w:gridCol w:w="2693"/>
        <w:gridCol w:w="4111"/>
        <w:gridCol w:w="3402"/>
        <w:gridCol w:w="1701"/>
      </w:tblGrid>
      <w:tr w:rsidR="00704721" w:rsidRPr="001F669A" w14:paraId="64CA6C6D" w14:textId="77777777" w:rsidTr="00655648">
        <w:tc>
          <w:tcPr>
            <w:tcW w:w="14312" w:type="dxa"/>
            <w:gridSpan w:val="5"/>
            <w:shd w:val="clear" w:color="auto" w:fill="DEEAF6" w:themeFill="accent1" w:themeFillTint="33"/>
          </w:tcPr>
          <w:p w14:paraId="05F6B6AB" w14:textId="5E6491B4" w:rsidR="00704721" w:rsidRPr="002B66E3" w:rsidRDefault="00704721" w:rsidP="008C4FA8">
            <w:pPr>
              <w:rPr>
                <w:b/>
              </w:rPr>
            </w:pPr>
            <w:r w:rsidRPr="002B66E3">
              <w:rPr>
                <w:b/>
              </w:rPr>
              <w:t>R</w:t>
            </w:r>
            <w:r w:rsidR="00822151" w:rsidRPr="002B66E3">
              <w:rPr>
                <w:b/>
              </w:rPr>
              <w:t>EVIEW OF EXPENDITURE – 20</w:t>
            </w:r>
            <w:r w:rsidR="00966DF9" w:rsidRPr="002B66E3">
              <w:rPr>
                <w:b/>
              </w:rPr>
              <w:t>2</w:t>
            </w:r>
            <w:r w:rsidR="002B66E3" w:rsidRPr="002B66E3">
              <w:rPr>
                <w:b/>
              </w:rPr>
              <w:t>3</w:t>
            </w:r>
            <w:r w:rsidR="00822151" w:rsidRPr="002B66E3">
              <w:rPr>
                <w:b/>
              </w:rPr>
              <w:t>/202</w:t>
            </w:r>
            <w:r w:rsidR="002B66E3" w:rsidRPr="002B66E3">
              <w:rPr>
                <w:b/>
              </w:rPr>
              <w:t>4</w:t>
            </w:r>
            <w:r w:rsidR="00C3127A" w:rsidRPr="002B66E3">
              <w:rPr>
                <w:b/>
              </w:rPr>
              <w:t xml:space="preserve">     </w:t>
            </w:r>
            <w:r w:rsidR="00166723" w:rsidRPr="002B66E3">
              <w:t>£4</w:t>
            </w:r>
            <w:r w:rsidR="00437C6A" w:rsidRPr="002B66E3">
              <w:t>0,</w:t>
            </w:r>
            <w:r w:rsidR="002B66E3" w:rsidRPr="002B66E3">
              <w:t>680</w:t>
            </w:r>
            <w:r w:rsidR="00166723" w:rsidRPr="002B66E3">
              <w:t>.00</w:t>
            </w:r>
          </w:p>
        </w:tc>
      </w:tr>
      <w:tr w:rsidR="00704721" w:rsidRPr="001F669A" w14:paraId="73D2288B" w14:textId="77777777" w:rsidTr="00655648">
        <w:tc>
          <w:tcPr>
            <w:tcW w:w="14312" w:type="dxa"/>
            <w:gridSpan w:val="5"/>
            <w:shd w:val="clear" w:color="auto" w:fill="DEEAF6" w:themeFill="accent1" w:themeFillTint="33"/>
          </w:tcPr>
          <w:p w14:paraId="44AE752D" w14:textId="77777777" w:rsidR="00704721" w:rsidRPr="002B66E3" w:rsidRDefault="00704721" w:rsidP="00704721">
            <w:pPr>
              <w:pStyle w:val="ListParagraph"/>
              <w:numPr>
                <w:ilvl w:val="0"/>
                <w:numId w:val="8"/>
              </w:numPr>
              <w:rPr>
                <w:b/>
              </w:rPr>
            </w:pPr>
            <w:r w:rsidRPr="002B66E3">
              <w:rPr>
                <w:b/>
              </w:rPr>
              <w:t>Quality of teaching for all.</w:t>
            </w:r>
          </w:p>
        </w:tc>
      </w:tr>
      <w:tr w:rsidR="00704721" w:rsidRPr="001F669A" w14:paraId="788A08BE" w14:textId="77777777" w:rsidTr="00655648">
        <w:tc>
          <w:tcPr>
            <w:tcW w:w="2405" w:type="dxa"/>
            <w:shd w:val="clear" w:color="auto" w:fill="DEEAF6" w:themeFill="accent1" w:themeFillTint="33"/>
          </w:tcPr>
          <w:p w14:paraId="606A5D99" w14:textId="77777777" w:rsidR="00704721" w:rsidRPr="002B66E3" w:rsidRDefault="00704721" w:rsidP="006B5E8D">
            <w:pPr>
              <w:rPr>
                <w:b/>
              </w:rPr>
            </w:pPr>
            <w:r w:rsidRPr="002B66E3">
              <w:rPr>
                <w:b/>
              </w:rPr>
              <w:t>Desired outcome</w:t>
            </w:r>
          </w:p>
        </w:tc>
        <w:tc>
          <w:tcPr>
            <w:tcW w:w="2693" w:type="dxa"/>
            <w:shd w:val="clear" w:color="auto" w:fill="DEEAF6" w:themeFill="accent1" w:themeFillTint="33"/>
          </w:tcPr>
          <w:p w14:paraId="6B958F38" w14:textId="77777777" w:rsidR="00704721" w:rsidRPr="002B66E3" w:rsidRDefault="00704721" w:rsidP="006B5E8D">
            <w:pPr>
              <w:rPr>
                <w:b/>
              </w:rPr>
            </w:pPr>
            <w:r w:rsidRPr="002B66E3">
              <w:rPr>
                <w:b/>
              </w:rPr>
              <w:t>Chosen action/approach</w:t>
            </w:r>
          </w:p>
        </w:tc>
        <w:tc>
          <w:tcPr>
            <w:tcW w:w="4111" w:type="dxa"/>
            <w:shd w:val="clear" w:color="auto" w:fill="DEEAF6" w:themeFill="accent1" w:themeFillTint="33"/>
          </w:tcPr>
          <w:p w14:paraId="63A452F9" w14:textId="77777777" w:rsidR="00704721" w:rsidRPr="002B66E3" w:rsidRDefault="00704721" w:rsidP="006B5E8D">
            <w:r w:rsidRPr="002B66E3">
              <w:rPr>
                <w:b/>
              </w:rPr>
              <w:t xml:space="preserve">Impact: </w:t>
            </w:r>
            <w:r w:rsidRPr="002B66E3">
              <w:t>Did we meet the success criteria? Include impact on pupils not eligible for PP if appropriate.</w:t>
            </w:r>
          </w:p>
        </w:tc>
        <w:tc>
          <w:tcPr>
            <w:tcW w:w="3402" w:type="dxa"/>
            <w:shd w:val="clear" w:color="auto" w:fill="DEEAF6" w:themeFill="accent1" w:themeFillTint="33"/>
          </w:tcPr>
          <w:p w14:paraId="32100F92" w14:textId="77777777" w:rsidR="00704721" w:rsidRPr="002B66E3" w:rsidRDefault="00704721" w:rsidP="006B5E8D">
            <w:pPr>
              <w:rPr>
                <w:b/>
              </w:rPr>
            </w:pPr>
            <w:r w:rsidRPr="002B66E3">
              <w:rPr>
                <w:b/>
              </w:rPr>
              <w:t>Lessons learned</w:t>
            </w:r>
          </w:p>
        </w:tc>
        <w:tc>
          <w:tcPr>
            <w:tcW w:w="1701" w:type="dxa"/>
            <w:shd w:val="clear" w:color="auto" w:fill="DEEAF6" w:themeFill="accent1" w:themeFillTint="33"/>
          </w:tcPr>
          <w:p w14:paraId="2D322A35" w14:textId="77777777" w:rsidR="00704721" w:rsidRPr="002B66E3" w:rsidRDefault="00704721" w:rsidP="006B5E8D">
            <w:pPr>
              <w:rPr>
                <w:b/>
              </w:rPr>
            </w:pPr>
            <w:r w:rsidRPr="002B66E3">
              <w:rPr>
                <w:b/>
              </w:rPr>
              <w:t>Cost</w:t>
            </w:r>
          </w:p>
        </w:tc>
      </w:tr>
      <w:tr w:rsidR="0053240B" w:rsidRPr="001F669A" w14:paraId="58D27592" w14:textId="77777777" w:rsidTr="002B66E3">
        <w:tc>
          <w:tcPr>
            <w:tcW w:w="2405" w:type="dxa"/>
          </w:tcPr>
          <w:p w14:paraId="52EE4677" w14:textId="4DF66268" w:rsidR="0053240B" w:rsidRPr="00783305" w:rsidRDefault="002B66E3" w:rsidP="0053240B">
            <w:r>
              <w:t xml:space="preserve">New </w:t>
            </w:r>
            <w:r w:rsidR="0053240B">
              <w:t xml:space="preserve">staff using Attention Autism as an effective teaching strategy. </w:t>
            </w:r>
          </w:p>
          <w:p w14:paraId="3698114F" w14:textId="3FAC6011" w:rsidR="0053240B" w:rsidRPr="0098172A" w:rsidRDefault="0053240B" w:rsidP="0053240B">
            <w:pPr>
              <w:ind w:left="32"/>
              <w:rPr>
                <w:highlight w:val="yellow"/>
              </w:rPr>
            </w:pPr>
          </w:p>
        </w:tc>
        <w:tc>
          <w:tcPr>
            <w:tcW w:w="2693" w:type="dxa"/>
            <w:shd w:val="clear" w:color="auto" w:fill="auto"/>
          </w:tcPr>
          <w:p w14:paraId="26B646A3" w14:textId="1DD3BE07" w:rsidR="0053240B" w:rsidRPr="002B66E3" w:rsidRDefault="002B66E3" w:rsidP="0053240B">
            <w:pPr>
              <w:rPr>
                <w:b/>
              </w:rPr>
            </w:pPr>
            <w:r w:rsidRPr="002B66E3">
              <w:rPr>
                <w:bCs/>
              </w:rPr>
              <w:t>Online</w:t>
            </w:r>
            <w:r w:rsidR="0053240B" w:rsidRPr="002B66E3">
              <w:rPr>
                <w:bCs/>
              </w:rPr>
              <w:t xml:space="preserve"> training with the team from Gina Davies</w:t>
            </w:r>
            <w:r w:rsidR="00B66989" w:rsidRPr="002B66E3">
              <w:rPr>
                <w:bCs/>
              </w:rPr>
              <w:t>.</w:t>
            </w:r>
          </w:p>
        </w:tc>
        <w:tc>
          <w:tcPr>
            <w:tcW w:w="4111" w:type="dxa"/>
            <w:shd w:val="clear" w:color="auto" w:fill="auto"/>
          </w:tcPr>
          <w:p w14:paraId="39C091D7" w14:textId="0162B0DF" w:rsidR="0053240B" w:rsidRPr="002B66E3" w:rsidRDefault="002B66E3" w:rsidP="0053240B">
            <w:r w:rsidRPr="002B66E3">
              <w:t>A few new</w:t>
            </w:r>
            <w:r w:rsidR="00B66989" w:rsidRPr="002B66E3">
              <w:t xml:space="preserve"> staff took part in the </w:t>
            </w:r>
            <w:r w:rsidRPr="002B66E3">
              <w:t>online</w:t>
            </w:r>
            <w:r w:rsidR="00B66989" w:rsidRPr="002B66E3">
              <w:t xml:space="preserve"> training and Attention Autism </w:t>
            </w:r>
            <w:r w:rsidRPr="002B66E3">
              <w:t>has continued to be a go-to strategy with many of our pupils</w:t>
            </w:r>
          </w:p>
        </w:tc>
        <w:tc>
          <w:tcPr>
            <w:tcW w:w="3402" w:type="dxa"/>
          </w:tcPr>
          <w:p w14:paraId="2BA7A88B" w14:textId="640A772B" w:rsidR="0053240B" w:rsidRPr="002B66E3" w:rsidRDefault="00B66989" w:rsidP="0053240B">
            <w:r w:rsidRPr="002B66E3">
              <w:t xml:space="preserve">Training </w:t>
            </w:r>
            <w:r w:rsidR="002B66E3" w:rsidRPr="002B66E3">
              <w:t>new staff in embedded strategies will continue to be needed as we grow our staff team.</w:t>
            </w:r>
          </w:p>
        </w:tc>
        <w:tc>
          <w:tcPr>
            <w:tcW w:w="1701" w:type="dxa"/>
            <w:shd w:val="clear" w:color="auto" w:fill="auto"/>
          </w:tcPr>
          <w:p w14:paraId="59F9A241" w14:textId="3E0D0B4C" w:rsidR="0053240B" w:rsidRPr="00B96B6A" w:rsidRDefault="00655648" w:rsidP="0053240B">
            <w:pPr>
              <w:rPr>
                <w:b/>
              </w:rPr>
            </w:pPr>
            <w:r w:rsidRPr="00B96B6A">
              <w:rPr>
                <w:b/>
              </w:rPr>
              <w:t>£</w:t>
            </w:r>
            <w:r w:rsidR="002B66E3" w:rsidRPr="00B96B6A">
              <w:rPr>
                <w:b/>
              </w:rPr>
              <w:t>800</w:t>
            </w:r>
          </w:p>
        </w:tc>
      </w:tr>
      <w:tr w:rsidR="002B66E3" w:rsidRPr="001F669A" w14:paraId="16992898" w14:textId="77777777" w:rsidTr="002B66E3">
        <w:tc>
          <w:tcPr>
            <w:tcW w:w="2405" w:type="dxa"/>
          </w:tcPr>
          <w:p w14:paraId="2A3BF988" w14:textId="77777777" w:rsidR="002B66E3" w:rsidRDefault="002B66E3" w:rsidP="0053240B">
            <w:r>
              <w:t>Confidence in our school staff coaching others in the use of Intensive Interaction</w:t>
            </w:r>
          </w:p>
          <w:p w14:paraId="10A68DEE" w14:textId="438FD2DB" w:rsidR="002B66E3" w:rsidRDefault="002B66E3" w:rsidP="0053240B"/>
        </w:tc>
        <w:tc>
          <w:tcPr>
            <w:tcW w:w="2693" w:type="dxa"/>
            <w:shd w:val="clear" w:color="auto" w:fill="auto"/>
          </w:tcPr>
          <w:p w14:paraId="609F913E" w14:textId="46F4CD4C" w:rsidR="002B66E3" w:rsidRPr="002B66E3" w:rsidRDefault="002B66E3" w:rsidP="0053240B">
            <w:pPr>
              <w:rPr>
                <w:bCs/>
              </w:rPr>
            </w:pPr>
            <w:r>
              <w:rPr>
                <w:bCs/>
              </w:rPr>
              <w:t>Intensive Interaction training for PMLD lead</w:t>
            </w:r>
            <w:r w:rsidR="00084681">
              <w:rPr>
                <w:bCs/>
              </w:rPr>
              <w:t>, Janet O’Sullivan</w:t>
            </w:r>
          </w:p>
        </w:tc>
        <w:tc>
          <w:tcPr>
            <w:tcW w:w="4111" w:type="dxa"/>
            <w:shd w:val="clear" w:color="auto" w:fill="auto"/>
          </w:tcPr>
          <w:p w14:paraId="6493D0B0" w14:textId="06CD88F0" w:rsidR="002B66E3" w:rsidRPr="002B66E3" w:rsidRDefault="002B66E3" w:rsidP="0053240B">
            <w:r>
              <w:t>Janet (PMLD lead) has the confidence to support development of practice throughout the school.</w:t>
            </w:r>
          </w:p>
        </w:tc>
        <w:tc>
          <w:tcPr>
            <w:tcW w:w="3402" w:type="dxa"/>
          </w:tcPr>
          <w:p w14:paraId="15B9CFA0" w14:textId="211E7861" w:rsidR="002B66E3" w:rsidRPr="002B66E3" w:rsidRDefault="002B66E3" w:rsidP="0053240B">
            <w:r>
              <w:t>The style of course meant Janet also had opportunity to cascade learning to her department as part of the training meaning take-up was quicker than expected.</w:t>
            </w:r>
          </w:p>
        </w:tc>
        <w:tc>
          <w:tcPr>
            <w:tcW w:w="1701" w:type="dxa"/>
            <w:shd w:val="clear" w:color="auto" w:fill="auto"/>
          </w:tcPr>
          <w:p w14:paraId="145EDEE1" w14:textId="19E9B474" w:rsidR="002B66E3" w:rsidRPr="00B96B6A" w:rsidRDefault="00084681" w:rsidP="0053240B">
            <w:pPr>
              <w:rPr>
                <w:b/>
              </w:rPr>
            </w:pPr>
            <w:r w:rsidRPr="00B96B6A">
              <w:rPr>
                <w:b/>
              </w:rPr>
              <w:t>£1500</w:t>
            </w:r>
          </w:p>
        </w:tc>
      </w:tr>
      <w:tr w:rsidR="00C3127A" w:rsidRPr="001F669A" w14:paraId="5F167992" w14:textId="77777777" w:rsidTr="00655648">
        <w:tc>
          <w:tcPr>
            <w:tcW w:w="14312" w:type="dxa"/>
            <w:gridSpan w:val="5"/>
            <w:shd w:val="clear" w:color="auto" w:fill="DEEAF6" w:themeFill="accent1" w:themeFillTint="33"/>
          </w:tcPr>
          <w:p w14:paraId="1A7D96FF" w14:textId="77777777" w:rsidR="00C3127A" w:rsidRPr="00B96B6A" w:rsidRDefault="00C3127A" w:rsidP="00C3127A">
            <w:pPr>
              <w:pStyle w:val="ListParagraph"/>
              <w:numPr>
                <w:ilvl w:val="0"/>
                <w:numId w:val="8"/>
              </w:numPr>
              <w:rPr>
                <w:b/>
              </w:rPr>
            </w:pPr>
            <w:r w:rsidRPr="00B96B6A">
              <w:rPr>
                <w:b/>
              </w:rPr>
              <w:t>Targeted support</w:t>
            </w:r>
          </w:p>
        </w:tc>
      </w:tr>
      <w:tr w:rsidR="00B66989" w:rsidRPr="001F669A" w14:paraId="22EDBC9C" w14:textId="77777777" w:rsidTr="00655648">
        <w:tc>
          <w:tcPr>
            <w:tcW w:w="2405" w:type="dxa"/>
          </w:tcPr>
          <w:p w14:paraId="7C42B412" w14:textId="390E1F9F" w:rsidR="00B66989" w:rsidRPr="0098172A" w:rsidRDefault="00B66989" w:rsidP="00B66989">
            <w:pPr>
              <w:rPr>
                <w:highlight w:val="yellow"/>
              </w:rPr>
            </w:pPr>
            <w:r w:rsidRPr="00783305">
              <w:t>Specialist interventions or equipment such as Music therapy or specific equipment.</w:t>
            </w:r>
          </w:p>
        </w:tc>
        <w:tc>
          <w:tcPr>
            <w:tcW w:w="2693" w:type="dxa"/>
          </w:tcPr>
          <w:p w14:paraId="43D32D78" w14:textId="1DB74FDD" w:rsidR="00B66989" w:rsidRPr="00084681" w:rsidRDefault="00B66989" w:rsidP="00B66989">
            <w:pPr>
              <w:rPr>
                <w:b/>
              </w:rPr>
            </w:pPr>
            <w:r w:rsidRPr="00084681">
              <w:t xml:space="preserve">Music Therapy by a therapist for </w:t>
            </w:r>
            <w:r w:rsidR="00084681" w:rsidRPr="00084681">
              <w:t>3</w:t>
            </w:r>
            <w:r w:rsidRPr="00084681">
              <w:t xml:space="preserve"> days a week.</w:t>
            </w:r>
          </w:p>
          <w:p w14:paraId="5F4FEB8F" w14:textId="2CB78C36" w:rsidR="00B66989" w:rsidRPr="00084681" w:rsidRDefault="00B66989" w:rsidP="00B66989">
            <w:pPr>
              <w:rPr>
                <w:b/>
              </w:rPr>
            </w:pPr>
          </w:p>
        </w:tc>
        <w:tc>
          <w:tcPr>
            <w:tcW w:w="4111" w:type="dxa"/>
          </w:tcPr>
          <w:p w14:paraId="180CBE18" w14:textId="6951F018" w:rsidR="00B66989" w:rsidRPr="00084681" w:rsidRDefault="00B66989" w:rsidP="00B66989">
            <w:r w:rsidRPr="00084681">
              <w:t xml:space="preserve">Our music therapist now works </w:t>
            </w:r>
            <w:r w:rsidR="00084681" w:rsidRPr="00084681">
              <w:t>3</w:t>
            </w:r>
            <w:r w:rsidRPr="00084681">
              <w:t xml:space="preserve"> days a week and </w:t>
            </w:r>
            <w:r w:rsidR="00084681" w:rsidRPr="00084681">
              <w:t>continues</w:t>
            </w:r>
            <w:r w:rsidRPr="00084681">
              <w:t xml:space="preserve"> a great difference with some of our most vulnerable pupils. She has worked with our LAC and CP level pupils during the year.</w:t>
            </w:r>
          </w:p>
        </w:tc>
        <w:tc>
          <w:tcPr>
            <w:tcW w:w="3402" w:type="dxa"/>
          </w:tcPr>
          <w:p w14:paraId="3BE55CD6" w14:textId="5D072924" w:rsidR="00B66989" w:rsidRPr="00084681" w:rsidRDefault="00B66989" w:rsidP="00B66989">
            <w:r w:rsidRPr="00084681">
              <w:t>This continues to be a vital part of our offer in school and as our music therapist gets to know the children better over time, interventions are becoming more bespoke for them all.</w:t>
            </w:r>
          </w:p>
        </w:tc>
        <w:tc>
          <w:tcPr>
            <w:tcW w:w="1701" w:type="dxa"/>
            <w:shd w:val="clear" w:color="auto" w:fill="auto"/>
          </w:tcPr>
          <w:p w14:paraId="69274778" w14:textId="29DC7A49" w:rsidR="00B66989" w:rsidRPr="00B96B6A" w:rsidRDefault="00B66989" w:rsidP="00B66989">
            <w:pPr>
              <w:rPr>
                <w:b/>
              </w:rPr>
            </w:pPr>
            <w:r w:rsidRPr="00B96B6A">
              <w:rPr>
                <w:b/>
              </w:rPr>
              <w:t>£</w:t>
            </w:r>
            <w:r w:rsidR="00084681" w:rsidRPr="00B96B6A">
              <w:rPr>
                <w:b/>
              </w:rPr>
              <w:t>2</w:t>
            </w:r>
            <w:r w:rsidR="00B96B6A" w:rsidRPr="00B96B6A">
              <w:rPr>
                <w:b/>
              </w:rPr>
              <w:t>3,006.00</w:t>
            </w:r>
          </w:p>
        </w:tc>
      </w:tr>
      <w:tr w:rsidR="00084681" w:rsidRPr="001F669A" w14:paraId="6946E9EC" w14:textId="77777777" w:rsidTr="00655648">
        <w:tc>
          <w:tcPr>
            <w:tcW w:w="2405" w:type="dxa"/>
          </w:tcPr>
          <w:p w14:paraId="3A796D5F" w14:textId="2C7B4C13" w:rsidR="00084681" w:rsidRPr="00783305" w:rsidRDefault="00084681" w:rsidP="00B66989">
            <w:r>
              <w:t>Support regarding Sensory Processing issues.</w:t>
            </w:r>
          </w:p>
        </w:tc>
        <w:tc>
          <w:tcPr>
            <w:tcW w:w="2693" w:type="dxa"/>
          </w:tcPr>
          <w:p w14:paraId="5F659B6B" w14:textId="33C207D8" w:rsidR="00084681" w:rsidRPr="00084681" w:rsidRDefault="00084681" w:rsidP="00B66989">
            <w:r>
              <w:t>Input from Andrea Clare, Sensory Processing Consultant</w:t>
            </w:r>
          </w:p>
        </w:tc>
        <w:tc>
          <w:tcPr>
            <w:tcW w:w="4111" w:type="dxa"/>
          </w:tcPr>
          <w:p w14:paraId="58085167" w14:textId="17F8FDFA" w:rsidR="00084681" w:rsidRPr="00084681" w:rsidRDefault="00084681" w:rsidP="00B66989">
            <w:r>
              <w:t>Andrea worked with a few of our most complex pupils, supporting staff with interventions and parents with ideas for home. Her work also supported the school in finding the best provision for pupils who may need a change of placement in future.</w:t>
            </w:r>
          </w:p>
        </w:tc>
        <w:tc>
          <w:tcPr>
            <w:tcW w:w="3402" w:type="dxa"/>
          </w:tcPr>
          <w:p w14:paraId="5227CE15" w14:textId="0E40EADD" w:rsidR="00084681" w:rsidRPr="00084681" w:rsidRDefault="00084681" w:rsidP="00B66989">
            <w:r>
              <w:t>There is now a waiting list of pupils and classes we would like Andrea to work with.</w:t>
            </w:r>
          </w:p>
        </w:tc>
        <w:tc>
          <w:tcPr>
            <w:tcW w:w="1701" w:type="dxa"/>
            <w:shd w:val="clear" w:color="auto" w:fill="auto"/>
          </w:tcPr>
          <w:p w14:paraId="5C19EA85" w14:textId="2AF0AE7D" w:rsidR="00084681" w:rsidRPr="001269A5" w:rsidRDefault="00084681" w:rsidP="00B66989">
            <w:pPr>
              <w:rPr>
                <w:b/>
                <w:highlight w:val="yellow"/>
              </w:rPr>
            </w:pPr>
            <w:r w:rsidRPr="00B96B6A">
              <w:rPr>
                <w:b/>
              </w:rPr>
              <w:t>£</w:t>
            </w:r>
            <w:r w:rsidR="00B96B6A" w:rsidRPr="00B96B6A">
              <w:rPr>
                <w:b/>
              </w:rPr>
              <w:t>1,312.00</w:t>
            </w:r>
          </w:p>
        </w:tc>
      </w:tr>
      <w:tr w:rsidR="00822151" w:rsidRPr="001F669A" w14:paraId="05E27BE9" w14:textId="77777777" w:rsidTr="00655648">
        <w:tc>
          <w:tcPr>
            <w:tcW w:w="14312" w:type="dxa"/>
            <w:gridSpan w:val="5"/>
            <w:shd w:val="clear" w:color="auto" w:fill="DEEAF6" w:themeFill="accent1" w:themeFillTint="33"/>
          </w:tcPr>
          <w:p w14:paraId="32EB3F27" w14:textId="77777777" w:rsidR="00822151" w:rsidRPr="00084681" w:rsidRDefault="00822151" w:rsidP="00822151">
            <w:pPr>
              <w:pStyle w:val="ListParagraph"/>
              <w:numPr>
                <w:ilvl w:val="0"/>
                <w:numId w:val="8"/>
              </w:numPr>
              <w:rPr>
                <w:b/>
              </w:rPr>
            </w:pPr>
            <w:r w:rsidRPr="00084681">
              <w:rPr>
                <w:b/>
              </w:rPr>
              <w:t>Other approaches including SEHW</w:t>
            </w:r>
          </w:p>
        </w:tc>
      </w:tr>
      <w:tr w:rsidR="00B66989" w:rsidRPr="001F669A" w14:paraId="5BC04FA1" w14:textId="77777777" w:rsidTr="00655648">
        <w:trPr>
          <w:trHeight w:val="1880"/>
        </w:trPr>
        <w:tc>
          <w:tcPr>
            <w:tcW w:w="2405" w:type="dxa"/>
          </w:tcPr>
          <w:p w14:paraId="5CB84AB9" w14:textId="0D173457" w:rsidR="00B66989" w:rsidRPr="0098172A" w:rsidRDefault="00084681" w:rsidP="00B66989">
            <w:pPr>
              <w:ind w:left="32"/>
              <w:rPr>
                <w:highlight w:val="yellow"/>
              </w:rPr>
            </w:pPr>
            <w:r>
              <w:lastRenderedPageBreak/>
              <w:t>Facilitating access to broader and extended curriculum opportunities, including educational visits, residential visits, arts and sports activities etc.</w:t>
            </w:r>
          </w:p>
        </w:tc>
        <w:tc>
          <w:tcPr>
            <w:tcW w:w="2693" w:type="dxa"/>
          </w:tcPr>
          <w:p w14:paraId="70B16F1D" w14:textId="77777777" w:rsidR="00B66989" w:rsidRPr="00084681" w:rsidRDefault="00084681" w:rsidP="00B66989">
            <w:pPr>
              <w:rPr>
                <w:bCs/>
              </w:rPr>
            </w:pPr>
            <w:r w:rsidRPr="00084681">
              <w:rPr>
                <w:bCs/>
              </w:rPr>
              <w:t>Funding for residential trips/visits.</w:t>
            </w:r>
          </w:p>
          <w:p w14:paraId="4DA41099" w14:textId="77777777" w:rsidR="00084681" w:rsidRPr="00084681" w:rsidRDefault="00084681" w:rsidP="00B66989">
            <w:pPr>
              <w:rPr>
                <w:b/>
              </w:rPr>
            </w:pPr>
          </w:p>
          <w:p w14:paraId="53B0C400" w14:textId="77777777" w:rsidR="00084681" w:rsidRPr="00084681" w:rsidRDefault="00084681" w:rsidP="00B66989">
            <w:pPr>
              <w:rPr>
                <w:bCs/>
              </w:rPr>
            </w:pPr>
            <w:r w:rsidRPr="00084681">
              <w:rPr>
                <w:bCs/>
              </w:rPr>
              <w:t>Gym/collage tasters</w:t>
            </w:r>
          </w:p>
          <w:p w14:paraId="49EA9E82" w14:textId="77777777" w:rsidR="00084681" w:rsidRPr="00084681" w:rsidRDefault="00084681" w:rsidP="00B66989">
            <w:pPr>
              <w:rPr>
                <w:bCs/>
              </w:rPr>
            </w:pPr>
          </w:p>
          <w:p w14:paraId="5B2795B8" w14:textId="33A3ECF9" w:rsidR="00084681" w:rsidRPr="00084681" w:rsidRDefault="00084681" w:rsidP="00B66989">
            <w:pPr>
              <w:rPr>
                <w:b/>
              </w:rPr>
            </w:pPr>
            <w:r w:rsidRPr="00084681">
              <w:rPr>
                <w:bCs/>
              </w:rPr>
              <w:t>Duke of Edinburgh Award Scheme</w:t>
            </w:r>
          </w:p>
        </w:tc>
        <w:tc>
          <w:tcPr>
            <w:tcW w:w="4111" w:type="dxa"/>
          </w:tcPr>
          <w:p w14:paraId="0B61C794" w14:textId="5D0A1DBC" w:rsidR="00B66989" w:rsidRPr="00084681" w:rsidRDefault="00084681" w:rsidP="00B66989">
            <w:r w:rsidRPr="00084681">
              <w:t>A number of pupils have benefitted from the funding of their school trip, Willow class were all able to go on collage tasters and the 14-19 department have all accessed DofE.</w:t>
            </w:r>
          </w:p>
        </w:tc>
        <w:tc>
          <w:tcPr>
            <w:tcW w:w="3402" w:type="dxa"/>
          </w:tcPr>
          <w:p w14:paraId="0AC1A371" w14:textId="3EB816E6" w:rsidR="00B66989" w:rsidRPr="001269A5" w:rsidRDefault="00B66989" w:rsidP="00B66989">
            <w:pPr>
              <w:rPr>
                <w:highlight w:val="yellow"/>
              </w:rPr>
            </w:pPr>
          </w:p>
        </w:tc>
        <w:tc>
          <w:tcPr>
            <w:tcW w:w="1701" w:type="dxa"/>
          </w:tcPr>
          <w:p w14:paraId="5F2FEBC0" w14:textId="77777777" w:rsidR="00B96B6A" w:rsidRPr="00B96B6A" w:rsidRDefault="00B96B6A" w:rsidP="00B96B6A">
            <w:pPr>
              <w:shd w:val="clear" w:color="auto" w:fill="FFFFFF"/>
              <w:textAlignment w:val="baseline"/>
              <w:rPr>
                <w:rFonts w:ascii="Calibri" w:eastAsia="Times New Roman" w:hAnsi="Calibri" w:cs="Calibri"/>
                <w:color w:val="000000"/>
                <w:lang w:eastAsia="en-GB"/>
              </w:rPr>
            </w:pPr>
            <w:r w:rsidRPr="00B96B6A">
              <w:rPr>
                <w:rFonts w:ascii="Calibri" w:eastAsia="Times New Roman" w:hAnsi="Calibri" w:cs="Calibri"/>
                <w:color w:val="000000"/>
                <w:lang w:eastAsia="en-GB"/>
              </w:rPr>
              <w:t xml:space="preserve">DofE - </w:t>
            </w:r>
            <w:r w:rsidRPr="00B96B6A">
              <w:rPr>
                <w:rFonts w:ascii="Calibri" w:eastAsia="Times New Roman" w:hAnsi="Calibri" w:cs="Calibri"/>
                <w:b/>
                <w:bCs/>
                <w:color w:val="000000"/>
                <w:lang w:eastAsia="en-GB"/>
              </w:rPr>
              <w:t>£1,530</w:t>
            </w:r>
          </w:p>
          <w:p w14:paraId="4C741CDC" w14:textId="77777777" w:rsidR="00B96B6A" w:rsidRPr="00B96B6A" w:rsidRDefault="00B96B6A" w:rsidP="00B96B6A">
            <w:pPr>
              <w:shd w:val="clear" w:color="auto" w:fill="FFFFFF"/>
              <w:textAlignment w:val="baseline"/>
              <w:rPr>
                <w:rFonts w:ascii="Calibri" w:eastAsia="Times New Roman" w:hAnsi="Calibri" w:cs="Calibri"/>
                <w:color w:val="000000"/>
                <w:lang w:eastAsia="en-GB"/>
              </w:rPr>
            </w:pPr>
            <w:r w:rsidRPr="00B96B6A">
              <w:rPr>
                <w:rFonts w:ascii="Calibri" w:eastAsia="Times New Roman" w:hAnsi="Calibri" w:cs="Calibri"/>
                <w:color w:val="000000"/>
                <w:lang w:eastAsia="en-GB"/>
              </w:rPr>
              <w:t xml:space="preserve">Coleg Cambria </w:t>
            </w:r>
            <w:r w:rsidRPr="00B96B6A">
              <w:rPr>
                <w:rFonts w:ascii="Calibri" w:eastAsia="Times New Roman" w:hAnsi="Calibri" w:cs="Calibri"/>
                <w:b/>
                <w:bCs/>
                <w:color w:val="000000"/>
                <w:lang w:eastAsia="en-GB"/>
              </w:rPr>
              <w:t>- £948.00</w:t>
            </w:r>
          </w:p>
          <w:p w14:paraId="1D840448" w14:textId="77777777" w:rsidR="00B96B6A" w:rsidRPr="00B96B6A" w:rsidRDefault="00B96B6A" w:rsidP="00B96B6A">
            <w:pPr>
              <w:shd w:val="clear" w:color="auto" w:fill="FFFFFF"/>
              <w:textAlignment w:val="baseline"/>
              <w:rPr>
                <w:rFonts w:ascii="Calibri" w:eastAsia="Times New Roman" w:hAnsi="Calibri" w:cs="Calibri"/>
                <w:color w:val="000000"/>
                <w:lang w:eastAsia="en-GB"/>
              </w:rPr>
            </w:pPr>
            <w:r w:rsidRPr="00B96B6A">
              <w:rPr>
                <w:rFonts w:ascii="Calibri" w:eastAsia="Times New Roman" w:hAnsi="Calibri" w:cs="Calibri"/>
                <w:color w:val="000000"/>
                <w:lang w:eastAsia="en-GB"/>
              </w:rPr>
              <w:t xml:space="preserve">Edu visits - </w:t>
            </w:r>
            <w:r w:rsidRPr="00B96B6A">
              <w:rPr>
                <w:rFonts w:ascii="Calibri" w:eastAsia="Times New Roman" w:hAnsi="Calibri" w:cs="Calibri"/>
                <w:b/>
                <w:bCs/>
                <w:color w:val="000000"/>
                <w:lang w:eastAsia="en-GB"/>
              </w:rPr>
              <w:t>£1,649</w:t>
            </w:r>
          </w:p>
          <w:p w14:paraId="48FE383D" w14:textId="3BDB17E1" w:rsidR="00B66989" w:rsidRPr="001269A5" w:rsidRDefault="00B66989" w:rsidP="00B66989">
            <w:pPr>
              <w:rPr>
                <w:b/>
                <w:highlight w:val="yellow"/>
              </w:rPr>
            </w:pPr>
          </w:p>
        </w:tc>
      </w:tr>
      <w:tr w:rsidR="005C54E1" w:rsidRPr="001F669A" w14:paraId="732BCF0C" w14:textId="77777777" w:rsidTr="00655648">
        <w:trPr>
          <w:trHeight w:val="1880"/>
        </w:trPr>
        <w:tc>
          <w:tcPr>
            <w:tcW w:w="2405" w:type="dxa"/>
          </w:tcPr>
          <w:p w14:paraId="382D10BD" w14:textId="7026679E" w:rsidR="005C54E1" w:rsidRDefault="005C54E1" w:rsidP="00B66989">
            <w:pPr>
              <w:ind w:left="32"/>
            </w:pPr>
            <w:r w:rsidRPr="001F669A">
              <w:t xml:space="preserve">Family support worker supporting the child within the context of their family; addressing issues such as </w:t>
            </w:r>
            <w:r>
              <w:t>finance</w:t>
            </w:r>
            <w:r w:rsidRPr="001F669A">
              <w:t xml:space="preserve"> that impact upon the child’s ability to learn and engage and ensure that their basic needs are being met.</w:t>
            </w:r>
          </w:p>
        </w:tc>
        <w:tc>
          <w:tcPr>
            <w:tcW w:w="2693" w:type="dxa"/>
          </w:tcPr>
          <w:p w14:paraId="33E80498" w14:textId="650D0AAE" w:rsidR="005C54E1" w:rsidRPr="00084681" w:rsidRDefault="005C54E1" w:rsidP="00B66989">
            <w:pPr>
              <w:rPr>
                <w:bCs/>
              </w:rPr>
            </w:pPr>
            <w:r>
              <w:rPr>
                <w:bCs/>
              </w:rPr>
              <w:t>Purchase of uniform</w:t>
            </w:r>
          </w:p>
        </w:tc>
        <w:tc>
          <w:tcPr>
            <w:tcW w:w="4111" w:type="dxa"/>
          </w:tcPr>
          <w:p w14:paraId="6704FE34" w14:textId="6ABCE541" w:rsidR="005C54E1" w:rsidRPr="00084681" w:rsidRDefault="005C54E1" w:rsidP="00B66989">
            <w:r>
              <w:t>Those newly signing up for FSM received a school sweatshirt.</w:t>
            </w:r>
          </w:p>
        </w:tc>
        <w:tc>
          <w:tcPr>
            <w:tcW w:w="3402" w:type="dxa"/>
          </w:tcPr>
          <w:p w14:paraId="4598F991" w14:textId="77777777" w:rsidR="005C54E1" w:rsidRPr="001269A5" w:rsidRDefault="005C54E1" w:rsidP="00B66989">
            <w:pPr>
              <w:rPr>
                <w:highlight w:val="yellow"/>
              </w:rPr>
            </w:pPr>
          </w:p>
        </w:tc>
        <w:tc>
          <w:tcPr>
            <w:tcW w:w="1701" w:type="dxa"/>
          </w:tcPr>
          <w:p w14:paraId="18AB0000" w14:textId="5A474D8B" w:rsidR="005C54E1" w:rsidRPr="001269A5" w:rsidRDefault="005C54E1" w:rsidP="00B66989">
            <w:pPr>
              <w:rPr>
                <w:b/>
                <w:highlight w:val="yellow"/>
              </w:rPr>
            </w:pPr>
            <w:r w:rsidRPr="00B96B6A">
              <w:rPr>
                <w:b/>
              </w:rPr>
              <w:t>£</w:t>
            </w:r>
            <w:r w:rsidR="00B96B6A" w:rsidRPr="00B96B6A">
              <w:rPr>
                <w:b/>
              </w:rPr>
              <w:t>12.82</w:t>
            </w:r>
          </w:p>
        </w:tc>
      </w:tr>
      <w:tr w:rsidR="00822151" w:rsidRPr="001F669A" w14:paraId="3562BB78" w14:textId="77777777" w:rsidTr="00655648">
        <w:tc>
          <w:tcPr>
            <w:tcW w:w="12611" w:type="dxa"/>
            <w:gridSpan w:val="4"/>
          </w:tcPr>
          <w:p w14:paraId="525EE0F6" w14:textId="77777777" w:rsidR="00822151" w:rsidRPr="006B719E" w:rsidRDefault="00822151" w:rsidP="00822151">
            <w:pPr>
              <w:jc w:val="right"/>
            </w:pPr>
            <w:r w:rsidRPr="006B719E">
              <w:t>Total Expenditure</w:t>
            </w:r>
          </w:p>
        </w:tc>
        <w:tc>
          <w:tcPr>
            <w:tcW w:w="1701" w:type="dxa"/>
          </w:tcPr>
          <w:p w14:paraId="1CE918A2" w14:textId="00BCA13E" w:rsidR="00822151" w:rsidRPr="006B719E" w:rsidRDefault="00741F36" w:rsidP="00822151">
            <w:pPr>
              <w:rPr>
                <w:b/>
                <w:color w:val="FF0000"/>
              </w:rPr>
            </w:pPr>
            <w:r w:rsidRPr="006B719E">
              <w:rPr>
                <w:b/>
              </w:rPr>
              <w:t>£</w:t>
            </w:r>
            <w:r w:rsidR="00B96B6A" w:rsidRPr="006B719E">
              <w:rPr>
                <w:b/>
              </w:rPr>
              <w:t>30,757.82</w:t>
            </w:r>
          </w:p>
        </w:tc>
      </w:tr>
    </w:tbl>
    <w:p w14:paraId="27BEC269" w14:textId="77777777" w:rsidR="00704721" w:rsidRPr="00B646FB" w:rsidRDefault="00704721" w:rsidP="002C0F2F">
      <w:pPr>
        <w:rPr>
          <w:color w:val="5B9BD5" w:themeColor="accent1"/>
          <w:sz w:val="40"/>
          <w:szCs w:val="40"/>
        </w:rPr>
      </w:pPr>
    </w:p>
    <w:sectPr w:rsidR="00704721" w:rsidRPr="00B646FB" w:rsidSect="00B646FB">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8C"/>
    <w:multiLevelType w:val="hybridMultilevel"/>
    <w:tmpl w:val="D16EE1A0"/>
    <w:lvl w:ilvl="0" w:tplc="6BC03A08">
      <w:start w:val="1"/>
      <w:numFmt w:val="upperLetter"/>
      <w:lvlText w:val="%1."/>
      <w:lvlJc w:val="left"/>
      <w:pPr>
        <w:ind w:left="589" w:hanging="360"/>
      </w:pPr>
      <w:rPr>
        <w:rFonts w:hint="default"/>
      </w:rPr>
    </w:lvl>
    <w:lvl w:ilvl="1" w:tplc="08090019" w:tentative="1">
      <w:start w:val="1"/>
      <w:numFmt w:val="lowerLetter"/>
      <w:lvlText w:val="%2."/>
      <w:lvlJc w:val="left"/>
      <w:pPr>
        <w:ind w:left="1309" w:hanging="360"/>
      </w:pPr>
    </w:lvl>
    <w:lvl w:ilvl="2" w:tplc="0809001B" w:tentative="1">
      <w:start w:val="1"/>
      <w:numFmt w:val="lowerRoman"/>
      <w:lvlText w:val="%3."/>
      <w:lvlJc w:val="right"/>
      <w:pPr>
        <w:ind w:left="2029" w:hanging="180"/>
      </w:pPr>
    </w:lvl>
    <w:lvl w:ilvl="3" w:tplc="0809000F" w:tentative="1">
      <w:start w:val="1"/>
      <w:numFmt w:val="decimal"/>
      <w:lvlText w:val="%4."/>
      <w:lvlJc w:val="left"/>
      <w:pPr>
        <w:ind w:left="2749" w:hanging="360"/>
      </w:pPr>
    </w:lvl>
    <w:lvl w:ilvl="4" w:tplc="08090019" w:tentative="1">
      <w:start w:val="1"/>
      <w:numFmt w:val="lowerLetter"/>
      <w:lvlText w:val="%5."/>
      <w:lvlJc w:val="left"/>
      <w:pPr>
        <w:ind w:left="3469" w:hanging="360"/>
      </w:pPr>
    </w:lvl>
    <w:lvl w:ilvl="5" w:tplc="0809001B" w:tentative="1">
      <w:start w:val="1"/>
      <w:numFmt w:val="lowerRoman"/>
      <w:lvlText w:val="%6."/>
      <w:lvlJc w:val="right"/>
      <w:pPr>
        <w:ind w:left="4189" w:hanging="180"/>
      </w:pPr>
    </w:lvl>
    <w:lvl w:ilvl="6" w:tplc="0809000F" w:tentative="1">
      <w:start w:val="1"/>
      <w:numFmt w:val="decimal"/>
      <w:lvlText w:val="%7."/>
      <w:lvlJc w:val="left"/>
      <w:pPr>
        <w:ind w:left="4909" w:hanging="360"/>
      </w:pPr>
    </w:lvl>
    <w:lvl w:ilvl="7" w:tplc="08090019" w:tentative="1">
      <w:start w:val="1"/>
      <w:numFmt w:val="lowerLetter"/>
      <w:lvlText w:val="%8."/>
      <w:lvlJc w:val="left"/>
      <w:pPr>
        <w:ind w:left="5629" w:hanging="360"/>
      </w:pPr>
    </w:lvl>
    <w:lvl w:ilvl="8" w:tplc="0809001B" w:tentative="1">
      <w:start w:val="1"/>
      <w:numFmt w:val="lowerRoman"/>
      <w:lvlText w:val="%9."/>
      <w:lvlJc w:val="right"/>
      <w:pPr>
        <w:ind w:left="6349" w:hanging="180"/>
      </w:pPr>
    </w:lvl>
  </w:abstractNum>
  <w:abstractNum w:abstractNumId="1" w15:restartNumberingAfterBreak="0">
    <w:nsid w:val="275D65F4"/>
    <w:multiLevelType w:val="hybridMultilevel"/>
    <w:tmpl w:val="0AEA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63A00"/>
    <w:multiLevelType w:val="hybridMultilevel"/>
    <w:tmpl w:val="823C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B4831"/>
    <w:multiLevelType w:val="hybridMultilevel"/>
    <w:tmpl w:val="A3743E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547B1"/>
    <w:multiLevelType w:val="hybridMultilevel"/>
    <w:tmpl w:val="3E325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D6B7B"/>
    <w:multiLevelType w:val="hybridMultilevel"/>
    <w:tmpl w:val="4CEA2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65102"/>
    <w:multiLevelType w:val="hybridMultilevel"/>
    <w:tmpl w:val="0C8C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A18BE"/>
    <w:multiLevelType w:val="hybridMultilevel"/>
    <w:tmpl w:val="C13E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941A5"/>
    <w:multiLevelType w:val="hybridMultilevel"/>
    <w:tmpl w:val="71E6E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77FC4"/>
    <w:multiLevelType w:val="hybridMultilevel"/>
    <w:tmpl w:val="B02C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A1F6A"/>
    <w:multiLevelType w:val="hybridMultilevel"/>
    <w:tmpl w:val="15C0E784"/>
    <w:lvl w:ilvl="0" w:tplc="D7BE3BE4">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abstractNumId w:val="6"/>
  </w:num>
  <w:num w:numId="2">
    <w:abstractNumId w:val="9"/>
  </w:num>
  <w:num w:numId="3">
    <w:abstractNumId w:val="2"/>
  </w:num>
  <w:num w:numId="4">
    <w:abstractNumId w:val="7"/>
  </w:num>
  <w:num w:numId="5">
    <w:abstractNumId w:val="1"/>
  </w:num>
  <w:num w:numId="6">
    <w:abstractNumId w:val="5"/>
  </w:num>
  <w:num w:numId="7">
    <w:abstractNumId w:val="3"/>
  </w:num>
  <w:num w:numId="8">
    <w:abstractNumId w:val="0"/>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6"/>
    <w:rsid w:val="00080C6C"/>
    <w:rsid w:val="00084681"/>
    <w:rsid w:val="000C5006"/>
    <w:rsid w:val="000E0E9D"/>
    <w:rsid w:val="000F441C"/>
    <w:rsid w:val="001269A5"/>
    <w:rsid w:val="00136B2C"/>
    <w:rsid w:val="00140F8E"/>
    <w:rsid w:val="00142D64"/>
    <w:rsid w:val="00163ABE"/>
    <w:rsid w:val="00166723"/>
    <w:rsid w:val="00191F98"/>
    <w:rsid w:val="001943AF"/>
    <w:rsid w:val="001D6E9A"/>
    <w:rsid w:val="001F669A"/>
    <w:rsid w:val="0023248F"/>
    <w:rsid w:val="00274CB6"/>
    <w:rsid w:val="002B66E3"/>
    <w:rsid w:val="002C0F2F"/>
    <w:rsid w:val="002D79BE"/>
    <w:rsid w:val="00340955"/>
    <w:rsid w:val="00362CD4"/>
    <w:rsid w:val="003A0904"/>
    <w:rsid w:val="003A0D71"/>
    <w:rsid w:val="003B36DD"/>
    <w:rsid w:val="00424887"/>
    <w:rsid w:val="00437C6A"/>
    <w:rsid w:val="0048633A"/>
    <w:rsid w:val="004C2BD3"/>
    <w:rsid w:val="004F19BF"/>
    <w:rsid w:val="004F5721"/>
    <w:rsid w:val="0053240B"/>
    <w:rsid w:val="00563F0D"/>
    <w:rsid w:val="00573935"/>
    <w:rsid w:val="0058115D"/>
    <w:rsid w:val="005A2E1A"/>
    <w:rsid w:val="005A2E3D"/>
    <w:rsid w:val="005A3A1B"/>
    <w:rsid w:val="005C54E1"/>
    <w:rsid w:val="006447EB"/>
    <w:rsid w:val="00655648"/>
    <w:rsid w:val="0066342E"/>
    <w:rsid w:val="00674939"/>
    <w:rsid w:val="00697C32"/>
    <w:rsid w:val="006B25A8"/>
    <w:rsid w:val="006B719E"/>
    <w:rsid w:val="006C3DC1"/>
    <w:rsid w:val="006E1C42"/>
    <w:rsid w:val="00704721"/>
    <w:rsid w:val="00731A15"/>
    <w:rsid w:val="00741F36"/>
    <w:rsid w:val="00746A2D"/>
    <w:rsid w:val="007860C9"/>
    <w:rsid w:val="00791C87"/>
    <w:rsid w:val="0079274A"/>
    <w:rsid w:val="008035CA"/>
    <w:rsid w:val="00822151"/>
    <w:rsid w:val="00851E1C"/>
    <w:rsid w:val="00886D0F"/>
    <w:rsid w:val="0088799F"/>
    <w:rsid w:val="008C4FA8"/>
    <w:rsid w:val="008C5559"/>
    <w:rsid w:val="0096586C"/>
    <w:rsid w:val="00966557"/>
    <w:rsid w:val="00966DF9"/>
    <w:rsid w:val="00980395"/>
    <w:rsid w:val="0098172A"/>
    <w:rsid w:val="009935F7"/>
    <w:rsid w:val="009E7DC8"/>
    <w:rsid w:val="00A22F5F"/>
    <w:rsid w:val="00A8751F"/>
    <w:rsid w:val="00B258C4"/>
    <w:rsid w:val="00B3628B"/>
    <w:rsid w:val="00B646FB"/>
    <w:rsid w:val="00B66989"/>
    <w:rsid w:val="00B96B6A"/>
    <w:rsid w:val="00B96C5E"/>
    <w:rsid w:val="00C1362B"/>
    <w:rsid w:val="00C3127A"/>
    <w:rsid w:val="00C32AC8"/>
    <w:rsid w:val="00C43E1A"/>
    <w:rsid w:val="00C734DE"/>
    <w:rsid w:val="00C759BA"/>
    <w:rsid w:val="00CA4705"/>
    <w:rsid w:val="00CA71A5"/>
    <w:rsid w:val="00CB7E10"/>
    <w:rsid w:val="00CF219A"/>
    <w:rsid w:val="00CF2893"/>
    <w:rsid w:val="00D026A2"/>
    <w:rsid w:val="00D22276"/>
    <w:rsid w:val="00D60320"/>
    <w:rsid w:val="00D7337D"/>
    <w:rsid w:val="00DB40B0"/>
    <w:rsid w:val="00DD7836"/>
    <w:rsid w:val="00DF115B"/>
    <w:rsid w:val="00E057F2"/>
    <w:rsid w:val="00E76A27"/>
    <w:rsid w:val="00EC591A"/>
    <w:rsid w:val="00ED27E9"/>
    <w:rsid w:val="00EE2A5C"/>
    <w:rsid w:val="00EE33F9"/>
    <w:rsid w:val="00F36E3A"/>
    <w:rsid w:val="00F739C7"/>
    <w:rsid w:val="00FE14BB"/>
    <w:rsid w:val="00FF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9F6E"/>
  <w15:chartTrackingRefBased/>
  <w15:docId w15:val="{6560811C-8B06-4B00-ADF6-2A561D1D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2D"/>
    <w:pPr>
      <w:ind w:left="720"/>
      <w:contextualSpacing/>
    </w:pPr>
  </w:style>
  <w:style w:type="table" w:styleId="TableGrid">
    <w:name w:val="Table Grid"/>
    <w:basedOn w:val="TableNormal"/>
    <w:uiPriority w:val="39"/>
    <w:rsid w:val="002C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74939"/>
    <w:rPr>
      <w:i/>
      <w:iCs/>
    </w:rPr>
  </w:style>
  <w:style w:type="paragraph" w:styleId="BalloonText">
    <w:name w:val="Balloon Text"/>
    <w:basedOn w:val="Normal"/>
    <w:link w:val="BalloonTextChar"/>
    <w:uiPriority w:val="99"/>
    <w:semiHidden/>
    <w:unhideWhenUsed/>
    <w:rsid w:val="001F6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856322">
      <w:bodyDiv w:val="1"/>
      <w:marLeft w:val="0"/>
      <w:marRight w:val="0"/>
      <w:marTop w:val="0"/>
      <w:marBottom w:val="0"/>
      <w:divBdr>
        <w:top w:val="none" w:sz="0" w:space="0" w:color="auto"/>
        <w:left w:val="none" w:sz="0" w:space="0" w:color="auto"/>
        <w:bottom w:val="none" w:sz="0" w:space="0" w:color="auto"/>
        <w:right w:val="none" w:sz="0" w:space="0" w:color="auto"/>
      </w:divBdr>
      <w:divsChild>
        <w:div w:id="280721549">
          <w:marLeft w:val="0"/>
          <w:marRight w:val="0"/>
          <w:marTop w:val="0"/>
          <w:marBottom w:val="0"/>
          <w:divBdr>
            <w:top w:val="none" w:sz="0" w:space="0" w:color="auto"/>
            <w:left w:val="none" w:sz="0" w:space="0" w:color="auto"/>
            <w:bottom w:val="none" w:sz="0" w:space="0" w:color="auto"/>
            <w:right w:val="none" w:sz="0" w:space="0" w:color="auto"/>
          </w:divBdr>
        </w:div>
        <w:div w:id="1541285783">
          <w:marLeft w:val="0"/>
          <w:marRight w:val="0"/>
          <w:marTop w:val="0"/>
          <w:marBottom w:val="0"/>
          <w:divBdr>
            <w:top w:val="none" w:sz="0" w:space="0" w:color="auto"/>
            <w:left w:val="none" w:sz="0" w:space="0" w:color="auto"/>
            <w:bottom w:val="none" w:sz="0" w:space="0" w:color="auto"/>
            <w:right w:val="none" w:sz="0" w:space="0" w:color="auto"/>
          </w:divBdr>
        </w:div>
        <w:div w:id="162604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Ruth Buckley</cp:lastModifiedBy>
  <cp:revision>5</cp:revision>
  <cp:lastPrinted>2019-04-30T13:26:00Z</cp:lastPrinted>
  <dcterms:created xsi:type="dcterms:W3CDTF">2025-09-18T09:11:00Z</dcterms:created>
  <dcterms:modified xsi:type="dcterms:W3CDTF">2025-10-14T09:35:00Z</dcterms:modified>
</cp:coreProperties>
</file>