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54B1" w14:textId="17EDCD97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E41B7E">
        <w:t>St Joseph’s Catholic Primary School</w:t>
      </w:r>
    </w:p>
    <w:p w14:paraId="57AD2424" w14:textId="77777777" w:rsidR="004B1F58" w:rsidRDefault="004B1F58" w:rsidP="004B1F58">
      <w:pPr>
        <w:spacing w:after="0"/>
      </w:pP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64DB2A9E" w:rsidR="002940F3" w:rsidRDefault="00E41B7E" w:rsidP="00C31636">
            <w:pPr>
              <w:pStyle w:val="TableRow"/>
              <w:ind w:left="0" w:right="0"/>
            </w:pPr>
            <w:r>
              <w:t>83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1DBBA17E" w:rsidR="002940F3" w:rsidRDefault="005003B0" w:rsidP="00C31636">
            <w:pPr>
              <w:pStyle w:val="TableRow"/>
              <w:ind w:left="0" w:right="0"/>
            </w:pPr>
            <w:r>
              <w:t>22%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F2A9" w14:textId="77777777" w:rsidR="002940F3" w:rsidRDefault="000B2C65" w:rsidP="00C31636">
            <w:pPr>
              <w:pStyle w:val="TableRow"/>
              <w:ind w:left="0" w:right="0"/>
            </w:pPr>
            <w:r>
              <w:t>2025-2026</w:t>
            </w:r>
          </w:p>
          <w:p w14:paraId="0E251B92" w14:textId="77777777" w:rsidR="000B2C65" w:rsidRDefault="000B2C65" w:rsidP="00C31636">
            <w:pPr>
              <w:pStyle w:val="TableRow"/>
              <w:ind w:left="0" w:right="0"/>
            </w:pPr>
            <w:r>
              <w:t>2026-2027</w:t>
            </w:r>
          </w:p>
          <w:p w14:paraId="2A7D54BF" w14:textId="13BB829B" w:rsidR="000B2C65" w:rsidRDefault="000B2C65" w:rsidP="00C31636">
            <w:pPr>
              <w:pStyle w:val="TableRow"/>
              <w:ind w:left="0" w:right="0"/>
            </w:pPr>
            <w:r>
              <w:t>2027-2028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7CF58880" w:rsidR="002940F3" w:rsidRDefault="000B2C65" w:rsidP="00C31636">
            <w:pPr>
              <w:pStyle w:val="TableRow"/>
              <w:ind w:left="0" w:right="0"/>
            </w:pPr>
            <w:r>
              <w:t>1</w:t>
            </w:r>
            <w:r w:rsidRPr="000B2C65">
              <w:rPr>
                <w:vertAlign w:val="superscript"/>
              </w:rPr>
              <w:t>st</w:t>
            </w:r>
            <w:r>
              <w:t xml:space="preserve"> December 2025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23CCB971" w:rsidR="002940F3" w:rsidRDefault="000B2C65" w:rsidP="00C31636">
            <w:pPr>
              <w:pStyle w:val="TableRow"/>
              <w:ind w:left="0" w:right="0"/>
            </w:pPr>
            <w:r>
              <w:t>1</w:t>
            </w:r>
            <w:r w:rsidRPr="000B2C65">
              <w:rPr>
                <w:vertAlign w:val="superscript"/>
              </w:rPr>
              <w:t>st</w:t>
            </w:r>
            <w:r>
              <w:t xml:space="preserve"> December 2026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402727B1" w:rsidR="002940F3" w:rsidRDefault="004F438A" w:rsidP="00C31636">
            <w:pPr>
              <w:pStyle w:val="TableRow"/>
              <w:ind w:left="0" w:right="0"/>
            </w:pPr>
            <w:r>
              <w:t>S. Bridge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693A2F92" w:rsidR="002940F3" w:rsidRDefault="000B2C65" w:rsidP="00C31636">
            <w:pPr>
              <w:pStyle w:val="TableRow"/>
              <w:ind w:left="0" w:right="0"/>
            </w:pPr>
            <w:r>
              <w:t>S. Bridge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0D90644" w:rsidR="002940F3" w:rsidRDefault="004F438A" w:rsidP="00C31636">
            <w:pPr>
              <w:pStyle w:val="TableRow"/>
              <w:ind w:left="0" w:right="0"/>
            </w:pPr>
            <w:r>
              <w:t>Mr Springall-Fox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2D5CB1AB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0B2C65">
              <w:t xml:space="preserve"> 34,410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25271A47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0B2C65">
              <w:t>630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688FB98C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0B2C65">
              <w:t xml:space="preserve"> 35,040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2187" w14:textId="77777777" w:rsidR="000B2C65" w:rsidRDefault="000B2C65" w:rsidP="000B2C65">
            <w:pPr>
              <w:spacing w:before="240"/>
            </w:pPr>
            <w:r>
              <w:rPr>
                <w:color w:val="000000"/>
              </w:rPr>
              <w:t>Ultimate objectives for disadvantaged pupils</w:t>
            </w:r>
          </w:p>
          <w:p w14:paraId="5AAE2105" w14:textId="77777777" w:rsidR="000B2C65" w:rsidRDefault="000B2C65" w:rsidP="000B2C65">
            <w:pPr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Ensure disadvantaged pupils (Pupil Premium, LAC, PLAC, SGO) achieve at least in line with their non-disadvantaged peers in reading, writing and mathematics, and make strong progress from their individual starting points.</w:t>
            </w:r>
          </w:p>
          <w:p w14:paraId="653599A7" w14:textId="77777777" w:rsidR="000B2C65" w:rsidRDefault="000B2C65" w:rsidP="000B2C65">
            <w:pPr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Remove barriers to learning caused by trauma, poor mental health and limited life experience so disadvantaged pupils are confident, well‑regulated learners who access the full curriculum.</w:t>
            </w:r>
          </w:p>
          <w:p w14:paraId="54547787" w14:textId="77777777" w:rsidR="000B2C65" w:rsidRDefault="000B2C65" w:rsidP="000B2C65">
            <w:pPr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Close the reading fluency and reading-for-pleasure gap by securing early decoding and sustained practice so all disadvantaged pupils read with accuracy, automaticity and prosody.</w:t>
            </w:r>
          </w:p>
          <w:p w14:paraId="477A6A68" w14:textId="77777777" w:rsidR="000B2C65" w:rsidRDefault="000B2C65" w:rsidP="000B2C65">
            <w:pPr>
              <w:numPr>
                <w:ilvl w:val="0"/>
                <w:numId w:val="17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Ensure disadvantaged pupils benefit from the school’s strengths (small school community, forest school, wide outdoor spaces) and from enriched cultural and extracurricular experiences they might not otherwise access.</w:t>
            </w:r>
          </w:p>
          <w:p w14:paraId="4CA4DAD2" w14:textId="77777777" w:rsidR="000B2C65" w:rsidRDefault="000B2C65" w:rsidP="000B2C65">
            <w:pPr>
              <w:spacing w:before="240"/>
            </w:pPr>
            <w:r>
              <w:rPr>
                <w:color w:val="000000"/>
              </w:rPr>
              <w:t>How this strategy works towards those objectives</w:t>
            </w:r>
          </w:p>
          <w:p w14:paraId="6B6B97D5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We adopt the DfE Menu of Approaches (Tier 1: High-quality teaching; Tier 2: Targeted academic support; Tier 3: Wider strategies) to plan and prioritise activity and spending.</w:t>
            </w:r>
          </w:p>
          <w:p w14:paraId="19ACB5A6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Prioritise evidence-based approaches (primarily Education Endowment Foundation (EEF) guidance and high-quality trials) to select actions that are most likely to reduce the disadvantage gap in our context.</w:t>
            </w:r>
          </w:p>
          <w:p w14:paraId="11C1711B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Address both academic and non-academic barriers: pairing reading and targeted interventions with social, emotional and wellbeing support (THRIVE-informed practice) so pupils are ready to learn.</w:t>
            </w:r>
          </w:p>
          <w:p w14:paraId="451CDD71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Use high-quality CPD and coaching to support the ECT and develop staff expertise in early reading, guided reading and trauma-informed approaches.</w:t>
            </w:r>
          </w:p>
          <w:p w14:paraId="7F682092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Monitor, evaluate and adapt: planned termly review of outcomes for disadvantaged pupils (progress data, reading fluency measures, attendance, engagement in enrichment) with governors and senior leaders to ensure impact and accountability.</w:t>
            </w:r>
          </w:p>
          <w:p w14:paraId="67BBC772" w14:textId="77777777" w:rsidR="000B2C65" w:rsidRDefault="000B2C65" w:rsidP="000B2C65">
            <w:pPr>
              <w:spacing w:before="240"/>
            </w:pPr>
            <w:r>
              <w:rPr>
                <w:color w:val="000000"/>
              </w:rPr>
              <w:t>Key principles</w:t>
            </w:r>
          </w:p>
          <w:p w14:paraId="29DF4D23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Evidence-led: interventions and approaches are chosen and adapted on the basis of published evidence (EEF guidance/toolkit and trials).</w:t>
            </w:r>
          </w:p>
          <w:p w14:paraId="769F00B1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Universal + targeted: combine high-quality whole-class teaching with additional, timely targeted support for disadvantaged pupils.</w:t>
            </w:r>
          </w:p>
          <w:p w14:paraId="4CEA835B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Proportionate response: allocate greater resources (time, staffing, enrichment funding) to pupils with greatest needs (including LAC and pupils with ACEs).</w:t>
            </w:r>
          </w:p>
          <w:p w14:paraId="5BBE1A0A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Capacity building: invest in staff development and teacher-led intervention to ensure sustainable improvement (particularly in Early Years/Year 1 where an ECT is in post).</w:t>
            </w:r>
          </w:p>
          <w:p w14:paraId="26F9E5A0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Dignity and inclusion: avoid stigmatisation when targeting support; provide universal opportunities alongside targeted offers.</w:t>
            </w:r>
          </w:p>
          <w:p w14:paraId="5BEAE57E" w14:textId="77777777" w:rsidR="000B2C65" w:rsidRDefault="000B2C65" w:rsidP="000B2C65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Local context: make maximal use of the school’s outdoor/forest provision and close-knit community to deliver unique enrichment and wellbeing provision.</w:t>
            </w:r>
          </w:p>
          <w:p w14:paraId="2A7D54E9" w14:textId="77777777" w:rsidR="000B2C65" w:rsidRPr="000B2C65" w:rsidRDefault="000B2C65" w:rsidP="000B2C65">
            <w:pPr>
              <w:ind w:left="720" w:hanging="360"/>
              <w:rPr>
                <w:i/>
                <w:iCs/>
              </w:rPr>
            </w:pP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0B2C65" w14:paraId="2A7D54F2" w14:textId="77777777" w:rsidTr="00C97C76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0" w14:textId="7FDA9F90" w:rsidR="000B2C65" w:rsidRDefault="000B2C65" w:rsidP="000B2C6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color w:val="000000"/>
                <w:position w:val="-3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1" w14:textId="04A0CA0B" w:rsidR="000B2C65" w:rsidRDefault="000B2C65" w:rsidP="000B2C65">
            <w:pPr>
              <w:pStyle w:val="TableRowCentered"/>
              <w:ind w:left="0" w:right="0"/>
              <w:jc w:val="left"/>
            </w:pPr>
            <w:r>
              <w:rPr>
                <w:color w:val="000000"/>
                <w:position w:val="-3"/>
                <w:szCs w:val="24"/>
              </w:rPr>
              <w:t>Trauma, adverse childhood experiences and poor mental health: many disadvantaged pupils show attachment issues, low-level disruptive behaviour, falling out with peers and lack of motivation. The school is introducing THRIVE-informed approaches and requires planned SEL/trauma-sensitive provision.</w:t>
            </w:r>
          </w:p>
        </w:tc>
      </w:tr>
      <w:tr w:rsidR="000B2C65" w14:paraId="2A7D54F5" w14:textId="77777777" w:rsidTr="00C97C76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3" w14:textId="206CF14A" w:rsidR="000B2C65" w:rsidRDefault="000B2C65" w:rsidP="000B2C6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color w:val="000000"/>
                <w:position w:val="-3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4" w14:textId="0E715FA4" w:rsidR="000B2C65" w:rsidRDefault="000B2C65" w:rsidP="000B2C6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position w:val="-3"/>
                <w:szCs w:val="24"/>
              </w:rPr>
              <w:t>Low reading fluency and lack of reading practice at home: disadvantaged pupils underachieve in reading and writing; reading fluency (accuracy, automaticity, prosody) and home reading quantity are low. Accelerated Reader has been introduced and a new guided reading strategy is being developed.</w:t>
            </w:r>
          </w:p>
        </w:tc>
      </w:tr>
      <w:tr w:rsidR="000B2C65" w14:paraId="2A7D54F8" w14:textId="77777777" w:rsidTr="00C97C76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6" w14:textId="6D59C506" w:rsidR="000B2C65" w:rsidRDefault="000B2C65" w:rsidP="000B2C6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color w:val="000000"/>
                <w:position w:val="-3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7" w14:textId="27E86ECE" w:rsidR="000B2C65" w:rsidRDefault="000B2C65" w:rsidP="000B2C6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position w:val="-3"/>
                <w:szCs w:val="24"/>
              </w:rPr>
              <w:t>Limited life experiences and enrichment: disadvantaged pupils lack access to cultural, social and extracurricular opportunities (e.g., theatre, museums, theme parks, zoos) which limit background knowledge, vocabulary and aspiration.</w:t>
            </w:r>
          </w:p>
        </w:tc>
      </w:tr>
      <w:tr w:rsidR="000B2C65" w14:paraId="2A7D54FB" w14:textId="77777777" w:rsidTr="00C97C76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9" w14:textId="75219624" w:rsidR="000B2C65" w:rsidRDefault="000B2C65" w:rsidP="000B2C6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color w:val="000000"/>
                <w:position w:val="-3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A" w14:textId="2489E023" w:rsidR="000B2C65" w:rsidRDefault="000B2C65" w:rsidP="000B2C65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Early Years / Year 1 quality and staffing: an ECT is in Reception/Year 1 and Early Years provision requires improvement; disadvantaged children in EY/KS1 are at higher risk of falling behind without strengthened Q of E and targeted oral-language support.</w:t>
            </w:r>
          </w:p>
        </w:tc>
      </w:tr>
      <w:tr w:rsidR="000B2C65" w14:paraId="2A7D54FE" w14:textId="77777777" w:rsidTr="00C97C76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C" w14:textId="3611A8DE" w:rsidR="000B2C65" w:rsidRDefault="000B2C65" w:rsidP="000B2C6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color w:val="000000"/>
                <w:position w:val="-3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D" w14:textId="5E882D61" w:rsidR="000B2C65" w:rsidRDefault="000B2C65" w:rsidP="000B2C65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SEND intersection with disadvantage and small-school constraints: 15 pupils with SEND and 1 LAC pupil—some disadvantaged pupils also have SEND which requires carefully-tailored interventions and strategic deployment of TAs within a small school workforce.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0B2C65" w14:paraId="2A7D5509" w14:textId="77777777" w:rsidTr="006A51F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7" w14:textId="7F9B74D6" w:rsidR="000B2C65" w:rsidRDefault="000B2C65" w:rsidP="000B2C6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color w:val="000000"/>
                <w:position w:val="-3"/>
              </w:rPr>
              <w:lastRenderedPageBreak/>
              <w:t>1. Improved social-emotional regulation and readiness to learn for disadvantaged pupils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8" w14:textId="13077FE0" w:rsidR="000B2C65" w:rsidRDefault="000B2C65" w:rsidP="000B2C6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position w:val="-3"/>
                <w:szCs w:val="24"/>
              </w:rPr>
              <w:t xml:space="preserve">By end of Year </w:t>
            </w:r>
            <w:r w:rsidR="00A20329">
              <w:rPr>
                <w:color w:val="000000"/>
                <w:position w:val="-3"/>
                <w:szCs w:val="24"/>
              </w:rPr>
              <w:t>1</w:t>
            </w:r>
            <w:r>
              <w:rPr>
                <w:color w:val="000000"/>
                <w:position w:val="-3"/>
                <w:szCs w:val="24"/>
              </w:rPr>
              <w:t xml:space="preserve"> implementation: 80%+ of disadvantaged pupils flagged for SEL support show measurable improvement on Thrive / SEL baseline assessments or internal wellbeing trackers (improved engagement, reduced low-level disruption). </w:t>
            </w:r>
          </w:p>
        </w:tc>
      </w:tr>
      <w:tr w:rsidR="000B2C65" w14:paraId="2A7D550C" w14:textId="77777777" w:rsidTr="006A51F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A" w14:textId="29E597F9" w:rsidR="000B2C65" w:rsidRDefault="000B2C65" w:rsidP="000B2C6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color w:val="000000"/>
                <w:position w:val="-3"/>
              </w:rPr>
              <w:t>2. Improved reading fluency and comprehension for disadvantaged pupils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B" w14:textId="527F7BFD" w:rsidR="000B2C65" w:rsidRDefault="000B2C65" w:rsidP="000B2C6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position w:val="-3"/>
                <w:szCs w:val="24"/>
              </w:rPr>
              <w:t>By end of 2 years: difference between disadvantaged and non-disadvantaged at expected standard in reading &amp; writing reduces by at least 50% (as measured by termly assessment and KS1/KS2 outcomes).</w:t>
            </w:r>
          </w:p>
        </w:tc>
      </w:tr>
      <w:tr w:rsidR="000B2C65" w14:paraId="2A7D550F" w14:textId="77777777" w:rsidTr="006A51F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D" w14:textId="7D0FA8FE" w:rsidR="000B2C65" w:rsidRDefault="000B2C65" w:rsidP="000B2C6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color w:val="000000"/>
                <w:position w:val="-3"/>
              </w:rPr>
              <w:t>3. Greater participation in enrichment and cultural experiences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E" w14:textId="294424A2" w:rsidR="000B2C65" w:rsidRDefault="000B2C65" w:rsidP="000B2C6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position w:val="-3"/>
                <w:szCs w:val="24"/>
              </w:rPr>
              <w:t>All disadvantaged pupils access at least two enriched off-site visits or structured in-school cultural experiences per year (school-funded or subsidised). 80% of disadvantaged pupils participate in at least one after-school club or forest-school enrichment each term.</w:t>
            </w:r>
          </w:p>
        </w:tc>
      </w:tr>
    </w:tbl>
    <w:p w14:paraId="60BAD9F6" w14:textId="77777777" w:rsidR="00120AB1" w:rsidRDefault="00120AB1" w:rsidP="00ED5108"/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7AC0D1A9" w:rsidR="00E66558" w:rsidRDefault="009D71E8">
      <w:r w:rsidRPr="00440741">
        <w:t xml:space="preserve">Budgeted cost: £ </w:t>
      </w:r>
      <w:r w:rsidR="00E27BE9">
        <w:t>6030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A20329" w14:paraId="2A7D551D" w14:textId="77777777" w:rsidTr="001F363E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1A" w14:textId="46A2C285" w:rsidR="00A20329" w:rsidRDefault="00A20329" w:rsidP="00A20329">
            <w:pPr>
              <w:pStyle w:val="TableRow"/>
              <w:ind w:left="0" w:right="0"/>
            </w:pPr>
            <w:r>
              <w:rPr>
                <w:color w:val="000000"/>
                <w:position w:val="-3"/>
              </w:rPr>
              <w:t>1. Whole-school CPD programme on reading instruction (systematic synthetic phonics, guided oral reading, fluency instruction and vocabulary development). Regular coaching and modelling for the ECT.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1B" w14:textId="6D0D387D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EEF guidance: Improving Literacy in Key Stage 2 and EEF blog on reading fluency emphasise fluency as a bridge from decoding to comprehension and recommend guided oral reading, repeated reading and vocabulary instruction as effective classroom approaches (</w:t>
            </w:r>
            <w:hyperlink r:id="rId7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Shining a spotlight on reading fluency</w:t>
              </w:r>
            </w:hyperlink>
            <w:r>
              <w:rPr>
                <w:color w:val="000000"/>
                <w:position w:val="-3"/>
                <w:szCs w:val="24"/>
              </w:rPr>
              <w:t>; see also EEF guidance on Improving Literacy in KS2).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1C" w14:textId="14086BDC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2, 4</w:t>
            </w:r>
          </w:p>
        </w:tc>
      </w:tr>
      <w:tr w:rsidR="00A20329" w14:paraId="2A7D5521" w14:textId="77777777" w:rsidTr="00F51AC9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1E" w14:textId="5A7D0AC6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 xml:space="preserve">2. Implement a consistent Guided </w:t>
            </w:r>
            <w:r>
              <w:rPr>
                <w:color w:val="000000"/>
                <w:position w:val="-3"/>
              </w:rPr>
              <w:lastRenderedPageBreak/>
              <w:t>Reading strategy across the whole-school; ensure texts include rich vocabulary and tier-2 words with explicit vocabulary teaching built in. Provide training to staff on Accelerated Reader data use to target practice.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1F" w14:textId="5171AA75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lastRenderedPageBreak/>
              <w:t xml:space="preserve">EEF toolkit evidence on reading comprehension strategies and </w:t>
            </w:r>
            <w:r>
              <w:rPr>
                <w:color w:val="000000"/>
                <w:position w:val="-3"/>
                <w:szCs w:val="24"/>
              </w:rPr>
              <w:lastRenderedPageBreak/>
              <w:t>fluency: explicit teaching of comprehension strategies and fluency practice is associated with improved reading outcomes (</w:t>
            </w:r>
            <w:hyperlink r:id="rId8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Improving Literacy in KS2 guidance / reading fluency sources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07CD26F2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lastRenderedPageBreak/>
              <w:t>2</w:t>
            </w:r>
          </w:p>
        </w:tc>
      </w:tr>
      <w:tr w:rsidR="00A20329" w14:paraId="7B9F15D1" w14:textId="77777777" w:rsidTr="00736DC0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0E22" w14:textId="324AF373" w:rsidR="00A20329" w:rsidRDefault="00A20329" w:rsidP="00A20329">
            <w:pPr>
              <w:pStyle w:val="TableRow"/>
              <w:ind w:left="0" w:right="0"/>
              <w:rPr>
                <w:color w:val="000000"/>
                <w:position w:val="-3"/>
              </w:rPr>
            </w:pPr>
            <w:r>
              <w:rPr>
                <w:color w:val="000000"/>
                <w:position w:val="-3"/>
              </w:rPr>
              <w:t>3. Professional development on trauma-informed practice and relational behaviour management for all staff; whole-staff briefings and targeted coaching for staff supporting pupils with ACEs.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1A78" w14:textId="006A5A86" w:rsidR="00A20329" w:rsidRDefault="00A20329" w:rsidP="00A20329">
            <w:pPr>
              <w:pStyle w:val="TableRowCentered"/>
              <w:ind w:left="0" w:right="0"/>
              <w:jc w:val="left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</w:rPr>
              <w:t>EEF evidence summary on Social and Emotional Learning and behaviour interventions shows SEL/relational approaches improve wellbeing and can raise attainment; trauma-sensitive practises support pupils’ readiness to learn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Social and Emotional Learning</w:t>
              </w:r>
            </w:hyperlink>
            <w:r>
              <w:rPr>
                <w:color w:val="000000"/>
                <w:position w:val="-3"/>
                <w:szCs w:val="24"/>
              </w:rPr>
              <w:t>). Thrive approach resources describe trauma-sensitive, attachment-aware practice in schools (useful implementation model). (</w:t>
            </w:r>
            <w:hyperlink r:id="rId10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Thrive Approach overview</w:t>
              </w:r>
            </w:hyperlink>
            <w:r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1EC" w14:textId="0B1F6EB2" w:rsidR="00A20329" w:rsidRDefault="00A20329" w:rsidP="00A20329">
            <w:pPr>
              <w:pStyle w:val="TableRowCentered"/>
              <w:ind w:left="0" w:right="0"/>
              <w:jc w:val="left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</w:rPr>
              <w:t>1, 5</w:t>
            </w:r>
          </w:p>
        </w:tc>
      </w:tr>
      <w:tr w:rsidR="00A20329" w14:paraId="51C72817" w14:textId="77777777" w:rsidTr="00736DC0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FD93" w14:textId="60F86612" w:rsidR="00A20329" w:rsidRDefault="00A20329" w:rsidP="00A20329">
            <w:pPr>
              <w:pStyle w:val="TableRow"/>
              <w:ind w:left="0" w:right="0"/>
              <w:rPr>
                <w:color w:val="000000"/>
                <w:position w:val="-3"/>
              </w:rPr>
            </w:pPr>
            <w:r>
              <w:rPr>
                <w:color w:val="000000"/>
                <w:position w:val="-3"/>
              </w:rPr>
              <w:t>4. Develop professional mentoring and structured induction for the ECT in Reception/Year1 including weekly mentor meetings, observed modelling, and focused phonics/reading coaching.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B6AF" w14:textId="3470BD12" w:rsidR="00A20329" w:rsidRDefault="00A20329" w:rsidP="00A20329">
            <w:pPr>
              <w:pStyle w:val="TableRowCentered"/>
              <w:ind w:left="0" w:right="0"/>
              <w:jc w:val="left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</w:rPr>
              <w:t>EEF guidance on effective professional development and the targeted academic support page emphasise the value of high-quality CPD and mentoring for early career teachers to secure pupil learning (</w:t>
            </w:r>
            <w:hyperlink r:id="rId11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Targeted academic support / CPD guidance</w:t>
              </w:r>
            </w:hyperlink>
            <w:r>
              <w:rPr>
                <w:color w:val="000000"/>
                <w:position w:val="-3"/>
                <w:szCs w:val="24"/>
              </w:rPr>
              <w:t>; EEF materials on effective professional development).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3FF4" w14:textId="64123108" w:rsidR="00A20329" w:rsidRDefault="00A20329" w:rsidP="00A20329">
            <w:pPr>
              <w:pStyle w:val="TableRowCentered"/>
              <w:ind w:left="0" w:right="0"/>
              <w:jc w:val="left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</w:rPr>
              <w:t>4</w:t>
            </w:r>
          </w:p>
        </w:tc>
      </w:tr>
      <w:tr w:rsidR="00A20329" w14:paraId="04F10A1A" w14:textId="77777777" w:rsidTr="00736DC0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43FE" w14:textId="4B4E6CE6" w:rsidR="00A20329" w:rsidRDefault="00A20329" w:rsidP="00A20329">
            <w:pPr>
              <w:pStyle w:val="TableRow"/>
              <w:ind w:left="0" w:right="0"/>
              <w:rPr>
                <w:color w:val="000000"/>
                <w:position w:val="-3"/>
              </w:rPr>
            </w:pPr>
            <w:r>
              <w:rPr>
                <w:color w:val="000000"/>
                <w:position w:val="-3"/>
              </w:rPr>
              <w:t>5. Deploy assessment tools to measure reading fluency (fluency rubrics, running records, AR data) and SEL baselines to track progress termly; use data to triage targeted support.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2563" w14:textId="1AB4841B" w:rsidR="00A20329" w:rsidRDefault="00A20329" w:rsidP="00A20329">
            <w:pPr>
              <w:pStyle w:val="TableRowCentered"/>
              <w:ind w:left="0" w:right="0"/>
              <w:jc w:val="left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</w:rPr>
              <w:t>EEF guidance recommends careful assessment and responsive use of data to target small-group and one-to-one tuition and to monitor progress (</w:t>
            </w:r>
            <w:hyperlink r:id="rId12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Targeted academic support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3710" w14:textId="1A3CBD67" w:rsidR="00A20329" w:rsidRDefault="00A20329" w:rsidP="00A20329">
            <w:pPr>
              <w:pStyle w:val="TableRowCentered"/>
              <w:ind w:left="0" w:right="0"/>
              <w:jc w:val="left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</w:rPr>
              <w:t>2, 1, 4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lastRenderedPageBreak/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6BD2E725" w:rsidR="00E66558" w:rsidRDefault="009D71E8">
      <w:r w:rsidRPr="00440741">
        <w:t xml:space="preserve">Budgeted cost: £ </w:t>
      </w:r>
      <w:r w:rsidR="00E27BE9">
        <w:rPr>
          <w:i/>
          <w:iCs/>
        </w:rPr>
        <w:t>1</w:t>
      </w:r>
      <w:r w:rsidR="00440741">
        <w:rPr>
          <w:i/>
          <w:iCs/>
        </w:rPr>
        <w:t>0,600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A20329" w14:paraId="2A7D552C" w14:textId="77777777" w:rsidTr="00820D9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9" w14:textId="22A75B3F" w:rsidR="00A20329" w:rsidRPr="004F438A" w:rsidRDefault="00A20329" w:rsidP="00A20329">
            <w:pPr>
              <w:pStyle w:val="TableRow"/>
              <w:ind w:left="0" w:right="0"/>
            </w:pPr>
            <w:r w:rsidRPr="004F438A">
              <w:rPr>
                <w:color w:val="000000"/>
                <w:position w:val="-3"/>
              </w:rPr>
              <w:t>1. Small-group, structured reading interventions for disadvantaged pupils who are not fluent readers (3–6 weeks blocks, linked to classroom teaching). Sessions use guided oral reading, repeated reading and explicit vocabulary instruction; led by trained teacher or skilled TA under teacher oversight.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A" w14:textId="096454A2" w:rsidR="00A20329" w:rsidRPr="004F438A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4F438A">
              <w:rPr>
                <w:color w:val="000000"/>
                <w:position w:val="-3"/>
                <w:szCs w:val="24"/>
              </w:rPr>
              <w:t>EEF: Small group tuition and one-to-one tuition are effective when linked to classroom teaching and targeted at specific needs; EEF reading fluency guidance supports guided oral reading and repeated reading for fluency gains (</w:t>
            </w:r>
            <w:hyperlink r:id="rId13" w:history="1">
              <w:r w:rsidRPr="004F438A"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Targeted academic support</w:t>
              </w:r>
            </w:hyperlink>
            <w:r w:rsidRPr="004F438A">
              <w:rPr>
                <w:color w:val="000000"/>
                <w:position w:val="-3"/>
                <w:szCs w:val="24"/>
              </w:rPr>
              <w:t xml:space="preserve">; </w:t>
            </w:r>
            <w:hyperlink r:id="rId14" w:history="1">
              <w:r w:rsidRPr="004F438A"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Shining a spotlight on reading fluency</w:t>
              </w:r>
            </w:hyperlink>
            <w:r w:rsidRPr="004F438A"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B" w14:textId="690F8F09" w:rsidR="00A20329" w:rsidRP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4F438A">
              <w:rPr>
                <w:color w:val="000000"/>
                <w:position w:val="-3"/>
                <w:szCs w:val="24"/>
              </w:rPr>
              <w:t>2</w:t>
            </w:r>
          </w:p>
        </w:tc>
      </w:tr>
      <w:tr w:rsidR="00A20329" w14:paraId="2A7D5530" w14:textId="77777777" w:rsidTr="00820D9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D" w14:textId="14EF315A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>2. Structured oral language interventions and vocabulary programmes in EY and KS1 for disadvantaged pupils (small-group sessions focused on storytelling, talk tasks and pre-teaching of tier-2 vocabulary).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E" w14:textId="3744FE72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EEF toolkit: Oral language interventions have high impact (+6 months) particularly for younger pupils and disadvantaged learners; early language support narrows gaps (</w:t>
            </w:r>
            <w:hyperlink r:id="rId15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Oral language interventions summary in Toolkit / Closing the Disadvantage Gap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F" w14:textId="6CE23075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2, 4</w:t>
            </w:r>
          </w:p>
        </w:tc>
      </w:tr>
      <w:tr w:rsidR="00A20329" w14:paraId="38FDEEF5" w14:textId="77777777" w:rsidTr="00820D9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D52F" w14:textId="3C69D890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>3. One-to-one or very small group tuition for pupils with gaps in reading or writing (NTP-style tuition, school-led or commissioned), prioritising disadvantaged pupils in KS2 and those with interrupted learning.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423E" w14:textId="43A5E10E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EEF evidence that one-to-one and small-group tuition can be powerful when linked to classroom teaching and delivered by trained staff; NTP-style tutoring targeted to disadvantaged pupils is recommended (</w:t>
            </w:r>
            <w:hyperlink r:id="rId16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Targeted academic support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1A04" w14:textId="4DB7C0A2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2, 5</w:t>
            </w:r>
          </w:p>
        </w:tc>
      </w:tr>
      <w:tr w:rsidR="00A20329" w14:paraId="4D5470A7" w14:textId="77777777" w:rsidTr="00820D9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4007" w14:textId="1D65EBEF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 xml:space="preserve">4. Peer tutoring/paired reading: trained older pupils or year-matched peers support fluency practice (structured </w:t>
            </w:r>
            <w:r>
              <w:rPr>
                <w:color w:val="000000"/>
                <w:position w:val="-3"/>
              </w:rPr>
              <w:lastRenderedPageBreak/>
              <w:t>scripts, monitoring and feedback).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428D" w14:textId="6A18E492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lastRenderedPageBreak/>
              <w:t>EEF Toolkit: Peer tutoring can deliver positive impacts (+5 months) particularly for low-attaining pupils when structured carefully and monitored. Peer reading supports fluency practice and confidence (</w:t>
            </w:r>
            <w:hyperlink r:id="rId17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 xml:space="preserve">EEF </w:t>
              </w:r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lastRenderedPageBreak/>
                <w:t>— Teaching and Learning Toolkit summaries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1EBA" w14:textId="5805B072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lastRenderedPageBreak/>
              <w:t>2, 3</w:t>
            </w:r>
          </w:p>
        </w:tc>
      </w:tr>
      <w:tr w:rsidR="00A20329" w14:paraId="5E5D2800" w14:textId="77777777" w:rsidTr="00820D9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BC2B" w14:textId="6D4EE578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>5. Targeted SEND adaptations and bespoke interventions (scaffolded tasks, precision teaching, reading text modification) for disadvantaged pupils who also have SEND; ensure TA deployment is additive and monitored.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8F98" w14:textId="06C6278E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EEF guidance on SEND and targeted academic support: scaffolding, explicit instruction and well-prepared TAs are effective; careful deployment avoids isolation and ensures TAs supplement teacher-led instruction (</w:t>
            </w:r>
            <w:hyperlink r:id="rId18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Targeted academic support / SEND guidance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891E" w14:textId="7AE828E8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5, 2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6912AE88" w:rsidR="00E66558" w:rsidRDefault="009D71E8">
      <w:pPr>
        <w:spacing w:before="240" w:after="120"/>
        <w:rPr>
          <w:i/>
          <w:iCs/>
        </w:rPr>
      </w:pPr>
      <w:r>
        <w:t xml:space="preserve">Budgeted cost: £ </w:t>
      </w:r>
      <w:r w:rsidR="00440741">
        <w:rPr>
          <w:i/>
          <w:iCs/>
        </w:rPr>
        <w:t>13,370</w:t>
      </w:r>
    </w:p>
    <w:p w14:paraId="298C0363" w14:textId="18F4E550" w:rsidR="00440741" w:rsidRDefault="00440741" w:rsidP="00440741">
      <w:pPr>
        <w:spacing w:after="0" w:line="240" w:lineRule="auto"/>
      </w:pPr>
      <w: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A20329" w14:paraId="2A7D553B" w14:textId="77777777" w:rsidTr="00BE28F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8" w14:textId="757909AA" w:rsidR="00A20329" w:rsidRDefault="00A20329" w:rsidP="00A20329">
            <w:pPr>
              <w:pStyle w:val="TableRow"/>
              <w:ind w:left="0" w:right="0"/>
            </w:pPr>
            <w:r>
              <w:rPr>
                <w:color w:val="000000"/>
                <w:position w:val="-3"/>
              </w:rPr>
              <w:t>1. Implement a THRIVE-informed whole-school SEL and pastoral offer: staff training, Thrive assessments where appropriate, small-group and individual interventions, and strong home-school liaison. Use forest school and outdoor spaces for wellbeing sessions.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9" w14:textId="3F74AB8E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EEF: Social and Emotional Learning interventions improve SEL skills and can boost academic outcomes for disadvantaged pupils; trauma-aware/attachment-informed practice is recommended where ACEs are present. Thrive provides an implementation model to translate evidence into practice (</w:t>
            </w:r>
            <w:hyperlink r:id="rId19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Social and Emotional Learning</w:t>
              </w:r>
            </w:hyperlink>
            <w:r>
              <w:rPr>
                <w:color w:val="000000"/>
                <w:position w:val="-3"/>
                <w:szCs w:val="24"/>
              </w:rPr>
              <w:t xml:space="preserve">; </w:t>
            </w:r>
            <w:hyperlink r:id="rId20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Thrive Approach overview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A" w14:textId="79E63688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1</w:t>
            </w:r>
          </w:p>
        </w:tc>
      </w:tr>
      <w:tr w:rsidR="00A20329" w14:paraId="2A7D553F" w14:textId="77777777" w:rsidTr="00BE28F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C" w14:textId="0FC6F858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 xml:space="preserve">2. Funded enrichment programme for disadvantaged pupils: subsidised trips (theatre, museum, zoo), in-school cultural weeks, visiting artists/performances, and expanded use of forest school for curriculum-linked </w:t>
            </w:r>
            <w:r>
              <w:rPr>
                <w:color w:val="000000"/>
                <w:position w:val="-3"/>
              </w:rPr>
              <w:lastRenderedPageBreak/>
              <w:t>experiences. Provide “experiences fund” vouchers for families.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D" w14:textId="5F320209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lastRenderedPageBreak/>
              <w:t>EEF trials and evaluations (Children’s University and EEF commentary) suggest well-supported enrichment can improve aspiration and may provide small attainment gains; arts participation and structured extracurricular activities can benefit disadvantaged pupils (</w:t>
            </w:r>
            <w:hyperlink r:id="rId21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Children’s University project page</w:t>
              </w:r>
            </w:hyperlink>
            <w:r>
              <w:rPr>
                <w:color w:val="000000"/>
                <w:position w:val="-3"/>
                <w:szCs w:val="24"/>
              </w:rPr>
              <w:t xml:space="preserve">; </w:t>
            </w:r>
            <w:hyperlink r:id="rId22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 xml:space="preserve">EEF — Teaching and Learning </w:t>
              </w:r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lastRenderedPageBreak/>
                <w:t>Toolkit arts participation summary via Closing the Disadvantage Gap PDF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E" w14:textId="1C850AB5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lastRenderedPageBreak/>
              <w:t>3</w:t>
            </w:r>
          </w:p>
        </w:tc>
      </w:tr>
      <w:tr w:rsidR="00A20329" w14:paraId="23A8C5FE" w14:textId="77777777" w:rsidTr="00BE28F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D5C4" w14:textId="6688E74E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>3. Breakfast club and homework club targeted to disadvantaged pupils to provide nutritious start, time and device access for homework, and reading opportunities (paired reading, supervised Accelerated Reader sessions).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311" w14:textId="77C9C6AB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EEF evidence: Homework clubs and extended time approaches can support disadvantaged pupils who lack space/resources at home; breakfast clubs and meal provision support attendance, concentration and readiness to learn (EEF Toolkit: Homework, Extending school time, and Physical Activity summaries). (</w:t>
            </w:r>
            <w:hyperlink r:id="rId23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Teaching and Learning Toolkit summaries / Closing the Disadvantage Gap PDF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7E7A" w14:textId="12D77D3E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2, 3</w:t>
            </w:r>
          </w:p>
        </w:tc>
      </w:tr>
      <w:tr w:rsidR="00A20329" w14:paraId="5803DAD5" w14:textId="77777777" w:rsidTr="00BE28F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B6E8" w14:textId="6FEC7562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>4. Parental engagement programme targeted at disadvantaged families: structured workshops on reading at home, phonics information sessions, AR family access guidance and regular communication from class teachers; provide book packs for home reading.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D1A0" w14:textId="5D6023D7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EEF: Parental engagement interventions can support disadvantaged pupils (+4 months) when designed to be accessible and focused on concrete activities such as supporting reading and language development. Work to ensure engagement from all parents, not only those already involved. (</w:t>
            </w:r>
            <w:hyperlink r:id="rId24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Closing the Disadvantage Gap / Parental engagement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BDD0" w14:textId="4C4BD708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2, 3</w:t>
            </w:r>
          </w:p>
        </w:tc>
      </w:tr>
      <w:tr w:rsidR="00A20329" w14:paraId="46E1B433" w14:textId="77777777" w:rsidTr="00BE28F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0399" w14:textId="14852547" w:rsidR="00A20329" w:rsidRDefault="00A20329" w:rsidP="00A20329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color w:val="000000"/>
                <w:position w:val="-3"/>
              </w:rPr>
              <w:t>5. Targeted support for LAC pupil: PEP-aligned objectives linked to PP strategy; dedicated PEP/PP lead time, therapeutic/SEL input and ringfenced enrichment budget.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09E0" w14:textId="52F3C053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DfE and EEF recommend alignment of PEP priorities and targeted resources for LAC pupils; evidence of improved outcomes when support is personalised and monitored. (Implementation model draws on SEL and targeted support evidence above.) (</w:t>
            </w:r>
            <w:hyperlink r:id="rId25" w:history="1">
              <w:r>
                <w:rPr>
                  <w:rStyle w:val="DefaultParagraphFontPHPDOCX"/>
                  <w:color w:val="0000CC"/>
                  <w:position w:val="-3"/>
                  <w:szCs w:val="24"/>
                  <w:u w:val="single" w:color="000000"/>
                </w:rPr>
                <w:t>EEF — Social and Emotional Learning</w:t>
              </w:r>
            </w:hyperlink>
            <w:r>
              <w:rPr>
                <w:color w:val="000000"/>
                <w:position w:val="-3"/>
                <w:szCs w:val="24"/>
              </w:rPr>
              <w:t>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DBFA" w14:textId="6C261E72" w:rsidR="00A20329" w:rsidRDefault="00A20329" w:rsidP="00A20329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color w:val="000000"/>
                <w:position w:val="-3"/>
                <w:szCs w:val="24"/>
              </w:rPr>
              <w:t>1, 5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65A9FD0E" w:rsidR="00E66558" w:rsidRDefault="009D71E8" w:rsidP="00120AB1">
      <w:r w:rsidRPr="00440741">
        <w:rPr>
          <w:b/>
          <w:bCs/>
          <w:color w:val="104F75"/>
          <w:sz w:val="28"/>
          <w:szCs w:val="28"/>
        </w:rPr>
        <w:t xml:space="preserve">Total budgeted cost: £ </w:t>
      </w:r>
      <w:r w:rsidR="00440741" w:rsidRPr="00440741">
        <w:rPr>
          <w:i/>
          <w:iCs/>
          <w:color w:val="104F75"/>
          <w:sz w:val="28"/>
          <w:szCs w:val="28"/>
        </w:rPr>
        <w:t>35,000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E98E" w14:textId="3DEAE9E1" w:rsidR="00440741" w:rsidRDefault="00440741" w:rsidP="00242093">
            <w:p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 xml:space="preserve">In the academic year 2024–25, St Joseph’s Catholic Primary School, Brindle had </w:t>
            </w:r>
            <w:r>
              <w:rPr>
                <w:i/>
                <w:iCs/>
                <w:lang w:eastAsia="en-US"/>
              </w:rPr>
              <w:t>one</w:t>
            </w:r>
            <w:r w:rsidRPr="00440741">
              <w:rPr>
                <w:b/>
                <w:bCs/>
                <w:i/>
                <w:iCs/>
                <w:lang w:eastAsia="en-US"/>
              </w:rPr>
              <w:t xml:space="preserve"> disadvantaged pupil in the Year 6 cohort</w:t>
            </w:r>
            <w:r w:rsidRPr="00440741">
              <w:rPr>
                <w:i/>
                <w:iCs/>
                <w:lang w:eastAsia="en-US"/>
              </w:rPr>
              <w:t xml:space="preserve">, meaning that published KS2 national assessment data does not provide direct evidence of disadvantaged pupil outcomes. As a result, our evaluation of disadvantaged pupil performance draws on a combination of </w:t>
            </w:r>
            <w:r w:rsidRPr="00440741">
              <w:rPr>
                <w:b/>
                <w:bCs/>
                <w:i/>
                <w:iCs/>
                <w:lang w:eastAsia="en-US"/>
              </w:rPr>
              <w:t>school-based summative and formative assessments</w:t>
            </w:r>
            <w:r w:rsidRPr="00440741">
              <w:rPr>
                <w:i/>
                <w:iCs/>
                <w:lang w:eastAsia="en-US"/>
              </w:rPr>
              <w:t>, alongside wider contextual information about attendance, behaviour, and wellbeing.</w:t>
            </w:r>
          </w:p>
          <w:p w14:paraId="1C18B4CA" w14:textId="77777777" w:rsidR="00440741" w:rsidRPr="00440741" w:rsidRDefault="00440741" w:rsidP="00440741">
            <w:pPr>
              <w:numPr>
                <w:ilvl w:val="0"/>
                <w:numId w:val="19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 xml:space="preserve">KS2 outcomes for non-disadvantaged pupils were </w:t>
            </w:r>
            <w:r w:rsidRPr="00440741">
              <w:rPr>
                <w:b/>
                <w:bCs/>
                <w:i/>
                <w:iCs/>
                <w:lang w:eastAsia="en-US"/>
              </w:rPr>
              <w:t>strong</w:t>
            </w:r>
            <w:r w:rsidRPr="00440741">
              <w:rPr>
                <w:i/>
                <w:iCs/>
                <w:lang w:eastAsia="en-US"/>
              </w:rPr>
              <w:t>, with 80% achieving the expected standard in reading, writing and maths combined, compared to 62% nationally and 59% locally.</w:t>
            </w:r>
          </w:p>
          <w:p w14:paraId="7ADC72CF" w14:textId="77777777" w:rsidR="00440741" w:rsidRPr="00440741" w:rsidRDefault="00440741" w:rsidP="00440741">
            <w:pPr>
              <w:numPr>
                <w:ilvl w:val="0"/>
                <w:numId w:val="19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>Average scaled scores in reading (105.3) and maths (108.3) were broadly in line with or above national averages.</w:t>
            </w:r>
          </w:p>
          <w:p w14:paraId="762D6FB3" w14:textId="225B1285" w:rsidR="00440741" w:rsidRPr="00440741" w:rsidRDefault="00440741" w:rsidP="00440741">
            <w:pPr>
              <w:numPr>
                <w:ilvl w:val="0"/>
                <w:numId w:val="19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>As there w</w:t>
            </w:r>
            <w:r>
              <w:rPr>
                <w:i/>
                <w:iCs/>
                <w:lang w:eastAsia="en-US"/>
              </w:rPr>
              <w:t>ere so few</w:t>
            </w:r>
            <w:r w:rsidRPr="00440741">
              <w:rPr>
                <w:i/>
                <w:iCs/>
                <w:lang w:eastAsia="en-US"/>
              </w:rPr>
              <w:t xml:space="preserve"> disadvantaged pupil</w:t>
            </w:r>
            <w:r>
              <w:rPr>
                <w:i/>
                <w:iCs/>
                <w:lang w:eastAsia="en-US"/>
              </w:rPr>
              <w:t>s</w:t>
            </w:r>
            <w:r w:rsidRPr="00440741">
              <w:rPr>
                <w:i/>
                <w:iCs/>
                <w:lang w:eastAsia="en-US"/>
              </w:rPr>
              <w:t xml:space="preserve"> in the cohort, no direct comparison can be made at KS2.</w:t>
            </w:r>
          </w:p>
          <w:p w14:paraId="608532CA" w14:textId="77777777" w:rsidR="00440741" w:rsidRDefault="00440741" w:rsidP="00242093">
            <w:pPr>
              <w:numPr>
                <w:ilvl w:val="0"/>
                <w:numId w:val="19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 xml:space="preserve">It is important to note that pupils included in the performance data experienced </w:t>
            </w:r>
            <w:r w:rsidRPr="00440741">
              <w:rPr>
                <w:b/>
                <w:bCs/>
                <w:i/>
                <w:iCs/>
                <w:lang w:eastAsia="en-US"/>
              </w:rPr>
              <w:t>Covid-19 disruption earlier in their schooling</w:t>
            </w:r>
            <w:r w:rsidRPr="00440741">
              <w:rPr>
                <w:i/>
                <w:iCs/>
                <w:lang w:eastAsia="en-US"/>
              </w:rPr>
              <w:t>, which may have affected outcomes differently across schools and individuals.</w:t>
            </w:r>
          </w:p>
          <w:p w14:paraId="03A00250" w14:textId="35723F59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 xml:space="preserve"> School-based assessments in other year groups show that disadvantaged pupils are making progress broadly in line with their peers, though attainment gaps remain in some areas, particularly writing.</w:t>
            </w:r>
          </w:p>
          <w:p w14:paraId="2C85775A" w14:textId="1513B263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 xml:space="preserve">Attendance and punctuality have been actively supported. For example, the school funded </w:t>
            </w:r>
            <w:r w:rsidRPr="00440741">
              <w:rPr>
                <w:b/>
                <w:bCs/>
                <w:i/>
                <w:iCs/>
                <w:lang w:eastAsia="en-US"/>
              </w:rPr>
              <w:t>taxi transport for a family travelling from Preston</w:t>
            </w:r>
            <w:r w:rsidRPr="00440741">
              <w:rPr>
                <w:i/>
                <w:iCs/>
                <w:lang w:eastAsia="en-US"/>
              </w:rPr>
              <w:t>, ensuring consistent access to learning.</w:t>
            </w:r>
          </w:p>
          <w:p w14:paraId="17408BB1" w14:textId="43787AE2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 xml:space="preserve"> Engagement in enrichment activities has been prioritised, with disadvantaged pupils allocated free places in </w:t>
            </w:r>
            <w:r w:rsidRPr="00440741">
              <w:rPr>
                <w:b/>
                <w:bCs/>
                <w:i/>
                <w:iCs/>
                <w:lang w:eastAsia="en-US"/>
              </w:rPr>
              <w:t>Jam-Coding Club, Rocksteady Club, HAF half-term club</w:t>
            </w:r>
            <w:r>
              <w:rPr>
                <w:b/>
                <w:bCs/>
                <w:i/>
                <w:iCs/>
                <w:lang w:eastAsia="en-US"/>
              </w:rPr>
              <w:t xml:space="preserve"> and funding has been allocated towards educational visits and residentials</w:t>
            </w:r>
            <w:r w:rsidRPr="00440741">
              <w:rPr>
                <w:i/>
                <w:iCs/>
                <w:lang w:eastAsia="en-US"/>
              </w:rPr>
              <w:t>. These opportunities have supported confidence, wellbeing, and wider participation.</w:t>
            </w:r>
          </w:p>
          <w:p w14:paraId="223BD088" w14:textId="40E51E2B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>Behaviour and wellbeing monitoring indicates that disadvantaged pupils are well integrated into the school community, with targeted pastoral support helping to sustain positive outcomes.</w:t>
            </w:r>
          </w:p>
          <w:p w14:paraId="69FDCFCC" w14:textId="52CAD868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 xml:space="preserve">The </w:t>
            </w:r>
            <w:r w:rsidRPr="00440741">
              <w:rPr>
                <w:b/>
                <w:bCs/>
                <w:i/>
                <w:iCs/>
                <w:lang w:eastAsia="en-US"/>
              </w:rPr>
              <w:t>number of disadvantaged pupils is increasing</w:t>
            </w:r>
            <w:r w:rsidRPr="00440741">
              <w:rPr>
                <w:i/>
                <w:iCs/>
                <w:lang w:eastAsia="en-US"/>
              </w:rPr>
              <w:t>, making this a growing priority for the school.</w:t>
            </w:r>
          </w:p>
          <w:p w14:paraId="4919C28A" w14:textId="4F03BB4F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lastRenderedPageBreak/>
              <w:t xml:space="preserve">Our current pupil premium strategy is </w:t>
            </w:r>
            <w:r w:rsidRPr="00440741">
              <w:rPr>
                <w:b/>
                <w:bCs/>
                <w:i/>
                <w:iCs/>
                <w:lang w:eastAsia="en-US"/>
              </w:rPr>
              <w:t>on track to achieve its intended outcomes</w:t>
            </w:r>
            <w:r w:rsidRPr="00440741">
              <w:rPr>
                <w:i/>
                <w:iCs/>
                <w:lang w:eastAsia="en-US"/>
              </w:rPr>
              <w:t>, particularly in relation to attendance, access to enrichment, and closing attainment gaps in core subjects.</w:t>
            </w:r>
          </w:p>
          <w:p w14:paraId="7C490484" w14:textId="5D685F96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>Strengths: targeted support for punctuality, enrichment opportunities, and pastoral care.</w:t>
            </w:r>
          </w:p>
          <w:p w14:paraId="183F3ABC" w14:textId="5A84A55F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>Areas for further development: ensuring disadvantaged pupils achieve greater depth in writing and reading, and embedding consistent progress tracking across all year groups.</w:t>
            </w:r>
          </w:p>
          <w:p w14:paraId="5023926C" w14:textId="1FFBBC29" w:rsidR="00440741" w:rsidRPr="00440741" w:rsidRDefault="00440741" w:rsidP="00440741">
            <w:pPr>
              <w:numPr>
                <w:ilvl w:val="0"/>
                <w:numId w:val="1"/>
              </w:numPr>
              <w:spacing w:before="60"/>
              <w:rPr>
                <w:i/>
                <w:iCs/>
                <w:lang w:eastAsia="en-US"/>
              </w:rPr>
            </w:pPr>
            <w:r w:rsidRPr="00440741">
              <w:rPr>
                <w:i/>
                <w:iCs/>
                <w:lang w:eastAsia="en-US"/>
              </w:rPr>
              <w:t xml:space="preserve">The previous pupil premium strategy plan concluded last year. Its intended outcomes—improved attendance, access to enrichment, and narrowing of attainment gaps—were </w:t>
            </w:r>
            <w:r w:rsidRPr="00440741">
              <w:rPr>
                <w:b/>
                <w:bCs/>
                <w:i/>
                <w:iCs/>
                <w:lang w:eastAsia="en-US"/>
              </w:rPr>
              <w:t>partially met</w:t>
            </w:r>
            <w:r w:rsidRPr="00440741">
              <w:rPr>
                <w:i/>
                <w:iCs/>
                <w:lang w:eastAsia="en-US"/>
              </w:rPr>
              <w:t>. Attendance and engagement targets were achieved, but attainment gaps in literacy remain an area requiring continued focus. These findings have directly informed the priorities of the current strategy.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lastRenderedPageBreak/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6982BE0C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6C613768" w:rsidR="00E66558" w:rsidRDefault="00E27BE9" w:rsidP="00F54FCB">
            <w:pPr>
              <w:pStyle w:val="TableRow"/>
              <w:ind w:left="0" w:right="0"/>
            </w:pPr>
            <w:r>
              <w:t>Rocksteady band sessions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9AA19F3" w:rsidR="00E66558" w:rsidRDefault="00440741" w:rsidP="00F54FCB">
            <w:pPr>
              <w:pStyle w:val="TableRowCentered"/>
              <w:ind w:left="0" w:right="0"/>
              <w:jc w:val="left"/>
            </w:pPr>
            <w:r>
              <w:t xml:space="preserve">Rocksteady </w:t>
            </w:r>
            <w:r w:rsidR="00E27BE9">
              <w:t>Music School</w:t>
            </w: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2EC9D41C" w:rsidR="00E66558" w:rsidRDefault="00E27BE9" w:rsidP="00F54FCB">
            <w:pPr>
              <w:pStyle w:val="TableRow"/>
              <w:ind w:left="0" w:right="0"/>
            </w:pPr>
            <w:r>
              <w:t>Cool Milk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5E3A1BD7" w:rsidR="00E66558" w:rsidRDefault="00E27BE9" w:rsidP="00F54FCB">
            <w:pPr>
              <w:pStyle w:val="TableRowCentered"/>
              <w:ind w:left="0" w:right="0"/>
              <w:jc w:val="left"/>
            </w:pPr>
            <w:r>
              <w:t>Cool Milk</w:t>
            </w:r>
          </w:p>
        </w:tc>
      </w:tr>
      <w:tr w:rsidR="00E27BE9" w14:paraId="4A52E640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36E3" w14:textId="349A5620" w:rsidR="00E27BE9" w:rsidRDefault="00E27BE9" w:rsidP="00F54FCB">
            <w:pPr>
              <w:pStyle w:val="TableRow"/>
              <w:ind w:left="0" w:right="0"/>
            </w:pPr>
            <w:r>
              <w:t>School Uniform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9363" w14:textId="78BF51BE" w:rsidR="00E27BE9" w:rsidRDefault="00E27BE9" w:rsidP="00F54FCB">
            <w:pPr>
              <w:pStyle w:val="TableRowCentered"/>
              <w:ind w:left="0" w:right="0"/>
              <w:jc w:val="left"/>
            </w:pPr>
            <w:r>
              <w:t>Just Clothing</w:t>
            </w:r>
          </w:p>
        </w:tc>
      </w:tr>
      <w:tr w:rsidR="00E27BE9" w14:paraId="54B296C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2295" w14:textId="2ACA84BE" w:rsidR="00E27BE9" w:rsidRDefault="00E27BE9" w:rsidP="00F54FCB">
            <w:pPr>
              <w:pStyle w:val="TableRow"/>
              <w:ind w:left="0" w:right="0"/>
            </w:pPr>
            <w:r>
              <w:t>Wraparound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7EAD" w14:textId="0A57B742" w:rsidR="00E27BE9" w:rsidRDefault="00E27BE9" w:rsidP="00F54FCB">
            <w:pPr>
              <w:pStyle w:val="TableRowCentered"/>
              <w:ind w:left="0" w:right="0"/>
              <w:jc w:val="left"/>
            </w:pPr>
            <w:r>
              <w:t xml:space="preserve">Pals </w:t>
            </w:r>
          </w:p>
        </w:tc>
      </w:tr>
    </w:tbl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7A9BAE22" w:rsidR="00E66558" w:rsidRPr="00AA355B" w:rsidRDefault="009D71E8">
            <w:pPr>
              <w:spacing w:before="12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Use this space to provide any further information about your pupil premium strategy. For example, about </w:t>
            </w:r>
            <w:r w:rsidR="00BE44AC">
              <w:rPr>
                <w:rFonts w:cs="Arial"/>
                <w:i/>
                <w:iCs/>
              </w:rPr>
              <w:t xml:space="preserve">your </w:t>
            </w:r>
            <w:r>
              <w:rPr>
                <w:rFonts w:cs="Arial"/>
                <w:i/>
                <w:iCs/>
              </w:rPr>
              <w:t>strategy planning</w:t>
            </w:r>
            <w:r w:rsidR="00F15753">
              <w:rPr>
                <w:rFonts w:cs="Arial"/>
                <w:i/>
                <w:iCs/>
              </w:rPr>
              <w:t>, implementation</w:t>
            </w:r>
            <w:r w:rsidR="00BE44AC">
              <w:rPr>
                <w:rFonts w:cs="Arial"/>
                <w:i/>
                <w:iCs/>
              </w:rPr>
              <w:t xml:space="preserve"> and evaluation,</w:t>
            </w:r>
            <w:r>
              <w:rPr>
                <w:rFonts w:cs="Arial"/>
                <w:i/>
                <w:iCs/>
              </w:rPr>
              <w:t xml:space="preserve"> or other activity that you are</w:t>
            </w:r>
            <w:r w:rsidR="00F15753">
              <w:rPr>
                <w:rFonts w:cs="Arial"/>
                <w:i/>
                <w:iCs/>
              </w:rPr>
              <w:t xml:space="preserve"> deliver</w:t>
            </w:r>
            <w:r>
              <w:rPr>
                <w:rFonts w:cs="Arial"/>
                <w:i/>
                <w:iCs/>
              </w:rPr>
              <w:t>ing to support disadvantaged pupils that is not dependent on pupil premium funding.</w:t>
            </w: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26"/>
      <w:footerReference w:type="default" r:id="rId27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2E09" w14:textId="77777777" w:rsidR="00D417D9" w:rsidRDefault="00D417D9">
      <w:pPr>
        <w:spacing w:after="0" w:line="240" w:lineRule="auto"/>
      </w:pPr>
      <w:r>
        <w:separator/>
      </w:r>
    </w:p>
  </w:endnote>
  <w:endnote w:type="continuationSeparator" w:id="0">
    <w:p w14:paraId="55416BA2" w14:textId="77777777" w:rsidR="00D417D9" w:rsidRDefault="00D417D9">
      <w:pPr>
        <w:spacing w:after="0" w:line="240" w:lineRule="auto"/>
      </w:pPr>
      <w:r>
        <w:continuationSeparator/>
      </w:r>
    </w:p>
  </w:endnote>
  <w:endnote w:type="continuationNotice" w:id="1">
    <w:p w14:paraId="0B16629B" w14:textId="77777777" w:rsidR="00D417D9" w:rsidRDefault="00D41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A327" w14:textId="77777777" w:rsidR="00D417D9" w:rsidRDefault="00D417D9">
      <w:pPr>
        <w:spacing w:after="0" w:line="240" w:lineRule="auto"/>
      </w:pPr>
      <w:r>
        <w:separator/>
      </w:r>
    </w:p>
  </w:footnote>
  <w:footnote w:type="continuationSeparator" w:id="0">
    <w:p w14:paraId="67F06A23" w14:textId="77777777" w:rsidR="00D417D9" w:rsidRDefault="00D417D9">
      <w:pPr>
        <w:spacing w:after="0" w:line="240" w:lineRule="auto"/>
      </w:pPr>
      <w:r>
        <w:continuationSeparator/>
      </w:r>
    </w:p>
  </w:footnote>
  <w:footnote w:type="continuationNotice" w:id="1">
    <w:p w14:paraId="5496F9BA" w14:textId="77777777" w:rsidR="00D417D9" w:rsidRDefault="00D41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562"/>
    <w:multiLevelType w:val="multilevel"/>
    <w:tmpl w:val="FC0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03AA7"/>
    <w:multiLevelType w:val="hybridMultilevel"/>
    <w:tmpl w:val="A3127316"/>
    <w:lvl w:ilvl="0" w:tplc="61540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6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7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6"/>
  </w:num>
  <w:num w:numId="2" w16cid:durableId="1628730595">
    <w:abstractNumId w:val="4"/>
  </w:num>
  <w:num w:numId="3" w16cid:durableId="497188144">
    <w:abstractNumId w:val="7"/>
  </w:num>
  <w:num w:numId="4" w16cid:durableId="1138914232">
    <w:abstractNumId w:val="8"/>
  </w:num>
  <w:num w:numId="5" w16cid:durableId="857932188">
    <w:abstractNumId w:val="1"/>
  </w:num>
  <w:num w:numId="6" w16cid:durableId="798501009">
    <w:abstractNumId w:val="9"/>
  </w:num>
  <w:num w:numId="7" w16cid:durableId="1210847263">
    <w:abstractNumId w:val="14"/>
  </w:num>
  <w:num w:numId="8" w16cid:durableId="982348153">
    <w:abstractNumId w:val="18"/>
  </w:num>
  <w:num w:numId="9" w16cid:durableId="1529290868">
    <w:abstractNumId w:val="16"/>
  </w:num>
  <w:num w:numId="10" w16cid:durableId="1171066271">
    <w:abstractNumId w:val="15"/>
  </w:num>
  <w:num w:numId="11" w16cid:durableId="1453552857">
    <w:abstractNumId w:val="5"/>
  </w:num>
  <w:num w:numId="12" w16cid:durableId="1812097430">
    <w:abstractNumId w:val="17"/>
  </w:num>
  <w:num w:numId="13" w16cid:durableId="42288650">
    <w:abstractNumId w:val="13"/>
  </w:num>
  <w:num w:numId="14" w16cid:durableId="1721712531">
    <w:abstractNumId w:val="10"/>
  </w:num>
  <w:num w:numId="15" w16cid:durableId="1235432793">
    <w:abstractNumId w:val="3"/>
  </w:num>
  <w:num w:numId="16" w16cid:durableId="884678859">
    <w:abstractNumId w:val="2"/>
  </w:num>
  <w:num w:numId="17" w16cid:durableId="826165421">
    <w:abstractNumId w:val="11"/>
  </w:num>
  <w:num w:numId="18" w16cid:durableId="1778911620">
    <w:abstractNumId w:val="12"/>
  </w:num>
  <w:num w:numId="19" w16cid:durableId="112114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B2C65"/>
    <w:rsid w:val="000D22B0"/>
    <w:rsid w:val="000D318D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2554"/>
    <w:rsid w:val="00155944"/>
    <w:rsid w:val="001559D7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331B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87FA8"/>
    <w:rsid w:val="002920F4"/>
    <w:rsid w:val="002940F3"/>
    <w:rsid w:val="00295842"/>
    <w:rsid w:val="002B3574"/>
    <w:rsid w:val="002B6B74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00AD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40741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4C45"/>
    <w:rsid w:val="004A55C4"/>
    <w:rsid w:val="004B0485"/>
    <w:rsid w:val="004B0ED7"/>
    <w:rsid w:val="004B1F58"/>
    <w:rsid w:val="004B428E"/>
    <w:rsid w:val="004B4D0A"/>
    <w:rsid w:val="004B4D37"/>
    <w:rsid w:val="004C42F0"/>
    <w:rsid w:val="004D50C8"/>
    <w:rsid w:val="004D6B72"/>
    <w:rsid w:val="004E1D73"/>
    <w:rsid w:val="004E5450"/>
    <w:rsid w:val="004E57C3"/>
    <w:rsid w:val="004E72DD"/>
    <w:rsid w:val="004F22CD"/>
    <w:rsid w:val="004F438A"/>
    <w:rsid w:val="005003B0"/>
    <w:rsid w:val="005025FB"/>
    <w:rsid w:val="00503462"/>
    <w:rsid w:val="0051286E"/>
    <w:rsid w:val="00516021"/>
    <w:rsid w:val="00516457"/>
    <w:rsid w:val="00516641"/>
    <w:rsid w:val="0051729F"/>
    <w:rsid w:val="00517B11"/>
    <w:rsid w:val="005201C6"/>
    <w:rsid w:val="00520A0C"/>
    <w:rsid w:val="00530E37"/>
    <w:rsid w:val="00535946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0BBD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6521"/>
    <w:rsid w:val="00607CEB"/>
    <w:rsid w:val="00613299"/>
    <w:rsid w:val="0061762D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81416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64E5"/>
    <w:rsid w:val="007C2F04"/>
    <w:rsid w:val="007F06E5"/>
    <w:rsid w:val="007F5B8B"/>
    <w:rsid w:val="00805BC0"/>
    <w:rsid w:val="00814FB9"/>
    <w:rsid w:val="00817E9A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80937"/>
    <w:rsid w:val="00981C1D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0CF5"/>
    <w:rsid w:val="009E104B"/>
    <w:rsid w:val="009E7DE4"/>
    <w:rsid w:val="009F3BBD"/>
    <w:rsid w:val="00A022AB"/>
    <w:rsid w:val="00A063DD"/>
    <w:rsid w:val="00A112B5"/>
    <w:rsid w:val="00A14EEA"/>
    <w:rsid w:val="00A20329"/>
    <w:rsid w:val="00A33636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D7B5A"/>
    <w:rsid w:val="00AE229F"/>
    <w:rsid w:val="00AF0618"/>
    <w:rsid w:val="00AF5E20"/>
    <w:rsid w:val="00B002FA"/>
    <w:rsid w:val="00B00327"/>
    <w:rsid w:val="00B024B3"/>
    <w:rsid w:val="00B11DE8"/>
    <w:rsid w:val="00B179ED"/>
    <w:rsid w:val="00B20E18"/>
    <w:rsid w:val="00B331E1"/>
    <w:rsid w:val="00B4532A"/>
    <w:rsid w:val="00B47C66"/>
    <w:rsid w:val="00B572C4"/>
    <w:rsid w:val="00B60858"/>
    <w:rsid w:val="00B60D69"/>
    <w:rsid w:val="00B6234E"/>
    <w:rsid w:val="00B74D4E"/>
    <w:rsid w:val="00B80219"/>
    <w:rsid w:val="00B87184"/>
    <w:rsid w:val="00B91453"/>
    <w:rsid w:val="00BA19A5"/>
    <w:rsid w:val="00BB2907"/>
    <w:rsid w:val="00BB6902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3C11"/>
    <w:rsid w:val="00C2441E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97A7F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17D9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B4647"/>
    <w:rsid w:val="00DC641A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F56"/>
    <w:rsid w:val="00E27BE9"/>
    <w:rsid w:val="00E3014F"/>
    <w:rsid w:val="00E41B7E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A2A"/>
    <w:rsid w:val="00EA6B46"/>
    <w:rsid w:val="00EB4556"/>
    <w:rsid w:val="00EB4A11"/>
    <w:rsid w:val="00EB64C8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54FCB"/>
    <w:rsid w:val="00F62587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7033"/>
    <w:rsid w:val="00FA6DD0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F079FD6B-EC9E-46D2-8CA9-AC54D679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  <w:style w:type="character" w:customStyle="1" w:styleId="DefaultParagraphFontPHPDOCX">
    <w:name w:val="Default Paragraph Font PHPDOCX"/>
    <w:uiPriority w:val="1"/>
    <w:semiHidden/>
    <w:unhideWhenUsed/>
    <w:rsid w:val="00A2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endowmentfoundation.org.uk/news/eef-blog-shining-a-spotlight-on-reading-fluency" TargetMode="External"/><Relationship Id="rId13" Type="http://schemas.openxmlformats.org/officeDocument/2006/relationships/hyperlink" Target="https://educationendowmentfoundation.org.uk/support-for-schools/school-planning-support/2-targeted-academic-support" TargetMode="External"/><Relationship Id="rId18" Type="http://schemas.openxmlformats.org/officeDocument/2006/relationships/hyperlink" Target="https://educationendowmentfoundation.org.uk/support-for-schools/school-planning-support/2-targeted-academic-support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educationendowmentfoundation.org.uk/projects-and-evaluation/projects/childrens-university-re-grant" TargetMode="External"/><Relationship Id="rId7" Type="http://schemas.openxmlformats.org/officeDocument/2006/relationships/hyperlink" Target="https://educationendowmentfoundation.org.uk/news/eef-blog-shining-a-spotlight-on-reading-fluency" TargetMode="External"/><Relationship Id="rId12" Type="http://schemas.openxmlformats.org/officeDocument/2006/relationships/hyperlink" Target="https://educationendowmentfoundation.org.uk/support-for-schools/school-planning-support/2-targeted-academic-support" TargetMode="External"/><Relationship Id="rId17" Type="http://schemas.openxmlformats.org/officeDocument/2006/relationships/hyperlink" Target="https://educationendowmentfoundation.org.uk/" TargetMode="External"/><Relationship Id="rId25" Type="http://schemas.openxmlformats.org/officeDocument/2006/relationships/hyperlink" Target="https://educationendowmentfoundation.org.uk/education-evidence/teaching-learning-toolkit/social-and-emotional-lear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endowmentfoundation.org.uk/support-for-schools/school-planning-support/2-targeted-academic-support" TargetMode="External"/><Relationship Id="rId20" Type="http://schemas.openxmlformats.org/officeDocument/2006/relationships/hyperlink" Target="https://www.thriveapproach.com/news/thrive-advocates-for-social-and-emotional-learning-at-house-of-common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endowmentfoundation.org.uk/support-for-schools/school-planning-support/2-targeted-academic-support" TargetMode="External"/><Relationship Id="rId24" Type="http://schemas.openxmlformats.org/officeDocument/2006/relationships/hyperlink" Target="https://www.ase.org.uk/sites/default/files/Closing%20the%20Disadvantage%20Gap%20%28EEF%20Toolkit%29%20ASE%20II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e.org.uk/sites/default/files/Closing%20the%20Disadvantage%20Gap%20%28EEF%20Toolkit%29%20ASE%20IIS.pdf" TargetMode="External"/><Relationship Id="rId23" Type="http://schemas.openxmlformats.org/officeDocument/2006/relationships/hyperlink" Target="https://www.ase.org.uk/sites/default/files/Closing%20the%20Disadvantage%20Gap%20%28EEF%20Toolkit%29%20ASE%20IIS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hriveapproach.com/news/thrive-advocates-for-social-and-emotional-learning-at-house-of-commons" TargetMode="External"/><Relationship Id="rId19" Type="http://schemas.openxmlformats.org/officeDocument/2006/relationships/hyperlink" Target="https://educationendowmentfoundation.org.uk/education-evidence/teaching-learning-toolkit/social-and-emotional-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ducation-evidence/teaching-learning-toolkit/social-and-emotional-learning" TargetMode="External"/><Relationship Id="rId14" Type="http://schemas.openxmlformats.org/officeDocument/2006/relationships/hyperlink" Target="https://educationendowmentfoundation.org.uk/news/eef-blog-shining-a-spotlight-on-reading-fluency" TargetMode="External"/><Relationship Id="rId22" Type="http://schemas.openxmlformats.org/officeDocument/2006/relationships/hyperlink" Target="https://www.ase.org.uk/sites/default/files/Closing%20the%20Disadvantage%20Gap%20%28EEF%20Toolkit%29%20ASE%20IIS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Sophie Bridge</cp:lastModifiedBy>
  <cp:revision>4</cp:revision>
  <cp:lastPrinted>2014-09-18T05:26:00Z</cp:lastPrinted>
  <dcterms:created xsi:type="dcterms:W3CDTF">2025-11-17T20:35:00Z</dcterms:created>
  <dcterms:modified xsi:type="dcterms:W3CDTF">2025-12-01T12:09:00Z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