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1F4ACE" w14:textId="77777777" w:rsidR="00A71D6C" w:rsidRDefault="00A71D6C">
      <w:pPr>
        <w:pStyle w:val="BodyText"/>
        <w:spacing w:before="9"/>
        <w:rPr>
          <w:rFonts w:ascii="Times New Roman"/>
          <w:sz w:val="7"/>
        </w:rPr>
      </w:pPr>
      <w:bookmarkStart w:id="0" w:name="_GoBack"/>
      <w:bookmarkEnd w:id="0"/>
    </w:p>
    <w:p w14:paraId="1B856C72" w14:textId="7EAA46EC" w:rsidR="00A71D6C" w:rsidRDefault="009E7C66">
      <w:pPr>
        <w:pStyle w:val="BodyText"/>
        <w:ind w:left="115"/>
        <w:rPr>
          <w:rFonts w:ascii="Times New Roman"/>
          <w:sz w:val="20"/>
        </w:rPr>
      </w:pPr>
      <w:r>
        <w:rPr>
          <w:rFonts w:ascii="Times New Roman"/>
          <w:noProof/>
          <w:sz w:val="20"/>
          <w:lang w:eastAsia="en-GB"/>
        </w:rPr>
        <mc:AlternateContent>
          <mc:Choice Requires="wps">
            <w:drawing>
              <wp:inline distT="0" distB="0" distL="0" distR="0" wp14:anchorId="50E65A25" wp14:editId="71F92917">
                <wp:extent cx="5965825" cy="946785"/>
                <wp:effectExtent l="0" t="0" r="0" b="635"/>
                <wp:docPr id="25"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65825" cy="946785"/>
                        </a:xfrm>
                        <a:prstGeom prst="rect">
                          <a:avLst/>
                        </a:prstGeom>
                        <a:solidFill>
                          <a:srgbClr val="2B569A"/>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C966A0C" w14:textId="77777777" w:rsidR="00673587" w:rsidRDefault="00673587" w:rsidP="0022044A">
                            <w:pPr>
                              <w:spacing w:before="1" w:line="744" w:lineRule="exact"/>
                              <w:ind w:left="592" w:right="462"/>
                              <w:jc w:val="center"/>
                              <w:rPr>
                                <w:rFonts w:ascii="Segoe UI Light"/>
                                <w:sz w:val="56"/>
                              </w:rPr>
                            </w:pPr>
                            <w:r>
                              <w:rPr>
                                <w:rFonts w:ascii="Segoe UI Light"/>
                                <w:color w:val="FFFFFF"/>
                                <w:sz w:val="56"/>
                              </w:rPr>
                              <w:t xml:space="preserve"> Post 16: Transition Fund Report</w:t>
                            </w:r>
                          </w:p>
                        </w:txbxContent>
                      </wps:txbx>
                      <wps:bodyPr rot="0" vert="horz" wrap="square" lIns="0" tIns="0" rIns="0" bIns="0" anchor="t" anchorCtr="0" upright="1">
                        <a:noAutofit/>
                      </wps:bodyPr>
                    </wps:wsp>
                  </a:graphicData>
                </a:graphic>
              </wp:inline>
            </w:drawing>
          </mc:Choice>
          <mc:Fallback>
            <w:pict>
              <v:shapetype w14:anchorId="50E65A25" id="_x0000_t202" coordsize="21600,21600" o:spt="202" path="m,l,21600r21600,l21600,xe">
                <v:stroke joinstyle="miter"/>
                <v:path gradientshapeok="t" o:connecttype="rect"/>
              </v:shapetype>
              <v:shape id="Text Box 19" o:spid="_x0000_s1026" type="#_x0000_t202" style="width:469.75pt;height:7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" fillcolor="#2b569a" stroked="f">
                <v:textbox inset="0,0,0,0">
                  <w:txbxContent>
                    <w:p w14:paraId="5C966A0C" w14:textId="77777777" w:rsidR="00673587" w:rsidRDefault="00673587" w:rsidP="0022044A">
                      <w:pPr>
                        <w:spacing w:before="1" w:line="744" w:lineRule="exact"/>
                        <w:ind w:left="592" w:right="462"/>
                        <w:jc w:val="center"/>
                        <w:rPr>
                          <w:rFonts w:ascii="Segoe UI Light"/>
                          <w:sz w:val="56"/>
                        </w:rPr>
                      </w:pPr>
                      <w:r>
                        <w:rPr>
                          <w:rFonts w:ascii="Segoe UI Light"/>
                          <w:color w:val="FFFFFF"/>
                          <w:sz w:val="56"/>
                        </w:rPr>
                        <w:t xml:space="preserve"> Post 16: Transition Fund Report</w:t>
                      </w:r>
                    </w:p>
                  </w:txbxContent>
                </v:textbox>
                <w10:anchorlock/>
              </v:shape>
            </w:pict>
          </mc:Fallback>
        </mc:AlternateContent>
      </w:r>
    </w:p>
    <w:p w14:paraId="689E2050" w14:textId="77777777" w:rsidR="00A71D6C" w:rsidRDefault="00A71D6C">
      <w:pPr>
        <w:pStyle w:val="BodyText"/>
        <w:rPr>
          <w:rFonts w:ascii="Times New Roman"/>
          <w:sz w:val="20"/>
        </w:rPr>
      </w:pPr>
    </w:p>
    <w:p w14:paraId="154A812B" w14:textId="77777777" w:rsidR="00A71D6C" w:rsidRDefault="00A71D6C">
      <w:pPr>
        <w:pStyle w:val="BodyText"/>
        <w:rPr>
          <w:rFonts w:ascii="Times New Roman"/>
          <w:sz w:val="20"/>
        </w:rPr>
      </w:pPr>
    </w:p>
    <w:p w14:paraId="664A1BDF" w14:textId="77777777" w:rsidR="00A71D6C" w:rsidRDefault="00A71D6C">
      <w:pPr>
        <w:pStyle w:val="BodyText"/>
        <w:spacing w:before="10"/>
        <w:rPr>
          <w:rFonts w:ascii="Times New Roman"/>
          <w:sz w:val="21"/>
        </w:rPr>
      </w:pPr>
    </w:p>
    <w:p w14:paraId="441C1E44" w14:textId="77777777" w:rsidR="00A71D6C" w:rsidRDefault="00673587">
      <w:pPr>
        <w:tabs>
          <w:tab w:val="left" w:pos="9510"/>
        </w:tabs>
        <w:spacing w:before="101"/>
        <w:ind w:left="120"/>
        <w:rPr>
          <w:rFonts w:ascii="Segoe UI Light"/>
          <w:sz w:val="52"/>
        </w:rPr>
      </w:pPr>
      <w:r>
        <w:rPr>
          <w:rFonts w:ascii="Segoe UI Light"/>
          <w:color w:val="3A3838"/>
          <w:sz w:val="52"/>
          <w:u w:val="thick" w:color="2B569A"/>
        </w:rPr>
        <w:t>Contents</w:t>
      </w:r>
      <w:r>
        <w:rPr>
          <w:rFonts w:ascii="Segoe UI Light"/>
          <w:color w:val="3A3838"/>
          <w:sz w:val="52"/>
          <w:u w:val="thick" w:color="2B569A"/>
        </w:rPr>
        <w:tab/>
      </w:r>
    </w:p>
    <w:p w14:paraId="05C1F1E5" w14:textId="77777777" w:rsidR="00A71D6C" w:rsidRDefault="00A71D6C">
      <w:pPr>
        <w:pStyle w:val="BodyText"/>
        <w:spacing w:before="4"/>
        <w:rPr>
          <w:rFonts w:ascii="Segoe UI Light"/>
          <w:sz w:val="15"/>
        </w:rPr>
      </w:pPr>
    </w:p>
    <w:sdt>
      <w:sdtPr>
        <w:id w:val="742075638"/>
        <w:docPartObj>
          <w:docPartGallery w:val="Table of Contents"/>
          <w:docPartUnique/>
        </w:docPartObj>
      </w:sdtPr>
      <w:sdtEndPr/>
      <w:sdtContent>
        <w:p w14:paraId="7C6993D6" w14:textId="77777777" w:rsidR="00A71D6C" w:rsidRDefault="0040427E">
          <w:pPr>
            <w:pStyle w:val="TOC2"/>
            <w:numPr>
              <w:ilvl w:val="0"/>
              <w:numId w:val="3"/>
            </w:numPr>
            <w:tabs>
              <w:tab w:val="left" w:pos="702"/>
              <w:tab w:val="right" w:leader="dot" w:pos="9473"/>
            </w:tabs>
            <w:ind w:hanging="361"/>
          </w:pPr>
          <w:hyperlink w:anchor="_bookmark0" w:history="1">
            <w:r w:rsidR="00673587">
              <w:t>Transition</w:t>
            </w:r>
            <w:r w:rsidR="00673587">
              <w:rPr>
                <w:spacing w:val="-1"/>
              </w:rPr>
              <w:t xml:space="preserve"> </w:t>
            </w:r>
            <w:r w:rsidR="00673587">
              <w:t>Funding</w:t>
            </w:r>
            <w:r w:rsidR="00673587">
              <w:rPr>
                <w:spacing w:val="-1"/>
              </w:rPr>
              <w:t xml:space="preserve"> </w:t>
            </w:r>
            <w:r w:rsidR="00673587">
              <w:t>Context</w:t>
            </w:r>
            <w:r w:rsidR="00673587">
              <w:tab/>
              <w:t>2</w:t>
            </w:r>
          </w:hyperlink>
        </w:p>
        <w:p w14:paraId="79597B0A" w14:textId="7AA19489" w:rsidR="00A71D6C" w:rsidRDefault="0040427E">
          <w:pPr>
            <w:pStyle w:val="TOC2"/>
            <w:numPr>
              <w:ilvl w:val="0"/>
              <w:numId w:val="3"/>
            </w:numPr>
            <w:tabs>
              <w:tab w:val="left" w:pos="702"/>
              <w:tab w:val="right" w:leader="dot" w:pos="9473"/>
            </w:tabs>
            <w:spacing w:before="182"/>
            <w:ind w:hanging="361"/>
          </w:pPr>
          <w:hyperlink w:anchor="_bookmark1" w:history="1">
            <w:r w:rsidR="00673587">
              <w:t>Situation</w:t>
            </w:r>
            <w:r w:rsidR="005069B6">
              <w:t xml:space="preserve"> June 2020</w:t>
            </w:r>
            <w:r w:rsidR="00673587">
              <w:tab/>
            </w:r>
            <w:r w:rsidR="005069B6">
              <w:t xml:space="preserve"> </w:t>
            </w:r>
            <w:r w:rsidR="00673587">
              <w:t>2</w:t>
            </w:r>
          </w:hyperlink>
        </w:p>
        <w:p w14:paraId="78D22A09" w14:textId="62657F9D" w:rsidR="00A71D6C" w:rsidRDefault="005069B6">
          <w:pPr>
            <w:pStyle w:val="TOC2"/>
            <w:numPr>
              <w:ilvl w:val="0"/>
              <w:numId w:val="3"/>
            </w:numPr>
            <w:tabs>
              <w:tab w:val="left" w:pos="702"/>
              <w:tab w:val="right" w:leader="dot" w:pos="9473"/>
            </w:tabs>
            <w:spacing w:before="185"/>
            <w:ind w:hanging="361"/>
          </w:pPr>
          <w:r>
            <w:t>Proposal of work…………………………………………………………………………………………………………………..4</w:t>
          </w:r>
        </w:p>
        <w:p w14:paraId="0122B715" w14:textId="77777777" w:rsidR="008140A7" w:rsidRDefault="0040427E" w:rsidP="00673587">
          <w:pPr>
            <w:pStyle w:val="TOC3"/>
            <w:numPr>
              <w:ilvl w:val="1"/>
              <w:numId w:val="3"/>
            </w:numPr>
            <w:tabs>
              <w:tab w:val="left" w:pos="1263"/>
              <w:tab w:val="right" w:leader="dot" w:pos="9483"/>
            </w:tabs>
          </w:pPr>
          <w:hyperlink w:anchor="_bookmark5" w:history="1">
            <w:r w:rsidR="005069B6">
              <w:t>Through</w:t>
            </w:r>
            <w:r w:rsidR="005069B6" w:rsidRPr="005069B6">
              <w:rPr>
                <w:spacing w:val="-1"/>
              </w:rPr>
              <w:t xml:space="preserve"> </w:t>
            </w:r>
            <w:r w:rsidR="005069B6">
              <w:t>Summer/September</w:t>
            </w:r>
            <w:r w:rsidR="005069B6">
              <w:tab/>
            </w:r>
          </w:hyperlink>
          <w:r w:rsidR="008140A7">
            <w:t>4</w:t>
          </w:r>
        </w:p>
        <w:p w14:paraId="31A3A1C4" w14:textId="5E8CEDB1" w:rsidR="00A71D6C" w:rsidRDefault="0040427E" w:rsidP="00673587">
          <w:pPr>
            <w:pStyle w:val="TOC3"/>
            <w:numPr>
              <w:ilvl w:val="1"/>
              <w:numId w:val="3"/>
            </w:numPr>
            <w:tabs>
              <w:tab w:val="left" w:pos="1263"/>
              <w:tab w:val="right" w:leader="dot" w:pos="9483"/>
            </w:tabs>
          </w:pPr>
          <w:hyperlink w:anchor="_bookmark3" w:history="1">
            <w:r w:rsidR="00673587">
              <w:t>Our</w:t>
            </w:r>
            <w:r w:rsidR="00673587" w:rsidRPr="005069B6">
              <w:rPr>
                <w:spacing w:val="-1"/>
              </w:rPr>
              <w:t xml:space="preserve"> </w:t>
            </w:r>
            <w:r w:rsidR="00673587">
              <w:t>tiered</w:t>
            </w:r>
            <w:r w:rsidR="00673587" w:rsidRPr="005069B6">
              <w:rPr>
                <w:spacing w:val="-1"/>
              </w:rPr>
              <w:t xml:space="preserve"> </w:t>
            </w:r>
            <w:r w:rsidR="00673587">
              <w:t>approach</w:t>
            </w:r>
            <w:r w:rsidR="00673587">
              <w:tab/>
            </w:r>
          </w:hyperlink>
          <w:r w:rsidR="008140A7">
            <w:t>5</w:t>
          </w:r>
        </w:p>
        <w:p w14:paraId="73E18809" w14:textId="44647E97" w:rsidR="00A71D6C" w:rsidRDefault="0040427E" w:rsidP="005069B6">
          <w:pPr>
            <w:pStyle w:val="TOC3"/>
            <w:numPr>
              <w:ilvl w:val="1"/>
              <w:numId w:val="3"/>
            </w:numPr>
            <w:tabs>
              <w:tab w:val="left" w:pos="1263"/>
              <w:tab w:val="right" w:leader="dot" w:pos="9483"/>
            </w:tabs>
            <w:spacing w:before="182"/>
          </w:pPr>
          <w:hyperlink w:anchor="_bookmark4" w:history="1">
            <w:r w:rsidR="00673587">
              <w:t>Tracking</w:t>
            </w:r>
            <w:r w:rsidR="00673587">
              <w:rPr>
                <w:spacing w:val="-2"/>
              </w:rPr>
              <w:t xml:space="preserve"> </w:t>
            </w:r>
            <w:r w:rsidR="00673587">
              <w:t>and</w:t>
            </w:r>
            <w:r w:rsidR="00673587">
              <w:rPr>
                <w:spacing w:val="-1"/>
              </w:rPr>
              <w:t xml:space="preserve"> </w:t>
            </w:r>
            <w:r w:rsidR="00673587">
              <w:t>monitoring</w:t>
            </w:r>
            <w:r w:rsidR="00673587">
              <w:tab/>
            </w:r>
          </w:hyperlink>
          <w:r w:rsidR="008140A7">
            <w:t>5</w:t>
          </w:r>
        </w:p>
        <w:p w14:paraId="2E2CA66D" w14:textId="795960FB" w:rsidR="00A71D6C" w:rsidRDefault="0040427E">
          <w:pPr>
            <w:pStyle w:val="TOC2"/>
            <w:numPr>
              <w:ilvl w:val="0"/>
              <w:numId w:val="3"/>
            </w:numPr>
            <w:tabs>
              <w:tab w:val="left" w:pos="702"/>
              <w:tab w:val="right" w:leader="dot" w:pos="9473"/>
            </w:tabs>
            <w:spacing w:before="183"/>
            <w:ind w:hanging="361"/>
          </w:pPr>
          <w:hyperlink w:anchor="_bookmark2" w:history="1">
            <w:r w:rsidR="008140A7">
              <w:t>Outcomes</w:t>
            </w:r>
            <w:r w:rsidR="00673587">
              <w:tab/>
              <w:t>6</w:t>
            </w:r>
          </w:hyperlink>
        </w:p>
        <w:p w14:paraId="01F95F78" w14:textId="77777777" w:rsidR="00A71D6C" w:rsidRDefault="00673587">
          <w:pPr>
            <w:pStyle w:val="TOC1"/>
            <w:spacing w:before="660"/>
            <w:ind w:firstLine="0"/>
          </w:pPr>
          <w:r>
            <w:t>Appendices:</w:t>
          </w:r>
        </w:p>
        <w:p w14:paraId="56D03717" w14:textId="41AEFF60" w:rsidR="00A71D6C" w:rsidRDefault="0040427E">
          <w:pPr>
            <w:pStyle w:val="TOC1"/>
            <w:numPr>
              <w:ilvl w:val="0"/>
              <w:numId w:val="2"/>
            </w:numPr>
            <w:tabs>
              <w:tab w:val="left" w:pos="390"/>
              <w:tab w:val="right" w:leader="dot" w:pos="9473"/>
            </w:tabs>
            <w:ind w:hanging="270"/>
          </w:pPr>
          <w:hyperlink w:anchor="_bookmark2" w:history="1">
            <w:r w:rsidR="008140A7">
              <w:t>Post 16 activity funding spend</w:t>
            </w:r>
          </w:hyperlink>
        </w:p>
        <w:p w14:paraId="7187CF14" w14:textId="76F2AE71" w:rsidR="008E0299" w:rsidRDefault="008E0299">
          <w:pPr>
            <w:pStyle w:val="TOC1"/>
            <w:numPr>
              <w:ilvl w:val="0"/>
              <w:numId w:val="2"/>
            </w:numPr>
            <w:tabs>
              <w:tab w:val="left" w:pos="390"/>
              <w:tab w:val="right" w:leader="dot" w:pos="9473"/>
            </w:tabs>
            <w:ind w:hanging="270"/>
          </w:pPr>
          <w:r>
            <w:t>Contacts made</w:t>
          </w:r>
        </w:p>
        <w:p w14:paraId="571B2B19" w14:textId="10AE14E7" w:rsidR="008E0299" w:rsidRDefault="008E0299">
          <w:pPr>
            <w:pStyle w:val="TOC1"/>
            <w:numPr>
              <w:ilvl w:val="0"/>
              <w:numId w:val="2"/>
            </w:numPr>
            <w:tabs>
              <w:tab w:val="left" w:pos="390"/>
              <w:tab w:val="right" w:leader="dot" w:pos="9473"/>
            </w:tabs>
            <w:ind w:hanging="270"/>
          </w:pPr>
          <w:r>
            <w:t>Cohort Review</w:t>
          </w:r>
        </w:p>
        <w:p w14:paraId="01649DB7" w14:textId="33592ABA" w:rsidR="008E0299" w:rsidRDefault="008E0299">
          <w:pPr>
            <w:pStyle w:val="TOC1"/>
            <w:numPr>
              <w:ilvl w:val="0"/>
              <w:numId w:val="2"/>
            </w:numPr>
            <w:tabs>
              <w:tab w:val="left" w:pos="390"/>
              <w:tab w:val="right" w:leader="dot" w:pos="9473"/>
            </w:tabs>
            <w:ind w:hanging="270"/>
          </w:pPr>
          <w:r>
            <w:t>AP Evaluations</w:t>
          </w:r>
        </w:p>
        <w:p w14:paraId="0CDE458D" w14:textId="04C91E6D" w:rsidR="00A71D6C" w:rsidRDefault="0040427E" w:rsidP="008E0299">
          <w:pPr>
            <w:pStyle w:val="TOC1"/>
            <w:tabs>
              <w:tab w:val="left" w:pos="375"/>
              <w:tab w:val="right" w:leader="dot" w:pos="9473"/>
            </w:tabs>
            <w:ind w:hanging="120"/>
          </w:pPr>
        </w:p>
      </w:sdtContent>
    </w:sdt>
    <w:p w14:paraId="461EF4AF" w14:textId="77777777" w:rsidR="00A71D6C" w:rsidRDefault="00A71D6C">
      <w:pPr>
        <w:sectPr w:rsidR="00A71D6C">
          <w:headerReference w:type="default" r:id="rId11"/>
          <w:footerReference w:type="default" r:id="rId12"/>
          <w:type w:val="continuous"/>
          <w:pgSz w:w="12240" w:h="15840"/>
          <w:pgMar w:top="1340" w:right="1300" w:bottom="1460" w:left="1320" w:header="182" w:footer="1265" w:gutter="0"/>
          <w:pgNumType w:start="1"/>
          <w:cols w:space="720"/>
        </w:sectPr>
      </w:pPr>
    </w:p>
    <w:p w14:paraId="2C9DBBD6" w14:textId="77777777" w:rsidR="00A71D6C" w:rsidRDefault="00673587">
      <w:pPr>
        <w:pStyle w:val="Heading2"/>
        <w:numPr>
          <w:ilvl w:val="1"/>
          <w:numId w:val="2"/>
        </w:numPr>
        <w:tabs>
          <w:tab w:val="left" w:pos="841"/>
        </w:tabs>
        <w:ind w:hanging="361"/>
        <w:jc w:val="left"/>
        <w:rPr>
          <w:color w:val="1F4E79"/>
        </w:rPr>
      </w:pPr>
      <w:bookmarkStart w:id="1" w:name="_bookmark0"/>
      <w:bookmarkEnd w:id="1"/>
      <w:r>
        <w:rPr>
          <w:color w:val="1F4E79"/>
        </w:rPr>
        <w:lastRenderedPageBreak/>
        <w:t>Transition Funding</w:t>
      </w:r>
      <w:r>
        <w:rPr>
          <w:color w:val="1F4E79"/>
          <w:spacing w:val="-3"/>
        </w:rPr>
        <w:t xml:space="preserve"> </w:t>
      </w:r>
      <w:r>
        <w:rPr>
          <w:color w:val="1F4E79"/>
        </w:rPr>
        <w:t>Context</w:t>
      </w:r>
    </w:p>
    <w:p w14:paraId="3A3BC78D" w14:textId="77777777" w:rsidR="00A71D6C" w:rsidRDefault="00673587">
      <w:pPr>
        <w:pStyle w:val="BodyText"/>
        <w:spacing w:before="189" w:line="259" w:lineRule="auto"/>
        <w:ind w:left="120" w:right="433"/>
      </w:pPr>
      <w:r>
        <w:rPr>
          <w:color w:val="0A0C0C"/>
        </w:rPr>
        <w:t xml:space="preserve">“The </w:t>
      </w:r>
      <w:r>
        <w:t xml:space="preserve">AP </w:t>
      </w:r>
      <w:r>
        <w:rPr>
          <w:color w:val="0A0C0C"/>
        </w:rPr>
        <w:t>cohort, a significant proportion of whom are in year 11, are already vulnerable and at greater risk of becoming not in education, employment or training (</w:t>
      </w:r>
      <w:r>
        <w:t>NEET</w:t>
      </w:r>
      <w:r>
        <w:rPr>
          <w:color w:val="0A0C0C"/>
        </w:rPr>
        <w:t>) than their peers.</w:t>
      </w:r>
    </w:p>
    <w:p w14:paraId="226338A7" w14:textId="77777777" w:rsidR="00A71D6C" w:rsidRDefault="00673587">
      <w:pPr>
        <w:pStyle w:val="BodyText"/>
        <w:spacing w:line="259" w:lineRule="auto"/>
        <w:ind w:left="120" w:right="167"/>
      </w:pPr>
      <w:r>
        <w:rPr>
          <w:color w:val="0A0C0C"/>
        </w:rPr>
        <w:t xml:space="preserve">These risks have increased since schools closed for most pupils and without substantial transition support, many of the current year 11s in </w:t>
      </w:r>
      <w:r>
        <w:t xml:space="preserve">AP </w:t>
      </w:r>
      <w:r>
        <w:rPr>
          <w:color w:val="0A0C0C"/>
        </w:rPr>
        <w:t xml:space="preserve">are at heightened risk this year of becoming </w:t>
      </w:r>
      <w:r>
        <w:t>NEET</w:t>
      </w:r>
      <w:r>
        <w:rPr>
          <w:color w:val="0A0C0C"/>
        </w:rPr>
        <w:t xml:space="preserve">. Becoming </w:t>
      </w:r>
      <w:r>
        <w:t xml:space="preserve">NEET </w:t>
      </w:r>
      <w:r>
        <w:rPr>
          <w:color w:val="0A0C0C"/>
        </w:rPr>
        <w:t>limits life chances and engagement in education is a protective factor from a range of harms. Bespoke, needs-based interventions are needed to support these year 11 pupils transition to post-16 provision successfully.”</w:t>
      </w:r>
    </w:p>
    <w:p w14:paraId="53811CA2" w14:textId="77777777" w:rsidR="00A71D6C" w:rsidRDefault="00673587">
      <w:pPr>
        <w:pStyle w:val="BodyText"/>
        <w:spacing w:before="159" w:line="256" w:lineRule="auto"/>
        <w:ind w:left="120" w:right="240"/>
      </w:pPr>
      <w:r>
        <w:rPr>
          <w:color w:val="0A0C0C"/>
        </w:rPr>
        <w:t>“This funding is a one-off allocation in response to schools’ limited opening to some pupils due to the coronavirus (COVID-19) outbreak.”</w:t>
      </w:r>
    </w:p>
    <w:p w14:paraId="1B345503" w14:textId="77777777" w:rsidR="00A71D6C" w:rsidRDefault="00673587">
      <w:pPr>
        <w:spacing w:before="166"/>
        <w:ind w:left="1143" w:right="1160"/>
        <w:jc w:val="center"/>
        <w:rPr>
          <w:i/>
        </w:rPr>
      </w:pPr>
      <w:r>
        <w:rPr>
          <w:i/>
          <w:color w:val="0A0C0C"/>
        </w:rPr>
        <w:t>DfE (2020) ‘Alternative provision: year 11 transition funding</w:t>
      </w:r>
    </w:p>
    <w:p w14:paraId="41AE059E" w14:textId="77777777" w:rsidR="00A71D6C" w:rsidRDefault="00A71D6C">
      <w:pPr>
        <w:pStyle w:val="BodyText"/>
        <w:rPr>
          <w:i/>
          <w:sz w:val="28"/>
        </w:rPr>
      </w:pPr>
    </w:p>
    <w:p w14:paraId="4C1A5AB6" w14:textId="77777777" w:rsidR="00A71D6C" w:rsidRDefault="00673587">
      <w:pPr>
        <w:pStyle w:val="Heading2"/>
        <w:numPr>
          <w:ilvl w:val="1"/>
          <w:numId w:val="2"/>
        </w:numPr>
        <w:tabs>
          <w:tab w:val="left" w:pos="841"/>
        </w:tabs>
        <w:spacing w:before="245"/>
        <w:ind w:hanging="361"/>
        <w:jc w:val="left"/>
        <w:rPr>
          <w:color w:val="1F4E79"/>
        </w:rPr>
      </w:pPr>
      <w:bookmarkStart w:id="2" w:name="_bookmark1"/>
      <w:bookmarkEnd w:id="2"/>
      <w:r>
        <w:rPr>
          <w:color w:val="1F4E79"/>
        </w:rPr>
        <w:t>Situation</w:t>
      </w:r>
      <w:r w:rsidR="0022044A">
        <w:rPr>
          <w:color w:val="1F4E79"/>
        </w:rPr>
        <w:t xml:space="preserve"> June 2020</w:t>
      </w:r>
    </w:p>
    <w:p w14:paraId="2A16C991" w14:textId="77777777" w:rsidR="0022044A" w:rsidRDefault="0022044A">
      <w:pPr>
        <w:pStyle w:val="BodyText"/>
        <w:spacing w:before="191" w:line="259" w:lineRule="auto"/>
        <w:ind w:left="120" w:right="505"/>
        <w:jc w:val="both"/>
      </w:pPr>
    </w:p>
    <w:p w14:paraId="473F8429" w14:textId="384B75AE" w:rsidR="0022044A" w:rsidRDefault="0022044A" w:rsidP="0022044A">
      <w:r>
        <w:t xml:space="preserve">At the end of June 2020, the government announced additional funding for Year 11 transition support in an attempt to mitigate against the impact that lockdown has had on vulnerable Year 11 students who have finished their secondary education in a PRU or AP. As we had closely tracked our Year 11s through the Lockdown, with the support of Career Connect and The Manchester College, we had 110 pupils with a confirmed offer of a post-16 </w:t>
      </w:r>
      <w:r w:rsidR="00DC31BA">
        <w:t>destinations</w:t>
      </w:r>
      <w:r>
        <w:t xml:space="preserve"> (</w:t>
      </w:r>
      <w:r w:rsidRPr="0022044A">
        <w:rPr>
          <w:i/>
        </w:rPr>
        <w:t>see table below</w:t>
      </w:r>
      <w:r>
        <w:t xml:space="preserve">.). This was in-line with previous years and was above the average for all Year 11s across Manchester, as recorded in the MCC IYSS database. </w:t>
      </w:r>
    </w:p>
    <w:p w14:paraId="6ABDF37B" w14:textId="77777777" w:rsidR="0022044A" w:rsidRDefault="0022044A" w:rsidP="0022044A">
      <w:pPr>
        <w:pStyle w:val="BodyText"/>
        <w:spacing w:before="191" w:line="259" w:lineRule="auto"/>
        <w:ind w:right="505"/>
        <w:jc w:val="both"/>
      </w:pPr>
      <w:r>
        <w:t xml:space="preserve">     </w:t>
      </w:r>
    </w:p>
    <w:tbl>
      <w:tblPr>
        <w:tblStyle w:val="TableGrid"/>
        <w:tblW w:w="0" w:type="auto"/>
        <w:tblLook w:val="04A0" w:firstRow="1" w:lastRow="0" w:firstColumn="1" w:lastColumn="0" w:noHBand="0" w:noVBand="1"/>
      </w:tblPr>
      <w:tblGrid>
        <w:gridCol w:w="3485"/>
        <w:gridCol w:w="2039"/>
        <w:gridCol w:w="1559"/>
      </w:tblGrid>
      <w:tr w:rsidR="0022044A" w14:paraId="49D98806" w14:textId="77777777" w:rsidTr="00673587">
        <w:tc>
          <w:tcPr>
            <w:tcW w:w="3485" w:type="dxa"/>
          </w:tcPr>
          <w:p w14:paraId="1432A6AE" w14:textId="77777777" w:rsidR="0022044A" w:rsidRPr="00F5469F" w:rsidRDefault="0022044A" w:rsidP="00673587">
            <w:pPr>
              <w:rPr>
                <w:b/>
              </w:rPr>
            </w:pPr>
            <w:r w:rsidRPr="00F5469F">
              <w:rPr>
                <w:b/>
              </w:rPr>
              <w:t>Destination Status</w:t>
            </w:r>
          </w:p>
        </w:tc>
        <w:tc>
          <w:tcPr>
            <w:tcW w:w="2039" w:type="dxa"/>
          </w:tcPr>
          <w:p w14:paraId="76311163" w14:textId="77777777" w:rsidR="0022044A" w:rsidRPr="00F5469F" w:rsidRDefault="0022044A" w:rsidP="00673587">
            <w:pPr>
              <w:jc w:val="right"/>
              <w:rPr>
                <w:b/>
              </w:rPr>
            </w:pPr>
            <w:r w:rsidRPr="00F5469F">
              <w:rPr>
                <w:b/>
              </w:rPr>
              <w:t>Number of pupils</w:t>
            </w:r>
          </w:p>
        </w:tc>
        <w:tc>
          <w:tcPr>
            <w:tcW w:w="1559" w:type="dxa"/>
          </w:tcPr>
          <w:p w14:paraId="5374FB4D" w14:textId="77777777" w:rsidR="0022044A" w:rsidRPr="00F5469F" w:rsidRDefault="0022044A" w:rsidP="00673587">
            <w:pPr>
              <w:jc w:val="right"/>
              <w:rPr>
                <w:b/>
              </w:rPr>
            </w:pPr>
            <w:r w:rsidRPr="00F5469F">
              <w:rPr>
                <w:b/>
              </w:rPr>
              <w:t>Percentage</w:t>
            </w:r>
          </w:p>
        </w:tc>
      </w:tr>
      <w:tr w:rsidR="0022044A" w14:paraId="7C8DB55F" w14:textId="77777777" w:rsidTr="00673587">
        <w:tc>
          <w:tcPr>
            <w:tcW w:w="3485" w:type="dxa"/>
          </w:tcPr>
          <w:p w14:paraId="394419DC" w14:textId="77777777" w:rsidR="0022044A" w:rsidRDefault="0022044A" w:rsidP="00673587">
            <w:r>
              <w:t>Planned</w:t>
            </w:r>
          </w:p>
        </w:tc>
        <w:tc>
          <w:tcPr>
            <w:tcW w:w="2039" w:type="dxa"/>
          </w:tcPr>
          <w:p w14:paraId="04A0D1EF" w14:textId="77777777" w:rsidR="0022044A" w:rsidRDefault="0022044A" w:rsidP="00673587">
            <w:pPr>
              <w:jc w:val="right"/>
            </w:pPr>
            <w:r>
              <w:t>3</w:t>
            </w:r>
          </w:p>
        </w:tc>
        <w:tc>
          <w:tcPr>
            <w:tcW w:w="1559" w:type="dxa"/>
          </w:tcPr>
          <w:p w14:paraId="28A27C77" w14:textId="77777777" w:rsidR="0022044A" w:rsidRDefault="0022044A" w:rsidP="00673587">
            <w:pPr>
              <w:jc w:val="right"/>
            </w:pPr>
            <w:r>
              <w:t>2%</w:t>
            </w:r>
          </w:p>
        </w:tc>
      </w:tr>
      <w:tr w:rsidR="0022044A" w14:paraId="565B2A48" w14:textId="77777777" w:rsidTr="00673587">
        <w:tc>
          <w:tcPr>
            <w:tcW w:w="3485" w:type="dxa"/>
          </w:tcPr>
          <w:p w14:paraId="6373FD0A" w14:textId="77777777" w:rsidR="0022044A" w:rsidRDefault="0022044A" w:rsidP="00673587">
            <w:r>
              <w:t>Applied</w:t>
            </w:r>
          </w:p>
        </w:tc>
        <w:tc>
          <w:tcPr>
            <w:tcW w:w="2039" w:type="dxa"/>
          </w:tcPr>
          <w:p w14:paraId="73BF4877" w14:textId="77777777" w:rsidR="0022044A" w:rsidRDefault="0022044A" w:rsidP="00673587">
            <w:pPr>
              <w:jc w:val="right"/>
            </w:pPr>
            <w:r>
              <w:t>10</w:t>
            </w:r>
          </w:p>
        </w:tc>
        <w:tc>
          <w:tcPr>
            <w:tcW w:w="1559" w:type="dxa"/>
          </w:tcPr>
          <w:p w14:paraId="0C4BE349" w14:textId="77777777" w:rsidR="0022044A" w:rsidRDefault="0022044A" w:rsidP="00673587">
            <w:pPr>
              <w:jc w:val="right"/>
            </w:pPr>
            <w:r>
              <w:t>7%</w:t>
            </w:r>
          </w:p>
        </w:tc>
      </w:tr>
      <w:tr w:rsidR="0022044A" w14:paraId="581DA829" w14:textId="77777777" w:rsidTr="00673587">
        <w:tc>
          <w:tcPr>
            <w:tcW w:w="3485" w:type="dxa"/>
          </w:tcPr>
          <w:p w14:paraId="0271DFEE" w14:textId="77777777" w:rsidR="0022044A" w:rsidRDefault="0022044A" w:rsidP="00673587">
            <w:r>
              <w:t>Interview</w:t>
            </w:r>
          </w:p>
        </w:tc>
        <w:tc>
          <w:tcPr>
            <w:tcW w:w="2039" w:type="dxa"/>
          </w:tcPr>
          <w:p w14:paraId="65A863C8" w14:textId="77777777" w:rsidR="0022044A" w:rsidRDefault="0022044A" w:rsidP="00673587">
            <w:pPr>
              <w:jc w:val="right"/>
            </w:pPr>
            <w:r>
              <w:t>2</w:t>
            </w:r>
          </w:p>
        </w:tc>
        <w:tc>
          <w:tcPr>
            <w:tcW w:w="1559" w:type="dxa"/>
          </w:tcPr>
          <w:p w14:paraId="0808E3F3" w14:textId="77777777" w:rsidR="0022044A" w:rsidRDefault="0022044A" w:rsidP="00673587">
            <w:pPr>
              <w:jc w:val="right"/>
            </w:pPr>
            <w:r>
              <w:t>1%</w:t>
            </w:r>
          </w:p>
        </w:tc>
      </w:tr>
      <w:tr w:rsidR="0022044A" w14:paraId="3CAE4BD6" w14:textId="77777777" w:rsidTr="00673587">
        <w:tc>
          <w:tcPr>
            <w:tcW w:w="3485" w:type="dxa"/>
          </w:tcPr>
          <w:p w14:paraId="04C9004B" w14:textId="77777777" w:rsidR="0022044A" w:rsidRDefault="0022044A" w:rsidP="00673587">
            <w:r>
              <w:t>Offer</w:t>
            </w:r>
          </w:p>
        </w:tc>
        <w:tc>
          <w:tcPr>
            <w:tcW w:w="2039" w:type="dxa"/>
          </w:tcPr>
          <w:p w14:paraId="2E1CF718" w14:textId="77777777" w:rsidR="0022044A" w:rsidRDefault="0022044A" w:rsidP="00673587">
            <w:pPr>
              <w:jc w:val="right"/>
            </w:pPr>
            <w:r>
              <w:t>110</w:t>
            </w:r>
          </w:p>
        </w:tc>
        <w:tc>
          <w:tcPr>
            <w:tcW w:w="1559" w:type="dxa"/>
          </w:tcPr>
          <w:p w14:paraId="28400FE3" w14:textId="77777777" w:rsidR="0022044A" w:rsidRDefault="0022044A" w:rsidP="00673587">
            <w:pPr>
              <w:jc w:val="right"/>
            </w:pPr>
            <w:r>
              <w:t>72%</w:t>
            </w:r>
          </w:p>
        </w:tc>
      </w:tr>
      <w:tr w:rsidR="0022044A" w14:paraId="0A3DA772" w14:textId="77777777" w:rsidTr="00673587">
        <w:tc>
          <w:tcPr>
            <w:tcW w:w="3485" w:type="dxa"/>
          </w:tcPr>
          <w:p w14:paraId="05A01874" w14:textId="77777777" w:rsidR="0022044A" w:rsidRDefault="0022044A" w:rsidP="00673587">
            <w:r>
              <w:t>Tracking towards NEET</w:t>
            </w:r>
          </w:p>
        </w:tc>
        <w:tc>
          <w:tcPr>
            <w:tcW w:w="2039" w:type="dxa"/>
          </w:tcPr>
          <w:p w14:paraId="69D6C718" w14:textId="77777777" w:rsidR="0022044A" w:rsidRDefault="0022044A" w:rsidP="00673587">
            <w:pPr>
              <w:jc w:val="right"/>
            </w:pPr>
            <w:r>
              <w:t>23</w:t>
            </w:r>
          </w:p>
        </w:tc>
        <w:tc>
          <w:tcPr>
            <w:tcW w:w="1559" w:type="dxa"/>
          </w:tcPr>
          <w:p w14:paraId="6FA0E352" w14:textId="77777777" w:rsidR="0022044A" w:rsidRDefault="0022044A" w:rsidP="00673587">
            <w:pPr>
              <w:jc w:val="right"/>
            </w:pPr>
            <w:r>
              <w:t>15%</w:t>
            </w:r>
          </w:p>
        </w:tc>
      </w:tr>
      <w:tr w:rsidR="0022044A" w14:paraId="76848F62" w14:textId="77777777" w:rsidTr="00673587">
        <w:tc>
          <w:tcPr>
            <w:tcW w:w="3485" w:type="dxa"/>
          </w:tcPr>
          <w:p w14:paraId="7A4D6E31" w14:textId="77777777" w:rsidR="0022044A" w:rsidRDefault="0022044A" w:rsidP="00673587">
            <w:r>
              <w:t>Blank</w:t>
            </w:r>
          </w:p>
        </w:tc>
        <w:tc>
          <w:tcPr>
            <w:tcW w:w="2039" w:type="dxa"/>
          </w:tcPr>
          <w:p w14:paraId="07894D55" w14:textId="77777777" w:rsidR="0022044A" w:rsidRDefault="0022044A" w:rsidP="00673587">
            <w:pPr>
              <w:jc w:val="right"/>
            </w:pPr>
            <w:r>
              <w:t>4</w:t>
            </w:r>
          </w:p>
        </w:tc>
        <w:tc>
          <w:tcPr>
            <w:tcW w:w="1559" w:type="dxa"/>
          </w:tcPr>
          <w:p w14:paraId="39686F5A" w14:textId="77777777" w:rsidR="0022044A" w:rsidRDefault="0022044A" w:rsidP="00673587">
            <w:pPr>
              <w:jc w:val="right"/>
            </w:pPr>
            <w:r>
              <w:t>3%</w:t>
            </w:r>
          </w:p>
        </w:tc>
      </w:tr>
      <w:tr w:rsidR="0022044A" w14:paraId="7579A4A7" w14:textId="77777777" w:rsidTr="00673587">
        <w:tc>
          <w:tcPr>
            <w:tcW w:w="3485" w:type="dxa"/>
          </w:tcPr>
          <w:p w14:paraId="567D8B93" w14:textId="77777777" w:rsidR="0022044A" w:rsidRPr="00F5469F" w:rsidRDefault="0022044A" w:rsidP="00673587">
            <w:pPr>
              <w:rPr>
                <w:b/>
              </w:rPr>
            </w:pPr>
            <w:r w:rsidRPr="00F5469F">
              <w:rPr>
                <w:b/>
              </w:rPr>
              <w:t>Total</w:t>
            </w:r>
          </w:p>
        </w:tc>
        <w:tc>
          <w:tcPr>
            <w:tcW w:w="2039" w:type="dxa"/>
          </w:tcPr>
          <w:p w14:paraId="296072AD" w14:textId="77777777" w:rsidR="0022044A" w:rsidRDefault="0022044A" w:rsidP="00673587">
            <w:pPr>
              <w:jc w:val="right"/>
            </w:pPr>
            <w:r>
              <w:t>152</w:t>
            </w:r>
          </w:p>
        </w:tc>
        <w:tc>
          <w:tcPr>
            <w:tcW w:w="1559" w:type="dxa"/>
          </w:tcPr>
          <w:p w14:paraId="741C1C61" w14:textId="77777777" w:rsidR="0022044A" w:rsidRDefault="0022044A" w:rsidP="00673587">
            <w:pPr>
              <w:jc w:val="right"/>
            </w:pPr>
            <w:r>
              <w:t>100%</w:t>
            </w:r>
          </w:p>
        </w:tc>
      </w:tr>
    </w:tbl>
    <w:p w14:paraId="56AE9EC4" w14:textId="77777777" w:rsidR="0022044A" w:rsidRDefault="0022044A" w:rsidP="0022044A"/>
    <w:p w14:paraId="040DA80A" w14:textId="77777777" w:rsidR="0022044A" w:rsidRDefault="0022044A" w:rsidP="0022044A">
      <w:r>
        <w:t xml:space="preserve">The method for accessing the funding and the funding level varies dependent on whether pupils were dual or single registered. Funding (to cover actual costs) is up to £750 per single-registered pupil and £375 per dual-registered pupil. </w:t>
      </w:r>
    </w:p>
    <w:p w14:paraId="1AF42B27" w14:textId="77777777" w:rsidR="0022044A" w:rsidRDefault="0022044A" w:rsidP="0022044A"/>
    <w:p w14:paraId="24282E64" w14:textId="77777777" w:rsidR="0022044A" w:rsidRDefault="0022044A" w:rsidP="0022044A"/>
    <w:p w14:paraId="34888726" w14:textId="77777777" w:rsidR="0022044A" w:rsidRDefault="0022044A" w:rsidP="0022044A"/>
    <w:p w14:paraId="74B587F4" w14:textId="77777777" w:rsidR="0022044A" w:rsidRDefault="0022044A" w:rsidP="0022044A">
      <w:r>
        <w:lastRenderedPageBreak/>
        <w:t>The breakdown of dual and single registered pupils per learning centre is as follows:</w:t>
      </w:r>
    </w:p>
    <w:p w14:paraId="732DA2F5" w14:textId="77777777" w:rsidR="0022044A" w:rsidRDefault="00E0046F">
      <w:pPr>
        <w:pStyle w:val="BodyText"/>
        <w:spacing w:before="191" w:line="259" w:lineRule="auto"/>
        <w:ind w:left="120" w:right="505"/>
        <w:jc w:val="both"/>
      </w:pPr>
      <w:r w:rsidRPr="00E47F04">
        <w:rPr>
          <w:noProof/>
          <w:lang w:eastAsia="en-GB"/>
        </w:rPr>
        <w:drawing>
          <wp:inline distT="0" distB="0" distL="0" distR="0" wp14:anchorId="6A884EFE" wp14:editId="0A4B62BC">
            <wp:extent cx="5629275" cy="49053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629275" cy="4905375"/>
                    </a:xfrm>
                    <a:prstGeom prst="rect">
                      <a:avLst/>
                    </a:prstGeom>
                    <a:noFill/>
                    <a:ln>
                      <a:noFill/>
                    </a:ln>
                  </pic:spPr>
                </pic:pic>
              </a:graphicData>
            </a:graphic>
          </wp:inline>
        </w:drawing>
      </w:r>
    </w:p>
    <w:p w14:paraId="38D19301" w14:textId="77777777" w:rsidR="0022044A" w:rsidRDefault="0022044A">
      <w:pPr>
        <w:pStyle w:val="BodyText"/>
        <w:spacing w:before="191" w:line="259" w:lineRule="auto"/>
        <w:ind w:left="120" w:right="505"/>
        <w:jc w:val="both"/>
      </w:pPr>
    </w:p>
    <w:p w14:paraId="5B016CE5" w14:textId="77777777" w:rsidR="00A71D6C" w:rsidRPr="00A53397" w:rsidRDefault="00A71D6C" w:rsidP="00A53397">
      <w:pPr>
        <w:pStyle w:val="BodyText"/>
        <w:spacing w:before="159" w:line="259" w:lineRule="auto"/>
        <w:ind w:right="266"/>
        <w:sectPr w:rsidR="00A71D6C" w:rsidRPr="00A53397">
          <w:pgSz w:w="12240" w:h="15840"/>
          <w:pgMar w:top="1340" w:right="1300" w:bottom="1460" w:left="1320" w:header="182" w:footer="1265" w:gutter="0"/>
          <w:cols w:space="720"/>
        </w:sectPr>
      </w:pPr>
    </w:p>
    <w:p w14:paraId="60BB7DBB" w14:textId="77777777" w:rsidR="00A71D6C" w:rsidRDefault="00673587">
      <w:pPr>
        <w:pStyle w:val="Heading2"/>
        <w:numPr>
          <w:ilvl w:val="1"/>
          <w:numId w:val="2"/>
        </w:numPr>
        <w:tabs>
          <w:tab w:val="left" w:pos="841"/>
        </w:tabs>
        <w:ind w:hanging="361"/>
        <w:jc w:val="left"/>
        <w:rPr>
          <w:color w:val="1F4E79"/>
        </w:rPr>
      </w:pPr>
      <w:bookmarkStart w:id="3" w:name="_bookmark2"/>
      <w:bookmarkEnd w:id="3"/>
      <w:r>
        <w:rPr>
          <w:color w:val="1F4E79"/>
        </w:rPr>
        <w:lastRenderedPageBreak/>
        <w:t>Proposal of</w:t>
      </w:r>
      <w:r>
        <w:rPr>
          <w:color w:val="1F4E79"/>
          <w:spacing w:val="-1"/>
        </w:rPr>
        <w:t xml:space="preserve"> </w:t>
      </w:r>
      <w:r>
        <w:rPr>
          <w:color w:val="1F4E79"/>
        </w:rPr>
        <w:t>work</w:t>
      </w:r>
    </w:p>
    <w:p w14:paraId="36E91E62" w14:textId="77777777" w:rsidR="0070273C" w:rsidRDefault="00673587" w:rsidP="009E7C66">
      <w:pPr>
        <w:spacing w:before="160"/>
        <w:ind w:left="703"/>
        <w:rPr>
          <w:color w:val="000000"/>
        </w:rPr>
      </w:pPr>
      <w:r>
        <w:t xml:space="preserve">The Alternative Provision: </w:t>
      </w:r>
      <w:r w:rsidR="00E0046F">
        <w:t xml:space="preserve">Year 11 Transition Funding </w:t>
      </w:r>
      <w:r>
        <w:t>provide</w:t>
      </w:r>
      <w:r w:rsidR="00E0046F">
        <w:t xml:space="preserve">d us </w:t>
      </w:r>
      <w:r>
        <w:t xml:space="preserve">with an opportunity to increase and secure engagement for all year 11 pupils, </w:t>
      </w:r>
      <w:r w:rsidR="00A53397">
        <w:t xml:space="preserve">with suitable post-16 provision and to work in partnership with post-16 providers and other organisations to put in place ‘effective intervention packages’ which should draw on evidence-based practice where possible and be </w:t>
      </w:r>
      <w:r w:rsidR="00A53397" w:rsidRPr="00A53397">
        <w:t xml:space="preserve">based on pupils’ individual needs. </w:t>
      </w:r>
      <w:r w:rsidR="00A53397">
        <w:rPr>
          <w:color w:val="000000"/>
        </w:rPr>
        <w:t>Our plan was</w:t>
      </w:r>
      <w:r w:rsidR="00A53397" w:rsidRPr="00A53397">
        <w:rPr>
          <w:color w:val="000000"/>
        </w:rPr>
        <w:t xml:space="preserve"> to provide a blended mix of summer engagement activities, target</w:t>
      </w:r>
      <w:r w:rsidR="0070273C">
        <w:rPr>
          <w:color w:val="000000"/>
        </w:rPr>
        <w:t>ed careers support and intensive NEET</w:t>
      </w:r>
      <w:r w:rsidR="00A53397" w:rsidRPr="00A53397">
        <w:rPr>
          <w:color w:val="000000"/>
        </w:rPr>
        <w:t xml:space="preserve"> support in the autumn term.</w:t>
      </w:r>
      <w:r w:rsidR="009E7C66">
        <w:rPr>
          <w:color w:val="000000"/>
        </w:rPr>
        <w:t xml:space="preserve"> </w:t>
      </w:r>
    </w:p>
    <w:p w14:paraId="13D36865" w14:textId="16B8399A" w:rsidR="009E7C66" w:rsidRDefault="0070273C" w:rsidP="009E7C66">
      <w:pPr>
        <w:spacing w:before="160"/>
        <w:ind w:left="703"/>
        <w:rPr>
          <w:i/>
        </w:rPr>
      </w:pPr>
      <w:r>
        <w:t xml:space="preserve">See </w:t>
      </w:r>
      <w:r w:rsidR="008F0CB9">
        <w:rPr>
          <w:i/>
        </w:rPr>
        <w:t>Appendix</w:t>
      </w:r>
      <w:r w:rsidR="008E0299">
        <w:rPr>
          <w:i/>
        </w:rPr>
        <w:t xml:space="preserve"> A</w:t>
      </w:r>
    </w:p>
    <w:p w14:paraId="7D5604EE" w14:textId="561E43D3" w:rsidR="0070273C" w:rsidRPr="0070273C" w:rsidRDefault="0070273C" w:rsidP="0070273C">
      <w:pPr>
        <w:pStyle w:val="Heading2"/>
        <w:tabs>
          <w:tab w:val="left" w:pos="1268"/>
        </w:tabs>
        <w:ind w:left="0" w:firstLine="0"/>
      </w:pPr>
    </w:p>
    <w:p w14:paraId="3058AF07" w14:textId="2CCCD5B4" w:rsidR="00A53397" w:rsidRPr="0070273C" w:rsidRDefault="0070273C" w:rsidP="0070273C">
      <w:pPr>
        <w:pStyle w:val="Heading2"/>
        <w:numPr>
          <w:ilvl w:val="2"/>
          <w:numId w:val="2"/>
        </w:numPr>
        <w:tabs>
          <w:tab w:val="left" w:pos="1268"/>
        </w:tabs>
        <w:ind w:left="1267" w:hanging="428"/>
      </w:pPr>
      <w:r>
        <w:rPr>
          <w:color w:val="1F4D78"/>
        </w:rPr>
        <w:t>Through</w:t>
      </w:r>
      <w:r>
        <w:rPr>
          <w:color w:val="1F4D78"/>
          <w:spacing w:val="-1"/>
        </w:rPr>
        <w:t xml:space="preserve"> </w:t>
      </w:r>
      <w:r>
        <w:rPr>
          <w:color w:val="1F4D78"/>
        </w:rPr>
        <w:t>Summer/Autumn Term</w:t>
      </w:r>
    </w:p>
    <w:p w14:paraId="553F6C32" w14:textId="77777777" w:rsidR="003A5BB4" w:rsidRDefault="003A5BB4" w:rsidP="003A5BB4">
      <w:pPr>
        <w:rPr>
          <w:rFonts w:ascii="Calibri" w:eastAsia="Times New Roman" w:hAnsi="Calibri" w:cs="Calibri"/>
          <w:color w:val="000000"/>
          <w:sz w:val="24"/>
          <w:szCs w:val="24"/>
          <w:lang w:eastAsia="en-GB"/>
        </w:rPr>
      </w:pPr>
    </w:p>
    <w:p w14:paraId="7D268D08" w14:textId="77777777" w:rsidR="003A5BB4" w:rsidRPr="003A5BB4" w:rsidRDefault="00F44970" w:rsidP="003A5BB4">
      <w:pPr>
        <w:rPr>
          <w:rFonts w:eastAsia="Times New Roman"/>
          <w:color w:val="000000"/>
          <w:lang w:eastAsia="en-GB"/>
        </w:rPr>
      </w:pPr>
      <w:r>
        <w:rPr>
          <w:rFonts w:eastAsia="Times New Roman"/>
          <w:color w:val="000000"/>
          <w:lang w:eastAsia="en-GB"/>
        </w:rPr>
        <w:t>Manchester Secondary PRU decided on the following interventions over the summer period and through the Autumn Term.</w:t>
      </w:r>
    </w:p>
    <w:p w14:paraId="768E06E6" w14:textId="0FCDC494" w:rsidR="00A53397" w:rsidRDefault="00A53397" w:rsidP="009E7C66">
      <w:pPr>
        <w:widowControl/>
        <w:autoSpaceDE/>
        <w:autoSpaceDN/>
        <w:spacing w:after="160" w:line="259" w:lineRule="auto"/>
        <w:contextualSpacing/>
      </w:pPr>
    </w:p>
    <w:p w14:paraId="41ABA4A2" w14:textId="77777777" w:rsidR="00A53397" w:rsidRDefault="00A53397" w:rsidP="00A53397">
      <w:pPr>
        <w:pStyle w:val="ListParagraph"/>
        <w:widowControl/>
        <w:numPr>
          <w:ilvl w:val="0"/>
          <w:numId w:val="5"/>
        </w:numPr>
        <w:autoSpaceDE/>
        <w:autoSpaceDN/>
        <w:spacing w:before="0" w:after="160" w:line="259" w:lineRule="auto"/>
        <w:contextualSpacing/>
      </w:pPr>
      <w:r>
        <w:t>AP Leaders to design intervention packages for their cohorts to provide a summer engagement programme and additional capacity in the autumn term to provide dedicated transition support</w:t>
      </w:r>
    </w:p>
    <w:p w14:paraId="70D7B716" w14:textId="77777777" w:rsidR="00A53397" w:rsidRDefault="009E7C66" w:rsidP="009E7C66">
      <w:pPr>
        <w:pStyle w:val="ListParagraph"/>
        <w:widowControl/>
        <w:numPr>
          <w:ilvl w:val="0"/>
          <w:numId w:val="5"/>
        </w:numPr>
        <w:autoSpaceDE/>
        <w:autoSpaceDN/>
        <w:spacing w:before="0" w:after="160" w:line="259" w:lineRule="auto"/>
        <w:contextualSpacing/>
      </w:pPr>
      <w:r>
        <w:t xml:space="preserve">MSPRU </w:t>
      </w:r>
      <w:r w:rsidR="00A53397">
        <w:t>provide</w:t>
      </w:r>
      <w:r>
        <w:t>d</w:t>
      </w:r>
      <w:r w:rsidR="00A53397">
        <w:t xml:space="preserve"> a summer engagement programme for </w:t>
      </w:r>
      <w:r>
        <w:t>students in Core centres and IEP</w:t>
      </w:r>
    </w:p>
    <w:p w14:paraId="1E97B7D6" w14:textId="77777777" w:rsidR="00A53397" w:rsidRDefault="00A53397" w:rsidP="00A53397">
      <w:pPr>
        <w:pStyle w:val="ListParagraph"/>
        <w:widowControl/>
        <w:numPr>
          <w:ilvl w:val="0"/>
          <w:numId w:val="5"/>
        </w:numPr>
        <w:autoSpaceDE/>
        <w:autoSpaceDN/>
        <w:spacing w:before="0" w:after="160" w:line="259" w:lineRule="auto"/>
        <w:contextualSpacing/>
      </w:pPr>
      <w:r>
        <w:t>T</w:t>
      </w:r>
      <w:r w:rsidR="009E7C66">
        <w:t xml:space="preserve">he </w:t>
      </w:r>
      <w:r>
        <w:t>Summer Programme from Gain Focus</w:t>
      </w:r>
      <w:r w:rsidR="009E7C66">
        <w:t>, aimed at SEND and LAC students (12 students in total)</w:t>
      </w:r>
    </w:p>
    <w:p w14:paraId="3D74557F" w14:textId="77777777" w:rsidR="00A53397" w:rsidRDefault="009E7C66" w:rsidP="00A53397">
      <w:pPr>
        <w:pStyle w:val="ListParagraph"/>
        <w:widowControl/>
        <w:numPr>
          <w:ilvl w:val="0"/>
          <w:numId w:val="5"/>
        </w:numPr>
        <w:autoSpaceDE/>
        <w:autoSpaceDN/>
        <w:spacing w:before="0" w:after="160" w:line="259" w:lineRule="auto"/>
        <w:contextualSpacing/>
      </w:pPr>
      <w:r>
        <w:t>Targeted support during the Autumn Term for students who were</w:t>
      </w:r>
      <w:r w:rsidR="00A53397">
        <w:t xml:space="preserve"> identified as in danger of falling out of their post-16 provision or who have fallen out of their provision</w:t>
      </w:r>
    </w:p>
    <w:p w14:paraId="3300D14A" w14:textId="77777777" w:rsidR="00A53397" w:rsidRDefault="00A53397" w:rsidP="00A53397">
      <w:pPr>
        <w:pStyle w:val="ListParagraph"/>
        <w:widowControl/>
        <w:numPr>
          <w:ilvl w:val="0"/>
          <w:numId w:val="5"/>
        </w:numPr>
        <w:autoSpaceDE/>
        <w:autoSpaceDN/>
        <w:spacing w:before="0" w:after="160" w:line="259" w:lineRule="auto"/>
        <w:contextualSpacing/>
      </w:pPr>
      <w:r>
        <w:t>Additional management support for monitoring the range of interventions and their impact.</w:t>
      </w:r>
    </w:p>
    <w:p w14:paraId="4169C9CB" w14:textId="77777777" w:rsidR="00A53397" w:rsidRDefault="00A53397" w:rsidP="00A53397">
      <w:pPr>
        <w:pStyle w:val="ListParagraph"/>
        <w:widowControl/>
        <w:numPr>
          <w:ilvl w:val="0"/>
          <w:numId w:val="5"/>
        </w:numPr>
        <w:autoSpaceDE/>
        <w:autoSpaceDN/>
        <w:spacing w:before="0" w:after="160" w:line="259" w:lineRule="auto"/>
        <w:contextualSpacing/>
      </w:pPr>
      <w:r>
        <w:t xml:space="preserve">Prince’s </w:t>
      </w:r>
      <w:r w:rsidR="009E7C66">
        <w:t>Trust Programme</w:t>
      </w:r>
      <w:r>
        <w:t>.</w:t>
      </w:r>
    </w:p>
    <w:p w14:paraId="6241C709" w14:textId="2780F9A8" w:rsidR="00A71D6C" w:rsidRDefault="00673587" w:rsidP="0070273C">
      <w:pPr>
        <w:pStyle w:val="BodyText"/>
        <w:spacing w:before="185" w:line="259" w:lineRule="auto"/>
        <w:ind w:right="205"/>
      </w:pPr>
      <w:r>
        <w:t>We recognise</w:t>
      </w:r>
      <w:r w:rsidR="008F0CB9">
        <w:t>d</w:t>
      </w:r>
      <w:r>
        <w:t xml:space="preserve"> that each of our </w:t>
      </w:r>
      <w:r w:rsidR="008F0CB9">
        <w:t>pupils where</w:t>
      </w:r>
      <w:r>
        <w:t xml:space="preserve"> at differing stages of readiness for pos</w:t>
      </w:r>
      <w:r w:rsidR="008F0CB9">
        <w:t xml:space="preserve">t-16; with that in mind we </w:t>
      </w:r>
      <w:r>
        <w:t>developed a tiered approach to assess and intervene pupils’ different needs in regards post-16 transition and engagement. Using our tiered a</w:t>
      </w:r>
      <w:r w:rsidR="008F0CB9">
        <w:t xml:space="preserve">pproach, we </w:t>
      </w:r>
      <w:r>
        <w:t>assess</w:t>
      </w:r>
      <w:r w:rsidR="008F0CB9">
        <w:t>ed at</w:t>
      </w:r>
      <w:r>
        <w:t xml:space="preserve"> what st</w:t>
      </w:r>
      <w:r w:rsidR="008F0CB9">
        <w:t>age of transition our pupils were</w:t>
      </w:r>
      <w:r>
        <w:t xml:space="preserve"> at, establis</w:t>
      </w:r>
      <w:r w:rsidR="008F0CB9">
        <w:t>h what level of support they were</w:t>
      </w:r>
      <w:r>
        <w:t xml:space="preserve"> going to</w:t>
      </w:r>
      <w:r w:rsidR="008F0CB9">
        <w:t xml:space="preserve"> need and then developed a plan for how that support would</w:t>
      </w:r>
      <w:r>
        <w:t xml:space="preserve"> be facilitated.</w:t>
      </w:r>
    </w:p>
    <w:p w14:paraId="58035B15" w14:textId="00D8D9A8" w:rsidR="00A71D6C" w:rsidRDefault="008F0CB9" w:rsidP="008F0CB9">
      <w:pPr>
        <w:pStyle w:val="BodyText"/>
        <w:spacing w:before="158" w:line="259" w:lineRule="auto"/>
        <w:ind w:left="120" w:right="166"/>
        <w:sectPr w:rsidR="00A71D6C">
          <w:pgSz w:w="12240" w:h="15840"/>
          <w:pgMar w:top="1340" w:right="1300" w:bottom="1460" w:left="1320" w:header="182" w:footer="1265" w:gutter="0"/>
          <w:cols w:space="720"/>
        </w:sectPr>
      </w:pPr>
      <w:r>
        <w:t>All the work was</w:t>
      </w:r>
      <w:r w:rsidR="00673587">
        <w:t xml:space="preserve"> tracked a</w:t>
      </w:r>
      <w:r>
        <w:t>nd monitored to ensure nobody was</w:t>
      </w:r>
      <w:r w:rsidR="00673587">
        <w:t xml:space="preserve"> left to ‘fall t</w:t>
      </w:r>
      <w:r>
        <w:t xml:space="preserve">hrough the gap’. Where there was </w:t>
      </w:r>
      <w:r w:rsidR="00673587">
        <w:t>externa</w:t>
      </w:r>
      <w:r>
        <w:t xml:space="preserve">l agency involvement, the PRU transition team </w:t>
      </w:r>
      <w:r w:rsidR="00673587">
        <w:t>coordinate</w:t>
      </w:r>
      <w:r>
        <w:t>d</w:t>
      </w:r>
      <w:r w:rsidR="00673587">
        <w:t xml:space="preserve"> their involvement; ensuring year 11 pupils and their parents/carers </w:t>
      </w:r>
      <w:r>
        <w:t>knew what was</w:t>
      </w:r>
      <w:r w:rsidR="00673587">
        <w:t xml:space="preserve"> happening and what they need</w:t>
      </w:r>
      <w:r>
        <w:t>ed to do</w:t>
      </w:r>
      <w:r w:rsidR="00866E81">
        <w:t xml:space="preserve"> each step of the way</w:t>
      </w:r>
    </w:p>
    <w:p w14:paraId="492F880D" w14:textId="79B7D1D5" w:rsidR="00A71D6C" w:rsidRDefault="00A71D6C">
      <w:pPr>
        <w:pStyle w:val="BodyText"/>
        <w:spacing w:before="9"/>
        <w:rPr>
          <w:sz w:val="38"/>
        </w:rPr>
      </w:pPr>
    </w:p>
    <w:p w14:paraId="3F833323" w14:textId="57CCF358" w:rsidR="00A71D6C" w:rsidRDefault="0070273C">
      <w:pPr>
        <w:pStyle w:val="Heading2"/>
        <w:numPr>
          <w:ilvl w:val="2"/>
          <w:numId w:val="2"/>
        </w:numPr>
        <w:tabs>
          <w:tab w:val="left" w:pos="1225"/>
        </w:tabs>
        <w:spacing w:before="0"/>
        <w:ind w:hanging="385"/>
      </w:pPr>
      <w:bookmarkStart w:id="4" w:name="_bookmark3"/>
      <w:bookmarkEnd w:id="4"/>
      <w:r>
        <w:rPr>
          <w:color w:val="1F4D78"/>
        </w:rPr>
        <w:t xml:space="preserve"> </w:t>
      </w:r>
      <w:r w:rsidR="00673587">
        <w:rPr>
          <w:color w:val="1F4D78"/>
        </w:rPr>
        <w:t>Our tiered</w:t>
      </w:r>
      <w:r w:rsidR="00673587">
        <w:rPr>
          <w:color w:val="1F4D78"/>
          <w:spacing w:val="-3"/>
        </w:rPr>
        <w:t xml:space="preserve"> </w:t>
      </w:r>
      <w:r w:rsidR="00673587">
        <w:rPr>
          <w:color w:val="1F4D78"/>
        </w:rPr>
        <w:t>approach</w:t>
      </w:r>
    </w:p>
    <w:p w14:paraId="274DAC72" w14:textId="54BFF033" w:rsidR="00A71D6C" w:rsidRDefault="003E1E15">
      <w:pPr>
        <w:pStyle w:val="BodyText"/>
        <w:spacing w:before="192" w:line="256" w:lineRule="auto"/>
        <w:ind w:left="120" w:right="281"/>
      </w:pPr>
      <w:r>
        <w:t>During the summer our</w:t>
      </w:r>
      <w:r w:rsidR="008F0CB9">
        <w:t xml:space="preserve"> 3-tier approach</w:t>
      </w:r>
      <w:r w:rsidR="00673587">
        <w:t xml:space="preserve"> enable</w:t>
      </w:r>
      <w:r w:rsidR="008F0CB9">
        <w:t>d</w:t>
      </w:r>
      <w:r w:rsidR="00673587">
        <w:t xml:space="preserve"> us to recognise what </w:t>
      </w:r>
      <w:r w:rsidR="008F0CB9">
        <w:t>level of support our pupils</w:t>
      </w:r>
      <w:r w:rsidR="00673587">
        <w:t xml:space="preserve"> need</w:t>
      </w:r>
      <w:r w:rsidR="008F0CB9">
        <w:t xml:space="preserve">ed; </w:t>
      </w:r>
    </w:p>
    <w:p w14:paraId="69DD4603" w14:textId="6360EAEC" w:rsidR="00A71D6C" w:rsidRDefault="008F0CB9">
      <w:pPr>
        <w:pStyle w:val="ListParagraph"/>
        <w:numPr>
          <w:ilvl w:val="0"/>
          <w:numId w:val="1"/>
        </w:numPr>
        <w:tabs>
          <w:tab w:val="left" w:pos="901"/>
        </w:tabs>
        <w:spacing w:before="168" w:line="256" w:lineRule="auto"/>
        <w:ind w:right="756"/>
        <w:jc w:val="both"/>
      </w:pPr>
      <w:r>
        <w:t>Universal</w:t>
      </w:r>
      <w:r w:rsidR="003E1E15">
        <w:t xml:space="preserve"> </w:t>
      </w:r>
      <w:r w:rsidR="00673587">
        <w:t xml:space="preserve">– </w:t>
      </w:r>
      <w:r>
        <w:t>Students who had enrolled at college</w:t>
      </w:r>
      <w:r w:rsidR="003E1E15">
        <w:t xml:space="preserve"> regular contact from Centre managers through the summer, and a weekly cohort meeting with TMC, to track these students.</w:t>
      </w:r>
    </w:p>
    <w:p w14:paraId="68D3CE8F" w14:textId="6A9E36D5" w:rsidR="00A71D6C" w:rsidRDefault="003E1E15">
      <w:pPr>
        <w:pStyle w:val="ListParagraph"/>
        <w:numPr>
          <w:ilvl w:val="0"/>
          <w:numId w:val="1"/>
        </w:numPr>
        <w:tabs>
          <w:tab w:val="left" w:pos="901"/>
        </w:tabs>
        <w:spacing w:before="5" w:line="256" w:lineRule="auto"/>
        <w:ind w:right="714"/>
        <w:jc w:val="both"/>
      </w:pPr>
      <w:r>
        <w:t>PRU</w:t>
      </w:r>
      <w:r w:rsidR="00673587">
        <w:t xml:space="preserve"> Plus – </w:t>
      </w:r>
      <w:r>
        <w:t>We targeted LAC and SEND students, as well as any students who had been offered a place at college, but had yet to enrol. They received targeted support, from the Manchester College, Gainfocus and The Princes Trust, and with regular contact from their respective Centre Managers and Career Connect</w:t>
      </w:r>
    </w:p>
    <w:p w14:paraId="20A82C40" w14:textId="4BD1B174" w:rsidR="00A71D6C" w:rsidRDefault="003E1E15">
      <w:pPr>
        <w:pStyle w:val="ListParagraph"/>
        <w:numPr>
          <w:ilvl w:val="0"/>
          <w:numId w:val="1"/>
        </w:numPr>
        <w:tabs>
          <w:tab w:val="left" w:pos="901"/>
        </w:tabs>
        <w:spacing w:before="5" w:line="259" w:lineRule="auto"/>
        <w:ind w:right="293"/>
        <w:jc w:val="both"/>
      </w:pPr>
      <w:r>
        <w:t>Intensive</w:t>
      </w:r>
      <w:r w:rsidR="00673587">
        <w:t xml:space="preserve"> – </w:t>
      </w:r>
      <w:r>
        <w:t xml:space="preserve">These are the students that we knew would be at risk of becoming NEET. Career Connect, </w:t>
      </w:r>
      <w:r w:rsidR="00A106D7">
        <w:t xml:space="preserve">Aps, </w:t>
      </w:r>
      <w:r>
        <w:t xml:space="preserve">TMC and the PRU transition team, worked together, over the summer, to </w:t>
      </w:r>
      <w:r w:rsidR="00A106D7">
        <w:t xml:space="preserve">try and </w:t>
      </w:r>
      <w:r w:rsidR="00C83177">
        <w:t>engage with these students, and offer different traineeships, college courses, and skills based learning</w:t>
      </w:r>
      <w:r w:rsidR="00673587">
        <w:t>.</w:t>
      </w:r>
    </w:p>
    <w:p w14:paraId="469193C5" w14:textId="1F6A020F" w:rsidR="00A106D7" w:rsidRDefault="00A106D7" w:rsidP="00A106D7">
      <w:pPr>
        <w:tabs>
          <w:tab w:val="left" w:pos="901"/>
        </w:tabs>
        <w:spacing w:before="5" w:line="259" w:lineRule="auto"/>
        <w:ind w:right="293"/>
        <w:jc w:val="both"/>
      </w:pPr>
    </w:p>
    <w:p w14:paraId="6EB66718" w14:textId="06FD1B6E" w:rsidR="00A71D6C" w:rsidRPr="0070273C" w:rsidRDefault="00A106D7" w:rsidP="0070273C">
      <w:pPr>
        <w:tabs>
          <w:tab w:val="left" w:pos="901"/>
        </w:tabs>
        <w:spacing w:before="5" w:line="259" w:lineRule="auto"/>
        <w:ind w:right="293"/>
        <w:jc w:val="both"/>
      </w:pPr>
      <w:r>
        <w:t>This level of support continued through the autumn term, with some students moving through tiers.</w:t>
      </w:r>
    </w:p>
    <w:p w14:paraId="52C217D4" w14:textId="2E910059" w:rsidR="00A71D6C" w:rsidRDefault="00A71D6C" w:rsidP="00A106D7">
      <w:pPr>
        <w:ind w:right="1160"/>
        <w:rPr>
          <w:i/>
        </w:rPr>
      </w:pPr>
    </w:p>
    <w:p w14:paraId="7B190491" w14:textId="77777777" w:rsidR="00A71D6C" w:rsidRDefault="00673587">
      <w:pPr>
        <w:pStyle w:val="Heading2"/>
        <w:numPr>
          <w:ilvl w:val="2"/>
          <w:numId w:val="2"/>
        </w:numPr>
        <w:tabs>
          <w:tab w:val="left" w:pos="1268"/>
        </w:tabs>
        <w:spacing w:before="62"/>
        <w:ind w:left="1267" w:hanging="428"/>
      </w:pPr>
      <w:bookmarkStart w:id="5" w:name="_bookmark4"/>
      <w:bookmarkEnd w:id="5"/>
      <w:r>
        <w:rPr>
          <w:color w:val="1F4D78"/>
        </w:rPr>
        <w:t>Tracking and monitoring</w:t>
      </w:r>
    </w:p>
    <w:p w14:paraId="09D125BE" w14:textId="0C4389EA" w:rsidR="00A71D6C" w:rsidRDefault="00673587">
      <w:pPr>
        <w:pStyle w:val="BodyText"/>
        <w:spacing w:before="190" w:line="256" w:lineRule="auto"/>
        <w:ind w:left="120" w:right="565"/>
      </w:pPr>
      <w:r>
        <w:t>The support offered as well as progres</w:t>
      </w:r>
      <w:r w:rsidR="00A106D7">
        <w:t>s for our year 11 pupils was</w:t>
      </w:r>
      <w:r>
        <w:t xml:space="preserve"> tracked and monitored throughout.</w:t>
      </w:r>
    </w:p>
    <w:p w14:paraId="37A18F43" w14:textId="5F5513C3" w:rsidR="00A71D6C" w:rsidRDefault="00A106D7">
      <w:pPr>
        <w:pStyle w:val="BodyText"/>
        <w:spacing w:before="165"/>
        <w:ind w:left="120"/>
      </w:pPr>
      <w:r>
        <w:t xml:space="preserve">This was </w:t>
      </w:r>
      <w:r w:rsidR="00673587">
        <w:t>done in a number of ways, including:</w:t>
      </w:r>
    </w:p>
    <w:p w14:paraId="4C01E1BE" w14:textId="77777777" w:rsidR="00A71D6C" w:rsidRDefault="00673587">
      <w:pPr>
        <w:pStyle w:val="ListParagraph"/>
        <w:numPr>
          <w:ilvl w:val="0"/>
          <w:numId w:val="1"/>
        </w:numPr>
        <w:tabs>
          <w:tab w:val="left" w:pos="900"/>
          <w:tab w:val="left" w:pos="901"/>
        </w:tabs>
        <w:spacing w:line="259" w:lineRule="auto"/>
        <w:ind w:right="397"/>
      </w:pPr>
      <w:r>
        <w:t>Contact logs – Comprehensively recorded for each time a pupil is contacted, either on the phone or in person, included attempted</w:t>
      </w:r>
      <w:r>
        <w:rPr>
          <w:spacing w:val="-9"/>
        </w:rPr>
        <w:t xml:space="preserve"> </w:t>
      </w:r>
      <w:r>
        <w:t>contacts.</w:t>
      </w:r>
    </w:p>
    <w:p w14:paraId="7F3E1F25" w14:textId="47DD2A22" w:rsidR="00A71D6C" w:rsidRDefault="00A106D7">
      <w:pPr>
        <w:pStyle w:val="ListParagraph"/>
        <w:numPr>
          <w:ilvl w:val="0"/>
          <w:numId w:val="1"/>
        </w:numPr>
        <w:tabs>
          <w:tab w:val="left" w:pos="900"/>
          <w:tab w:val="left" w:pos="901"/>
        </w:tabs>
        <w:spacing w:before="0" w:line="259" w:lineRule="auto"/>
        <w:ind w:right="757"/>
      </w:pPr>
      <w:r>
        <w:t>Weekly meetings between Career connect, The Manchester College and the PRU transition team, to track and monitor all students.</w:t>
      </w:r>
    </w:p>
    <w:p w14:paraId="0D3DC894" w14:textId="3A6B2C7C" w:rsidR="00A71D6C" w:rsidRDefault="00A106D7">
      <w:pPr>
        <w:pStyle w:val="ListParagraph"/>
        <w:numPr>
          <w:ilvl w:val="0"/>
          <w:numId w:val="1"/>
        </w:numPr>
        <w:tabs>
          <w:tab w:val="left" w:pos="900"/>
          <w:tab w:val="left" w:pos="901"/>
        </w:tabs>
        <w:spacing w:before="0" w:line="291" w:lineRule="exact"/>
        <w:ind w:hanging="361"/>
      </w:pPr>
      <w:r>
        <w:t>Timely meetings with outside agencies, including YOS, LAC, social services etc.</w:t>
      </w:r>
    </w:p>
    <w:p w14:paraId="16448C3E" w14:textId="6478D1D3" w:rsidR="00A71D6C" w:rsidRDefault="00A106D7">
      <w:pPr>
        <w:pStyle w:val="ListParagraph"/>
        <w:numPr>
          <w:ilvl w:val="0"/>
          <w:numId w:val="1"/>
        </w:numPr>
        <w:tabs>
          <w:tab w:val="left" w:pos="900"/>
          <w:tab w:val="left" w:pos="901"/>
        </w:tabs>
        <w:spacing w:before="24" w:line="259" w:lineRule="auto"/>
        <w:ind w:right="195"/>
      </w:pPr>
      <w:r>
        <w:t xml:space="preserve">Systems put into place </w:t>
      </w:r>
      <w:r w:rsidR="00673587">
        <w:t xml:space="preserve">so that </w:t>
      </w:r>
      <w:r w:rsidR="001E44B0">
        <w:t xml:space="preserve">the </w:t>
      </w:r>
      <w:r>
        <w:t xml:space="preserve">PRU </w:t>
      </w:r>
      <w:r w:rsidR="001E44B0">
        <w:t>transition team, AP staff and agencies involved</w:t>
      </w:r>
      <w:r w:rsidR="00673587">
        <w:t xml:space="preserve"> is coordinated, and all relevant parties are kept in the</w:t>
      </w:r>
      <w:r w:rsidR="00673587">
        <w:rPr>
          <w:spacing w:val="-4"/>
        </w:rPr>
        <w:t xml:space="preserve"> </w:t>
      </w:r>
      <w:r w:rsidR="00673587">
        <w:t>loop.</w:t>
      </w:r>
    </w:p>
    <w:p w14:paraId="0A1666EB" w14:textId="61402FAA" w:rsidR="0070273C" w:rsidRDefault="0070273C">
      <w:pPr>
        <w:pStyle w:val="ListParagraph"/>
        <w:numPr>
          <w:ilvl w:val="0"/>
          <w:numId w:val="1"/>
        </w:numPr>
        <w:tabs>
          <w:tab w:val="left" w:pos="900"/>
          <w:tab w:val="left" w:pos="901"/>
        </w:tabs>
        <w:spacing w:before="24" w:line="259" w:lineRule="auto"/>
        <w:ind w:right="195"/>
      </w:pPr>
      <w:r>
        <w:t xml:space="preserve">Every home visit was documented, with a post 16 information pack handed to parent/carers with telephone numbers of all relevant parties. </w:t>
      </w:r>
    </w:p>
    <w:p w14:paraId="76716B17" w14:textId="42628F10" w:rsidR="0070273C" w:rsidRDefault="0070273C">
      <w:pPr>
        <w:pStyle w:val="ListParagraph"/>
        <w:numPr>
          <w:ilvl w:val="0"/>
          <w:numId w:val="1"/>
        </w:numPr>
        <w:tabs>
          <w:tab w:val="left" w:pos="900"/>
          <w:tab w:val="left" w:pos="901"/>
        </w:tabs>
        <w:spacing w:before="24" w:line="259" w:lineRule="auto"/>
        <w:ind w:right="195"/>
      </w:pPr>
      <w:r>
        <w:t>Case studies compiled by the PRU mentor for some students who progressed from NEET to EET.</w:t>
      </w:r>
    </w:p>
    <w:p w14:paraId="3842BF51" w14:textId="414A884F" w:rsidR="0070273C" w:rsidRPr="0070273C" w:rsidRDefault="0070273C" w:rsidP="00866E81">
      <w:pPr>
        <w:pStyle w:val="BodyText"/>
        <w:spacing w:before="161" w:line="259" w:lineRule="auto"/>
        <w:ind w:right="345"/>
        <w:jc w:val="both"/>
        <w:rPr>
          <w:i/>
        </w:rPr>
        <w:sectPr w:rsidR="0070273C" w:rsidRPr="0070273C">
          <w:pgSz w:w="12240" w:h="15840"/>
          <w:pgMar w:top="1340" w:right="1300" w:bottom="1460" w:left="1320" w:header="182" w:footer="1265" w:gutter="0"/>
          <w:cols w:space="720"/>
        </w:sectPr>
      </w:pPr>
      <w:r>
        <w:rPr>
          <w:i/>
        </w:rPr>
        <w:t>See Appendix</w:t>
      </w:r>
      <w:r w:rsidR="008E0299">
        <w:rPr>
          <w:i/>
        </w:rPr>
        <w:t xml:space="preserve"> B</w:t>
      </w:r>
    </w:p>
    <w:p w14:paraId="6B98162C" w14:textId="0E1BBC7E" w:rsidR="00866E81" w:rsidRPr="00E768FF" w:rsidRDefault="00866E81" w:rsidP="00866E81">
      <w:pPr>
        <w:pStyle w:val="Heading2"/>
        <w:numPr>
          <w:ilvl w:val="0"/>
          <w:numId w:val="7"/>
        </w:numPr>
        <w:tabs>
          <w:tab w:val="left" w:pos="1268"/>
        </w:tabs>
        <w:spacing w:before="62"/>
      </w:pPr>
      <w:bookmarkStart w:id="6" w:name="_bookmark5"/>
      <w:bookmarkStart w:id="7" w:name="_bookmark6"/>
      <w:bookmarkEnd w:id="6"/>
      <w:bookmarkEnd w:id="7"/>
      <w:r>
        <w:rPr>
          <w:color w:val="1F4D78"/>
        </w:rPr>
        <w:lastRenderedPageBreak/>
        <w:t>Outcomes</w:t>
      </w:r>
    </w:p>
    <w:p w14:paraId="591AED03" w14:textId="6C619CD7" w:rsidR="00E768FF" w:rsidRDefault="00E768FF" w:rsidP="00E768FF">
      <w:pPr>
        <w:pStyle w:val="Heading2"/>
        <w:tabs>
          <w:tab w:val="left" w:pos="1268"/>
        </w:tabs>
        <w:spacing w:before="62"/>
        <w:ind w:left="1224" w:firstLine="0"/>
        <w:rPr>
          <w:color w:val="1F4D78"/>
        </w:rPr>
      </w:pPr>
    </w:p>
    <w:p w14:paraId="77CADACA" w14:textId="4D3019C6" w:rsidR="00E768FF" w:rsidRDefault="00E768FF" w:rsidP="003B188E">
      <w:pPr>
        <w:pStyle w:val="Heading2"/>
        <w:tabs>
          <w:tab w:val="left" w:pos="1268"/>
        </w:tabs>
        <w:spacing w:before="62"/>
        <w:rPr>
          <w:color w:val="1F4D78"/>
        </w:rPr>
      </w:pPr>
    </w:p>
    <w:p w14:paraId="68AA3659" w14:textId="449A2335" w:rsidR="0048185E" w:rsidRDefault="0048185E" w:rsidP="000F17D5">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A</w:t>
      </w:r>
      <w:r w:rsidR="003B188E" w:rsidRPr="003B188E">
        <w:rPr>
          <w:rFonts w:ascii="Segoe UI" w:hAnsi="Segoe UI" w:cs="Segoe UI"/>
          <w:sz w:val="22"/>
          <w:szCs w:val="22"/>
        </w:rPr>
        <w:t>t the start of Summer 2020</w:t>
      </w:r>
      <w:r w:rsidR="003B188E">
        <w:rPr>
          <w:rFonts w:ascii="Segoe UI" w:hAnsi="Segoe UI" w:cs="Segoe UI"/>
          <w:sz w:val="22"/>
          <w:szCs w:val="22"/>
        </w:rPr>
        <w:t>, we had 152 students who were year 11 leavers. We had i</w:t>
      </w:r>
      <w:r>
        <w:rPr>
          <w:rFonts w:ascii="Segoe UI" w:hAnsi="Segoe UI" w:cs="Segoe UI"/>
          <w:sz w:val="22"/>
          <w:szCs w:val="22"/>
        </w:rPr>
        <w:t>d</w:t>
      </w:r>
      <w:r w:rsidR="003B188E">
        <w:rPr>
          <w:rFonts w:ascii="Segoe UI" w:hAnsi="Segoe UI" w:cs="Segoe UI"/>
          <w:sz w:val="22"/>
          <w:szCs w:val="22"/>
        </w:rPr>
        <w:t xml:space="preserve">entified </w:t>
      </w:r>
      <w:r w:rsidR="00D872B1">
        <w:rPr>
          <w:rFonts w:ascii="Segoe UI" w:hAnsi="Segoe UI" w:cs="Segoe UI"/>
          <w:sz w:val="22"/>
          <w:szCs w:val="22"/>
        </w:rPr>
        <w:t>through our cohort review (</w:t>
      </w:r>
      <w:r w:rsidR="00D872B1" w:rsidRPr="00D872B1">
        <w:rPr>
          <w:rFonts w:ascii="Segoe UI" w:hAnsi="Segoe UI" w:cs="Segoe UI"/>
          <w:i/>
          <w:sz w:val="22"/>
          <w:szCs w:val="22"/>
        </w:rPr>
        <w:t>see appendix</w:t>
      </w:r>
      <w:r w:rsidR="00D872B1">
        <w:rPr>
          <w:rFonts w:ascii="Segoe UI" w:hAnsi="Segoe UI" w:cs="Segoe UI"/>
          <w:sz w:val="22"/>
          <w:szCs w:val="22"/>
        </w:rPr>
        <w:t xml:space="preserve"> </w:t>
      </w:r>
      <w:r w:rsidR="008E0299">
        <w:rPr>
          <w:rFonts w:ascii="Segoe UI" w:hAnsi="Segoe UI" w:cs="Segoe UI"/>
          <w:sz w:val="22"/>
          <w:szCs w:val="22"/>
        </w:rPr>
        <w:t>C</w:t>
      </w:r>
      <w:r w:rsidR="00D872B1">
        <w:rPr>
          <w:rFonts w:ascii="Segoe UI" w:hAnsi="Segoe UI" w:cs="Segoe UI"/>
          <w:sz w:val="22"/>
          <w:szCs w:val="22"/>
        </w:rPr>
        <w:t xml:space="preserve">) </w:t>
      </w:r>
      <w:r>
        <w:rPr>
          <w:rFonts w:ascii="Segoe UI" w:hAnsi="Segoe UI" w:cs="Segoe UI"/>
          <w:sz w:val="22"/>
          <w:szCs w:val="22"/>
        </w:rPr>
        <w:t>55 students (36% of cohort) who could be at risk of being NEET. This included all LAC students and all students with an EHCP, alongside any student that had less than 20% attendance, and any student that had more than a risk rating of 3. These students were placed into the Pru Plus or intensive support  post 16 category.</w:t>
      </w:r>
    </w:p>
    <w:p w14:paraId="1893557D" w14:textId="60D93718" w:rsidR="0048185E" w:rsidRDefault="0048185E" w:rsidP="000F17D5">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The level of support was then identified, with 9 students being referred to The Princes Trust and 14 students to Gainfocus. The remaining 32 students being targeted by Career Connect and The Manchester College.</w:t>
      </w:r>
    </w:p>
    <w:p w14:paraId="0823816B" w14:textId="392507EE" w:rsidR="0048185E" w:rsidRDefault="0048185E" w:rsidP="0048185E">
      <w:pPr>
        <w:pStyle w:val="Heading2"/>
        <w:tabs>
          <w:tab w:val="left" w:pos="1268"/>
        </w:tabs>
        <w:spacing w:before="62"/>
        <w:ind w:left="479" w:firstLine="0"/>
        <w:rPr>
          <w:rFonts w:ascii="Segoe UI" w:hAnsi="Segoe UI" w:cs="Segoe UI"/>
          <w:sz w:val="22"/>
          <w:szCs w:val="22"/>
        </w:rPr>
      </w:pPr>
    </w:p>
    <w:p w14:paraId="5CAE1A03" w14:textId="7137525F" w:rsidR="0048185E" w:rsidRDefault="0048185E" w:rsidP="0048185E">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Due to the Pandemic, Colleges had a delayed start to their academic year, by the start of the college academic year we had managed to reduce our NEET figure to</w:t>
      </w:r>
      <w:r w:rsidR="00BD59CD">
        <w:rPr>
          <w:rFonts w:ascii="Segoe UI" w:hAnsi="Segoe UI" w:cs="Segoe UI"/>
          <w:sz w:val="22"/>
          <w:szCs w:val="22"/>
        </w:rPr>
        <w:t xml:space="preserve"> 39</w:t>
      </w:r>
      <w:r>
        <w:rPr>
          <w:rFonts w:ascii="Segoe UI" w:hAnsi="Segoe UI" w:cs="Segoe UI"/>
          <w:sz w:val="22"/>
          <w:szCs w:val="22"/>
        </w:rPr>
        <w:t xml:space="preserve"> students </w:t>
      </w:r>
      <w:r w:rsidR="000F17D5">
        <w:rPr>
          <w:rFonts w:ascii="Segoe UI" w:hAnsi="Segoe UI" w:cs="Segoe UI"/>
          <w:sz w:val="22"/>
          <w:szCs w:val="22"/>
        </w:rPr>
        <w:t>( 25.7</w:t>
      </w:r>
      <w:r>
        <w:rPr>
          <w:rFonts w:ascii="Segoe UI" w:hAnsi="Segoe UI" w:cs="Segoe UI"/>
          <w:sz w:val="22"/>
          <w:szCs w:val="22"/>
        </w:rPr>
        <w:t>% of cohort)</w:t>
      </w:r>
    </w:p>
    <w:p w14:paraId="1B245D3A" w14:textId="222FC7A7" w:rsidR="00F07B02" w:rsidRDefault="00F07B02" w:rsidP="0048185E">
      <w:pPr>
        <w:pStyle w:val="Heading2"/>
        <w:tabs>
          <w:tab w:val="left" w:pos="1268"/>
        </w:tabs>
        <w:spacing w:before="62"/>
        <w:ind w:left="479" w:firstLine="0"/>
        <w:rPr>
          <w:rFonts w:ascii="Segoe UI" w:hAnsi="Segoe UI" w:cs="Segoe UI"/>
          <w:sz w:val="22"/>
          <w:szCs w:val="22"/>
        </w:rPr>
      </w:pPr>
    </w:p>
    <w:p w14:paraId="1E0B0F43" w14:textId="6E68596D" w:rsidR="00F07B02" w:rsidRPr="000F17D5" w:rsidRDefault="000F17D5" w:rsidP="0048185E">
      <w:pPr>
        <w:pStyle w:val="Heading2"/>
        <w:tabs>
          <w:tab w:val="left" w:pos="1268"/>
        </w:tabs>
        <w:spacing w:before="62"/>
        <w:ind w:left="479" w:firstLine="0"/>
        <w:rPr>
          <w:rFonts w:ascii="Segoe UI" w:hAnsi="Segoe UI" w:cs="Segoe UI"/>
          <w:b/>
          <w:sz w:val="22"/>
          <w:szCs w:val="22"/>
        </w:rPr>
      </w:pPr>
      <w:r w:rsidRPr="000F17D5">
        <w:rPr>
          <w:rFonts w:ascii="Segoe UI" w:hAnsi="Segoe UI" w:cs="Segoe UI"/>
          <w:b/>
          <w:sz w:val="22"/>
          <w:szCs w:val="22"/>
        </w:rPr>
        <w:t>State of Play beginning of College academic year.</w:t>
      </w:r>
    </w:p>
    <w:p w14:paraId="343B8BB5" w14:textId="77777777" w:rsidR="000F17D5" w:rsidRDefault="000F17D5" w:rsidP="0048185E">
      <w:pPr>
        <w:pStyle w:val="Heading2"/>
        <w:tabs>
          <w:tab w:val="left" w:pos="1268"/>
        </w:tabs>
        <w:spacing w:before="62"/>
        <w:ind w:left="479" w:firstLine="0"/>
        <w:rPr>
          <w:rFonts w:ascii="Segoe UI" w:hAnsi="Segoe UI" w:cs="Segoe UI"/>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89"/>
        <w:gridCol w:w="1701"/>
        <w:gridCol w:w="1701"/>
        <w:gridCol w:w="1701"/>
        <w:gridCol w:w="1818"/>
      </w:tblGrid>
      <w:tr w:rsidR="00F07B02" w:rsidRPr="000F17D5" w14:paraId="7248F147" w14:textId="77777777" w:rsidTr="0066550A">
        <w:tc>
          <w:tcPr>
            <w:tcW w:w="2689" w:type="dxa"/>
            <w:shd w:val="clear" w:color="auto" w:fill="BFBFBF"/>
          </w:tcPr>
          <w:p w14:paraId="6E6DE9F3" w14:textId="6D8750B9" w:rsidR="00F07B02" w:rsidRPr="0066550A" w:rsidRDefault="00F07B02" w:rsidP="0066550A">
            <w:pPr>
              <w:pStyle w:val="DefaultText"/>
              <w:ind w:right="531"/>
              <w:jc w:val="center"/>
              <w:rPr>
                <w:rFonts w:ascii="Calibri" w:hAnsi="Calibri"/>
                <w:b/>
                <w:sz w:val="20"/>
              </w:rPr>
            </w:pPr>
            <w:r w:rsidRPr="0066550A">
              <w:rPr>
                <w:rFonts w:ascii="Calibri" w:hAnsi="Calibri"/>
                <w:b/>
                <w:sz w:val="20"/>
              </w:rPr>
              <w:t>Category</w:t>
            </w:r>
          </w:p>
        </w:tc>
        <w:tc>
          <w:tcPr>
            <w:tcW w:w="1701" w:type="dxa"/>
            <w:shd w:val="clear" w:color="auto" w:fill="BFBFBF"/>
          </w:tcPr>
          <w:p w14:paraId="09B4F7E2" w14:textId="0E4143A8" w:rsidR="00F07B02" w:rsidRPr="0066550A" w:rsidRDefault="00F07B02" w:rsidP="0066550A">
            <w:pPr>
              <w:pStyle w:val="DefaultText"/>
              <w:ind w:right="531"/>
              <w:jc w:val="center"/>
              <w:rPr>
                <w:rFonts w:ascii="Calibri" w:hAnsi="Calibri"/>
                <w:b/>
                <w:sz w:val="20"/>
              </w:rPr>
            </w:pPr>
            <w:r w:rsidRPr="0066550A">
              <w:rPr>
                <w:rFonts w:ascii="Calibri" w:hAnsi="Calibri"/>
                <w:b/>
                <w:sz w:val="20"/>
              </w:rPr>
              <w:t>No. of students</w:t>
            </w:r>
          </w:p>
        </w:tc>
        <w:tc>
          <w:tcPr>
            <w:tcW w:w="1701" w:type="dxa"/>
            <w:shd w:val="clear" w:color="auto" w:fill="BFBFBF"/>
          </w:tcPr>
          <w:p w14:paraId="220AC615" w14:textId="64FD71BD" w:rsidR="00F07B02" w:rsidRPr="0066550A" w:rsidRDefault="00F07B02" w:rsidP="0066550A">
            <w:pPr>
              <w:pStyle w:val="DefaultText"/>
              <w:ind w:right="531"/>
              <w:jc w:val="center"/>
              <w:rPr>
                <w:rFonts w:ascii="Calibri" w:hAnsi="Calibri"/>
                <w:b/>
                <w:sz w:val="20"/>
              </w:rPr>
            </w:pPr>
            <w:r w:rsidRPr="0066550A">
              <w:rPr>
                <w:rFonts w:ascii="Calibri" w:hAnsi="Calibri"/>
                <w:b/>
                <w:sz w:val="20"/>
              </w:rPr>
              <w:t>Percentage (2019/20)</w:t>
            </w:r>
          </w:p>
        </w:tc>
        <w:tc>
          <w:tcPr>
            <w:tcW w:w="1701" w:type="dxa"/>
            <w:shd w:val="clear" w:color="auto" w:fill="BFBFBF"/>
          </w:tcPr>
          <w:p w14:paraId="7E963C17" w14:textId="42FDEA1A" w:rsidR="00F07B02" w:rsidRPr="0066550A" w:rsidRDefault="00F07B02" w:rsidP="0066550A">
            <w:pPr>
              <w:pStyle w:val="DefaultText"/>
              <w:ind w:right="531"/>
              <w:jc w:val="center"/>
              <w:rPr>
                <w:rFonts w:ascii="Calibri" w:hAnsi="Calibri"/>
                <w:b/>
                <w:sz w:val="20"/>
              </w:rPr>
            </w:pPr>
            <w:r w:rsidRPr="0066550A">
              <w:rPr>
                <w:rFonts w:ascii="Calibri" w:hAnsi="Calibri"/>
                <w:b/>
                <w:sz w:val="20"/>
              </w:rPr>
              <w:t>Percentage (2018/19)</w:t>
            </w:r>
          </w:p>
        </w:tc>
        <w:tc>
          <w:tcPr>
            <w:tcW w:w="1818" w:type="dxa"/>
            <w:shd w:val="clear" w:color="auto" w:fill="BFBFBF"/>
          </w:tcPr>
          <w:p w14:paraId="648C37E3" w14:textId="77777777" w:rsidR="00F07B02" w:rsidRPr="0066550A" w:rsidRDefault="00F07B02" w:rsidP="0066550A">
            <w:pPr>
              <w:pStyle w:val="DefaultText"/>
              <w:ind w:right="531"/>
              <w:jc w:val="center"/>
              <w:rPr>
                <w:rFonts w:ascii="Calibri" w:hAnsi="Calibri"/>
                <w:b/>
                <w:sz w:val="20"/>
              </w:rPr>
            </w:pPr>
            <w:r w:rsidRPr="0066550A">
              <w:rPr>
                <w:rFonts w:ascii="Calibri" w:hAnsi="Calibri"/>
                <w:b/>
                <w:sz w:val="20"/>
              </w:rPr>
              <w:t>Percentage (2017/18)</w:t>
            </w:r>
          </w:p>
        </w:tc>
      </w:tr>
      <w:tr w:rsidR="00F07B02" w:rsidRPr="000F17D5" w14:paraId="20191693" w14:textId="77777777" w:rsidTr="0066550A">
        <w:tc>
          <w:tcPr>
            <w:tcW w:w="2689" w:type="dxa"/>
            <w:shd w:val="clear" w:color="auto" w:fill="BFBFBF"/>
          </w:tcPr>
          <w:p w14:paraId="735D2D9F" w14:textId="77777777" w:rsidR="00F07B02" w:rsidRPr="000F17D5" w:rsidRDefault="00F07B02" w:rsidP="0066550A">
            <w:pPr>
              <w:pStyle w:val="DefaultText"/>
              <w:ind w:right="531"/>
              <w:jc w:val="center"/>
              <w:rPr>
                <w:rFonts w:ascii="Calibri" w:hAnsi="Calibri"/>
                <w:sz w:val="22"/>
                <w:szCs w:val="22"/>
              </w:rPr>
            </w:pPr>
            <w:r w:rsidRPr="000F17D5">
              <w:rPr>
                <w:rFonts w:ascii="Calibri" w:hAnsi="Calibri"/>
                <w:sz w:val="22"/>
                <w:szCs w:val="22"/>
              </w:rPr>
              <w:t>In EET</w:t>
            </w:r>
          </w:p>
        </w:tc>
        <w:tc>
          <w:tcPr>
            <w:tcW w:w="1701" w:type="dxa"/>
            <w:shd w:val="clear" w:color="auto" w:fill="auto"/>
          </w:tcPr>
          <w:p w14:paraId="58AC1E47" w14:textId="7ABD93CE"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113</w:t>
            </w:r>
          </w:p>
        </w:tc>
        <w:tc>
          <w:tcPr>
            <w:tcW w:w="1701" w:type="dxa"/>
          </w:tcPr>
          <w:p w14:paraId="350AAD32" w14:textId="25EBA482"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74.3%</w:t>
            </w:r>
          </w:p>
        </w:tc>
        <w:tc>
          <w:tcPr>
            <w:tcW w:w="1701" w:type="dxa"/>
            <w:shd w:val="clear" w:color="auto" w:fill="auto"/>
          </w:tcPr>
          <w:p w14:paraId="5E126AD3" w14:textId="125DD6EB" w:rsidR="00F07B02" w:rsidRPr="000F17D5" w:rsidRDefault="00F07B02" w:rsidP="0066550A">
            <w:pPr>
              <w:pStyle w:val="DefaultText"/>
              <w:ind w:right="531"/>
              <w:rPr>
                <w:rFonts w:ascii="Calibri" w:hAnsi="Calibri"/>
                <w:color w:val="auto"/>
                <w:sz w:val="22"/>
                <w:szCs w:val="22"/>
              </w:rPr>
            </w:pPr>
            <w:r w:rsidRPr="000F17D5">
              <w:rPr>
                <w:rFonts w:ascii="Calibri" w:hAnsi="Calibri"/>
                <w:color w:val="auto"/>
                <w:sz w:val="22"/>
                <w:szCs w:val="22"/>
              </w:rPr>
              <w:t>62.1%</w:t>
            </w:r>
          </w:p>
        </w:tc>
        <w:tc>
          <w:tcPr>
            <w:tcW w:w="1818" w:type="dxa"/>
          </w:tcPr>
          <w:p w14:paraId="0399031D"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77.7%</w:t>
            </w:r>
          </w:p>
        </w:tc>
      </w:tr>
      <w:tr w:rsidR="00F07B02" w:rsidRPr="000F17D5" w14:paraId="15589A5B" w14:textId="77777777" w:rsidTr="0066550A">
        <w:tc>
          <w:tcPr>
            <w:tcW w:w="2689" w:type="dxa"/>
            <w:shd w:val="clear" w:color="auto" w:fill="BFBFBF"/>
          </w:tcPr>
          <w:p w14:paraId="7D83D13A" w14:textId="492F0087" w:rsidR="00F07B02" w:rsidRPr="000F17D5" w:rsidRDefault="00F07B02" w:rsidP="0066550A">
            <w:pPr>
              <w:pStyle w:val="DefaultText"/>
              <w:rPr>
                <w:rFonts w:ascii="Calibri" w:hAnsi="Calibri"/>
                <w:sz w:val="22"/>
                <w:szCs w:val="22"/>
              </w:rPr>
            </w:pPr>
            <w:r w:rsidRPr="000F17D5">
              <w:rPr>
                <w:rFonts w:ascii="Calibri" w:hAnsi="Calibri"/>
                <w:sz w:val="22"/>
                <w:szCs w:val="22"/>
              </w:rPr>
              <w:t>of which MCR College</w:t>
            </w:r>
          </w:p>
        </w:tc>
        <w:tc>
          <w:tcPr>
            <w:tcW w:w="1701" w:type="dxa"/>
            <w:shd w:val="clear" w:color="auto" w:fill="auto"/>
          </w:tcPr>
          <w:p w14:paraId="44FE9761" w14:textId="5D614F1E"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56</w:t>
            </w:r>
          </w:p>
        </w:tc>
        <w:tc>
          <w:tcPr>
            <w:tcW w:w="1701" w:type="dxa"/>
          </w:tcPr>
          <w:p w14:paraId="0CB651EA" w14:textId="0CB889D5"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49.6%</w:t>
            </w:r>
          </w:p>
        </w:tc>
        <w:tc>
          <w:tcPr>
            <w:tcW w:w="1701" w:type="dxa"/>
            <w:shd w:val="clear" w:color="auto" w:fill="auto"/>
          </w:tcPr>
          <w:p w14:paraId="76024112" w14:textId="75A31700" w:rsidR="00F07B02" w:rsidRPr="000F17D5" w:rsidRDefault="00F07B02"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40.4%</w:t>
            </w:r>
          </w:p>
        </w:tc>
        <w:tc>
          <w:tcPr>
            <w:tcW w:w="1818" w:type="dxa"/>
          </w:tcPr>
          <w:p w14:paraId="4F8751C4" w14:textId="77777777" w:rsidR="00F07B02" w:rsidRPr="000F17D5" w:rsidRDefault="00F07B02" w:rsidP="0066550A">
            <w:pPr>
              <w:pStyle w:val="DefaultText"/>
              <w:numPr>
                <w:ilvl w:val="0"/>
                <w:numId w:val="8"/>
              </w:numPr>
              <w:ind w:left="360" w:right="454"/>
              <w:rPr>
                <w:rFonts w:ascii="Calibri" w:hAnsi="Calibri"/>
                <w:sz w:val="22"/>
                <w:szCs w:val="22"/>
              </w:rPr>
            </w:pPr>
            <w:r w:rsidRPr="000F17D5">
              <w:rPr>
                <w:rFonts w:ascii="Calibri" w:hAnsi="Calibri"/>
                <w:sz w:val="22"/>
                <w:szCs w:val="22"/>
              </w:rPr>
              <w:t>47.2%</w:t>
            </w:r>
          </w:p>
        </w:tc>
      </w:tr>
      <w:tr w:rsidR="00F07B02" w:rsidRPr="000F17D5" w14:paraId="45FC53F3" w14:textId="77777777" w:rsidTr="0066550A">
        <w:tc>
          <w:tcPr>
            <w:tcW w:w="2689" w:type="dxa"/>
            <w:shd w:val="clear" w:color="auto" w:fill="BFBFBF"/>
          </w:tcPr>
          <w:p w14:paraId="032659D9"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of which other College</w:t>
            </w:r>
          </w:p>
        </w:tc>
        <w:tc>
          <w:tcPr>
            <w:tcW w:w="1701" w:type="dxa"/>
            <w:shd w:val="clear" w:color="auto" w:fill="auto"/>
          </w:tcPr>
          <w:p w14:paraId="71518390" w14:textId="4D516534"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49</w:t>
            </w:r>
          </w:p>
        </w:tc>
        <w:tc>
          <w:tcPr>
            <w:tcW w:w="1701" w:type="dxa"/>
          </w:tcPr>
          <w:p w14:paraId="180B2222" w14:textId="7E5F01C0"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43.4%</w:t>
            </w:r>
          </w:p>
        </w:tc>
        <w:tc>
          <w:tcPr>
            <w:tcW w:w="1701" w:type="dxa"/>
            <w:shd w:val="clear" w:color="auto" w:fill="auto"/>
          </w:tcPr>
          <w:p w14:paraId="5F31322F" w14:textId="49713BAC" w:rsidR="00F07B02" w:rsidRPr="000F17D5" w:rsidRDefault="00F07B02"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11.8%</w:t>
            </w:r>
          </w:p>
        </w:tc>
        <w:tc>
          <w:tcPr>
            <w:tcW w:w="1818" w:type="dxa"/>
          </w:tcPr>
          <w:p w14:paraId="7D5F2431" w14:textId="77777777" w:rsidR="00F07B02" w:rsidRPr="000F17D5" w:rsidRDefault="00F07B02" w:rsidP="0066550A">
            <w:pPr>
              <w:pStyle w:val="DefaultText"/>
              <w:numPr>
                <w:ilvl w:val="0"/>
                <w:numId w:val="8"/>
              </w:numPr>
              <w:ind w:left="360" w:right="454"/>
              <w:rPr>
                <w:rFonts w:ascii="Calibri" w:hAnsi="Calibri"/>
                <w:sz w:val="22"/>
                <w:szCs w:val="22"/>
              </w:rPr>
            </w:pPr>
            <w:r w:rsidRPr="000F17D5">
              <w:rPr>
                <w:rFonts w:ascii="Calibri" w:hAnsi="Calibri"/>
                <w:sz w:val="22"/>
                <w:szCs w:val="22"/>
              </w:rPr>
              <w:t>19.2%</w:t>
            </w:r>
          </w:p>
        </w:tc>
      </w:tr>
      <w:tr w:rsidR="00F07B02" w:rsidRPr="000F17D5" w14:paraId="52A22B5A" w14:textId="77777777" w:rsidTr="0066550A">
        <w:tc>
          <w:tcPr>
            <w:tcW w:w="2689" w:type="dxa"/>
            <w:shd w:val="clear" w:color="auto" w:fill="BFBFBF"/>
          </w:tcPr>
          <w:p w14:paraId="7C2D7DB2"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of which Sixth Form</w:t>
            </w:r>
          </w:p>
        </w:tc>
        <w:tc>
          <w:tcPr>
            <w:tcW w:w="1701" w:type="dxa"/>
            <w:shd w:val="clear" w:color="auto" w:fill="auto"/>
          </w:tcPr>
          <w:p w14:paraId="783C0F7F" w14:textId="475253A3"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5</w:t>
            </w:r>
          </w:p>
        </w:tc>
        <w:tc>
          <w:tcPr>
            <w:tcW w:w="1701" w:type="dxa"/>
          </w:tcPr>
          <w:p w14:paraId="0DCAAE9A" w14:textId="535AEDDC"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4.3%</w:t>
            </w:r>
          </w:p>
        </w:tc>
        <w:tc>
          <w:tcPr>
            <w:tcW w:w="1701" w:type="dxa"/>
            <w:shd w:val="clear" w:color="auto" w:fill="auto"/>
          </w:tcPr>
          <w:p w14:paraId="332B6277" w14:textId="7E29345C" w:rsidR="00F07B02" w:rsidRPr="000F17D5" w:rsidRDefault="00F07B02"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2.5%</w:t>
            </w:r>
          </w:p>
        </w:tc>
        <w:tc>
          <w:tcPr>
            <w:tcW w:w="1818" w:type="dxa"/>
          </w:tcPr>
          <w:p w14:paraId="226D354A" w14:textId="77777777" w:rsidR="00F07B02" w:rsidRPr="000F17D5" w:rsidRDefault="00F07B02" w:rsidP="0066550A">
            <w:pPr>
              <w:pStyle w:val="DefaultText"/>
              <w:numPr>
                <w:ilvl w:val="0"/>
                <w:numId w:val="8"/>
              </w:numPr>
              <w:ind w:left="360" w:right="454"/>
              <w:rPr>
                <w:rFonts w:ascii="Calibri" w:hAnsi="Calibri"/>
                <w:sz w:val="22"/>
                <w:szCs w:val="22"/>
              </w:rPr>
            </w:pPr>
            <w:r w:rsidRPr="000F17D5">
              <w:rPr>
                <w:rFonts w:ascii="Calibri" w:hAnsi="Calibri"/>
                <w:sz w:val="22"/>
                <w:szCs w:val="22"/>
              </w:rPr>
              <w:t>2.0%</w:t>
            </w:r>
          </w:p>
        </w:tc>
      </w:tr>
      <w:tr w:rsidR="00F07B02" w:rsidRPr="000F17D5" w14:paraId="34D1A23A" w14:textId="77777777" w:rsidTr="0066550A">
        <w:tc>
          <w:tcPr>
            <w:tcW w:w="2689" w:type="dxa"/>
            <w:shd w:val="clear" w:color="auto" w:fill="BFBFBF"/>
          </w:tcPr>
          <w:p w14:paraId="326602DF"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Apprenticeship/work/training</w:t>
            </w:r>
          </w:p>
        </w:tc>
        <w:tc>
          <w:tcPr>
            <w:tcW w:w="1701" w:type="dxa"/>
            <w:shd w:val="clear" w:color="auto" w:fill="auto"/>
          </w:tcPr>
          <w:p w14:paraId="0E89036D" w14:textId="76A1B0FB"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3</w:t>
            </w:r>
          </w:p>
        </w:tc>
        <w:tc>
          <w:tcPr>
            <w:tcW w:w="1701" w:type="dxa"/>
          </w:tcPr>
          <w:p w14:paraId="10196015" w14:textId="017B2DE4" w:rsidR="00F07B02" w:rsidRPr="000F17D5" w:rsidRDefault="00BD59CD"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2.7%</w:t>
            </w:r>
          </w:p>
        </w:tc>
        <w:tc>
          <w:tcPr>
            <w:tcW w:w="1701" w:type="dxa"/>
            <w:shd w:val="clear" w:color="auto" w:fill="auto"/>
          </w:tcPr>
          <w:p w14:paraId="39551AFB" w14:textId="3399031E" w:rsidR="00F07B02" w:rsidRPr="000F17D5" w:rsidRDefault="00F07B02" w:rsidP="0066550A">
            <w:pPr>
              <w:pStyle w:val="DefaultText"/>
              <w:numPr>
                <w:ilvl w:val="0"/>
                <w:numId w:val="8"/>
              </w:numPr>
              <w:ind w:left="360" w:right="454"/>
              <w:rPr>
                <w:rFonts w:ascii="Calibri" w:hAnsi="Calibri"/>
                <w:color w:val="auto"/>
                <w:sz w:val="22"/>
                <w:szCs w:val="22"/>
              </w:rPr>
            </w:pPr>
            <w:r w:rsidRPr="000F17D5">
              <w:rPr>
                <w:rFonts w:ascii="Calibri" w:hAnsi="Calibri"/>
                <w:color w:val="auto"/>
                <w:sz w:val="22"/>
                <w:szCs w:val="22"/>
              </w:rPr>
              <w:t>7.4%</w:t>
            </w:r>
          </w:p>
        </w:tc>
        <w:tc>
          <w:tcPr>
            <w:tcW w:w="1818" w:type="dxa"/>
          </w:tcPr>
          <w:p w14:paraId="10F8D35F" w14:textId="77777777" w:rsidR="00F07B02" w:rsidRPr="000F17D5" w:rsidRDefault="00F07B02" w:rsidP="0066550A">
            <w:pPr>
              <w:pStyle w:val="DefaultText"/>
              <w:numPr>
                <w:ilvl w:val="0"/>
                <w:numId w:val="8"/>
              </w:numPr>
              <w:ind w:left="360" w:right="454"/>
              <w:rPr>
                <w:rFonts w:ascii="Calibri" w:hAnsi="Calibri"/>
                <w:sz w:val="22"/>
                <w:szCs w:val="22"/>
              </w:rPr>
            </w:pPr>
            <w:r w:rsidRPr="000F17D5">
              <w:rPr>
                <w:rFonts w:ascii="Calibri" w:hAnsi="Calibri"/>
                <w:sz w:val="22"/>
                <w:szCs w:val="22"/>
              </w:rPr>
              <w:t>9.4%</w:t>
            </w:r>
          </w:p>
        </w:tc>
      </w:tr>
      <w:tr w:rsidR="00F07B02" w:rsidRPr="000F17D5" w14:paraId="7727BD31" w14:textId="77777777" w:rsidTr="0066550A">
        <w:tc>
          <w:tcPr>
            <w:tcW w:w="2689" w:type="dxa"/>
            <w:shd w:val="clear" w:color="auto" w:fill="BFBFBF"/>
          </w:tcPr>
          <w:p w14:paraId="6949662E" w14:textId="77777777" w:rsidR="00F07B02" w:rsidRPr="000F17D5" w:rsidRDefault="00F07B02" w:rsidP="0066550A">
            <w:pPr>
              <w:pStyle w:val="DefaultText"/>
              <w:ind w:right="531"/>
              <w:jc w:val="center"/>
              <w:rPr>
                <w:rFonts w:ascii="Calibri" w:hAnsi="Calibri"/>
                <w:sz w:val="22"/>
                <w:szCs w:val="22"/>
              </w:rPr>
            </w:pPr>
            <w:r w:rsidRPr="000F17D5">
              <w:rPr>
                <w:rFonts w:ascii="Calibri" w:hAnsi="Calibri"/>
                <w:sz w:val="22"/>
                <w:szCs w:val="22"/>
              </w:rPr>
              <w:t>Identified in danger of NEET</w:t>
            </w:r>
          </w:p>
        </w:tc>
        <w:tc>
          <w:tcPr>
            <w:tcW w:w="1701" w:type="dxa"/>
            <w:shd w:val="clear" w:color="auto" w:fill="auto"/>
          </w:tcPr>
          <w:p w14:paraId="3FE1EE1E" w14:textId="51243702"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26</w:t>
            </w:r>
          </w:p>
        </w:tc>
        <w:tc>
          <w:tcPr>
            <w:tcW w:w="1701" w:type="dxa"/>
          </w:tcPr>
          <w:p w14:paraId="48D25E1F" w14:textId="668E1525"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17.1%</w:t>
            </w:r>
          </w:p>
        </w:tc>
        <w:tc>
          <w:tcPr>
            <w:tcW w:w="1701" w:type="dxa"/>
            <w:shd w:val="clear" w:color="auto" w:fill="auto"/>
          </w:tcPr>
          <w:p w14:paraId="5978D4F5" w14:textId="3887B25D" w:rsidR="00F07B02" w:rsidRPr="000F17D5" w:rsidRDefault="00F07B02" w:rsidP="0066550A">
            <w:pPr>
              <w:pStyle w:val="DefaultText"/>
              <w:ind w:right="531"/>
              <w:rPr>
                <w:rFonts w:ascii="Calibri" w:hAnsi="Calibri"/>
                <w:color w:val="auto"/>
                <w:sz w:val="22"/>
                <w:szCs w:val="22"/>
              </w:rPr>
            </w:pPr>
            <w:r w:rsidRPr="000F17D5">
              <w:rPr>
                <w:rFonts w:ascii="Calibri" w:hAnsi="Calibri"/>
                <w:color w:val="auto"/>
                <w:sz w:val="22"/>
                <w:szCs w:val="22"/>
              </w:rPr>
              <w:t>21.2%</w:t>
            </w:r>
          </w:p>
        </w:tc>
        <w:tc>
          <w:tcPr>
            <w:tcW w:w="1818" w:type="dxa"/>
          </w:tcPr>
          <w:p w14:paraId="0B8E8F9A"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14.0%</w:t>
            </w:r>
          </w:p>
        </w:tc>
      </w:tr>
      <w:tr w:rsidR="00F07B02" w:rsidRPr="000F17D5" w14:paraId="7586D6BA" w14:textId="77777777" w:rsidTr="0066550A">
        <w:tc>
          <w:tcPr>
            <w:tcW w:w="2689" w:type="dxa"/>
            <w:shd w:val="clear" w:color="auto" w:fill="BFBFBF"/>
          </w:tcPr>
          <w:p w14:paraId="4A91EE1F" w14:textId="77777777" w:rsidR="00F07B02" w:rsidRPr="000F17D5" w:rsidRDefault="00F07B02" w:rsidP="0066550A">
            <w:pPr>
              <w:pStyle w:val="DefaultText"/>
              <w:ind w:right="531"/>
              <w:jc w:val="center"/>
              <w:rPr>
                <w:rFonts w:ascii="Calibri" w:hAnsi="Calibri"/>
                <w:sz w:val="22"/>
                <w:szCs w:val="22"/>
              </w:rPr>
            </w:pPr>
            <w:r w:rsidRPr="000F17D5">
              <w:rPr>
                <w:rFonts w:ascii="Calibri" w:hAnsi="Calibri"/>
                <w:sz w:val="22"/>
                <w:szCs w:val="22"/>
              </w:rPr>
              <w:t>Unknown/OOA</w:t>
            </w:r>
          </w:p>
        </w:tc>
        <w:tc>
          <w:tcPr>
            <w:tcW w:w="1701" w:type="dxa"/>
            <w:shd w:val="clear" w:color="auto" w:fill="auto"/>
          </w:tcPr>
          <w:p w14:paraId="5B68F5B3" w14:textId="0260B451"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13</w:t>
            </w:r>
          </w:p>
        </w:tc>
        <w:tc>
          <w:tcPr>
            <w:tcW w:w="1701" w:type="dxa"/>
          </w:tcPr>
          <w:p w14:paraId="25DDBEE1" w14:textId="6BCCFE7F"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8.6%</w:t>
            </w:r>
          </w:p>
        </w:tc>
        <w:tc>
          <w:tcPr>
            <w:tcW w:w="1701" w:type="dxa"/>
            <w:shd w:val="clear" w:color="auto" w:fill="auto"/>
          </w:tcPr>
          <w:p w14:paraId="64A6B715" w14:textId="497197EA" w:rsidR="00F07B02" w:rsidRPr="000F17D5" w:rsidRDefault="00F07B02" w:rsidP="0066550A">
            <w:pPr>
              <w:pStyle w:val="DefaultText"/>
              <w:ind w:right="531"/>
              <w:rPr>
                <w:rFonts w:ascii="Calibri" w:hAnsi="Calibri"/>
                <w:color w:val="auto"/>
                <w:sz w:val="22"/>
                <w:szCs w:val="22"/>
              </w:rPr>
            </w:pPr>
            <w:r w:rsidRPr="000F17D5">
              <w:rPr>
                <w:rFonts w:ascii="Calibri" w:hAnsi="Calibri"/>
                <w:color w:val="auto"/>
                <w:sz w:val="22"/>
                <w:szCs w:val="22"/>
              </w:rPr>
              <w:t>16.7%</w:t>
            </w:r>
          </w:p>
        </w:tc>
        <w:tc>
          <w:tcPr>
            <w:tcW w:w="1818" w:type="dxa"/>
          </w:tcPr>
          <w:p w14:paraId="6ACA7F69" w14:textId="77777777" w:rsidR="00F07B02" w:rsidRPr="000F17D5" w:rsidRDefault="00F07B02" w:rsidP="0066550A">
            <w:pPr>
              <w:pStyle w:val="DefaultText"/>
              <w:ind w:right="531"/>
              <w:rPr>
                <w:rFonts w:ascii="Calibri" w:hAnsi="Calibri"/>
                <w:sz w:val="22"/>
                <w:szCs w:val="22"/>
              </w:rPr>
            </w:pPr>
            <w:r w:rsidRPr="000F17D5">
              <w:rPr>
                <w:rFonts w:ascii="Calibri" w:hAnsi="Calibri"/>
                <w:sz w:val="22"/>
                <w:szCs w:val="22"/>
              </w:rPr>
              <w:t>8.3%</w:t>
            </w:r>
          </w:p>
        </w:tc>
      </w:tr>
      <w:tr w:rsidR="00F07B02" w:rsidRPr="000F17D5" w14:paraId="1C18585D" w14:textId="77777777" w:rsidTr="0066550A">
        <w:tc>
          <w:tcPr>
            <w:tcW w:w="2689" w:type="dxa"/>
            <w:shd w:val="clear" w:color="auto" w:fill="BFBFBF"/>
          </w:tcPr>
          <w:p w14:paraId="50E899E0" w14:textId="77777777" w:rsidR="00F07B02" w:rsidRPr="000F17D5" w:rsidRDefault="00F07B02" w:rsidP="0066550A">
            <w:pPr>
              <w:pStyle w:val="DefaultText"/>
              <w:ind w:right="531"/>
              <w:jc w:val="center"/>
              <w:rPr>
                <w:rFonts w:ascii="Calibri" w:hAnsi="Calibri"/>
                <w:b/>
                <w:sz w:val="22"/>
                <w:szCs w:val="22"/>
              </w:rPr>
            </w:pPr>
            <w:r w:rsidRPr="000F17D5">
              <w:rPr>
                <w:rFonts w:ascii="Calibri" w:hAnsi="Calibri"/>
                <w:b/>
                <w:sz w:val="22"/>
                <w:szCs w:val="22"/>
              </w:rPr>
              <w:t>Total</w:t>
            </w:r>
          </w:p>
        </w:tc>
        <w:tc>
          <w:tcPr>
            <w:tcW w:w="1701" w:type="dxa"/>
            <w:shd w:val="clear" w:color="auto" w:fill="auto"/>
          </w:tcPr>
          <w:p w14:paraId="06640D68" w14:textId="0AC6E6B2" w:rsidR="00F07B02" w:rsidRPr="000F17D5" w:rsidRDefault="00BD59CD" w:rsidP="0066550A">
            <w:pPr>
              <w:pStyle w:val="DefaultText"/>
              <w:ind w:right="531"/>
              <w:rPr>
                <w:rFonts w:ascii="Calibri" w:hAnsi="Calibri"/>
                <w:color w:val="auto"/>
                <w:sz w:val="22"/>
                <w:szCs w:val="22"/>
              </w:rPr>
            </w:pPr>
            <w:r w:rsidRPr="000F17D5">
              <w:rPr>
                <w:rFonts w:ascii="Calibri" w:hAnsi="Calibri"/>
                <w:color w:val="auto"/>
                <w:sz w:val="22"/>
                <w:szCs w:val="22"/>
              </w:rPr>
              <w:t>152 students</w:t>
            </w:r>
          </w:p>
        </w:tc>
        <w:tc>
          <w:tcPr>
            <w:tcW w:w="1701" w:type="dxa"/>
          </w:tcPr>
          <w:p w14:paraId="1658A16D" w14:textId="77777777" w:rsidR="00F07B02" w:rsidRPr="000F17D5" w:rsidRDefault="00F07B02" w:rsidP="0066550A">
            <w:pPr>
              <w:pStyle w:val="DefaultText"/>
              <w:ind w:right="531"/>
              <w:rPr>
                <w:rFonts w:ascii="Calibri" w:hAnsi="Calibri"/>
                <w:color w:val="auto"/>
                <w:sz w:val="22"/>
                <w:szCs w:val="22"/>
              </w:rPr>
            </w:pPr>
          </w:p>
        </w:tc>
        <w:tc>
          <w:tcPr>
            <w:tcW w:w="1701" w:type="dxa"/>
            <w:shd w:val="clear" w:color="auto" w:fill="auto"/>
          </w:tcPr>
          <w:p w14:paraId="4762F8E4" w14:textId="27910C2D" w:rsidR="00F07B02" w:rsidRPr="000F17D5" w:rsidRDefault="00F07B02" w:rsidP="0066550A">
            <w:pPr>
              <w:pStyle w:val="DefaultText"/>
              <w:ind w:right="531"/>
              <w:rPr>
                <w:rFonts w:ascii="Calibri" w:hAnsi="Calibri"/>
                <w:color w:val="FF0000"/>
                <w:sz w:val="22"/>
                <w:szCs w:val="22"/>
              </w:rPr>
            </w:pPr>
            <w:r w:rsidRPr="000F17D5">
              <w:rPr>
                <w:rFonts w:ascii="Calibri" w:hAnsi="Calibri"/>
                <w:color w:val="auto"/>
                <w:sz w:val="22"/>
                <w:szCs w:val="22"/>
              </w:rPr>
              <w:t>203</w:t>
            </w:r>
            <w:r w:rsidR="00BD59CD" w:rsidRPr="000F17D5">
              <w:rPr>
                <w:rFonts w:ascii="Calibri" w:hAnsi="Calibri"/>
                <w:color w:val="auto"/>
                <w:sz w:val="22"/>
                <w:szCs w:val="22"/>
              </w:rPr>
              <w:t xml:space="preserve"> students</w:t>
            </w:r>
          </w:p>
        </w:tc>
        <w:tc>
          <w:tcPr>
            <w:tcW w:w="1818" w:type="dxa"/>
          </w:tcPr>
          <w:p w14:paraId="3AF31FD1" w14:textId="77777777" w:rsidR="00F07B02" w:rsidRPr="000F17D5" w:rsidRDefault="00F07B02" w:rsidP="0066550A">
            <w:pPr>
              <w:pStyle w:val="DefaultText"/>
              <w:ind w:right="531"/>
              <w:rPr>
                <w:rFonts w:ascii="Calibri" w:hAnsi="Calibri"/>
                <w:sz w:val="22"/>
                <w:szCs w:val="22"/>
              </w:rPr>
            </w:pPr>
          </w:p>
        </w:tc>
      </w:tr>
    </w:tbl>
    <w:p w14:paraId="402E9B9A" w14:textId="0A415ECC" w:rsidR="0048185E" w:rsidRDefault="0048185E" w:rsidP="0048185E">
      <w:pPr>
        <w:pStyle w:val="Heading2"/>
        <w:tabs>
          <w:tab w:val="left" w:pos="1268"/>
        </w:tabs>
        <w:spacing w:before="62"/>
        <w:ind w:left="479" w:firstLine="0"/>
        <w:rPr>
          <w:rFonts w:ascii="Segoe UI" w:hAnsi="Segoe UI" w:cs="Segoe UI"/>
          <w:sz w:val="22"/>
          <w:szCs w:val="22"/>
        </w:rPr>
      </w:pPr>
    </w:p>
    <w:p w14:paraId="08DE66DE" w14:textId="77777777" w:rsidR="0048185E" w:rsidRDefault="0048185E" w:rsidP="0048185E">
      <w:pPr>
        <w:pStyle w:val="Heading2"/>
        <w:tabs>
          <w:tab w:val="left" w:pos="1268"/>
        </w:tabs>
        <w:spacing w:before="62"/>
        <w:ind w:left="479" w:firstLine="0"/>
        <w:rPr>
          <w:rFonts w:ascii="Segoe UI" w:hAnsi="Segoe UI" w:cs="Segoe UI"/>
          <w:sz w:val="22"/>
          <w:szCs w:val="22"/>
        </w:rPr>
      </w:pPr>
    </w:p>
    <w:p w14:paraId="7ADF65E0" w14:textId="274F3FDD" w:rsidR="0048185E" w:rsidRDefault="000F17D5" w:rsidP="0048185E">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 xml:space="preserve">Due to </w:t>
      </w:r>
      <w:r w:rsidR="00B01773">
        <w:rPr>
          <w:rFonts w:ascii="Segoe UI" w:hAnsi="Segoe UI" w:cs="Segoe UI"/>
          <w:sz w:val="22"/>
          <w:szCs w:val="22"/>
        </w:rPr>
        <w:t xml:space="preserve">the </w:t>
      </w:r>
      <w:r>
        <w:rPr>
          <w:rFonts w:ascii="Segoe UI" w:hAnsi="Segoe UI" w:cs="Segoe UI"/>
          <w:sz w:val="22"/>
          <w:szCs w:val="22"/>
        </w:rPr>
        <w:t xml:space="preserve">work </w:t>
      </w:r>
      <w:r w:rsidR="00B01773">
        <w:rPr>
          <w:rFonts w:ascii="Segoe UI" w:hAnsi="Segoe UI" w:cs="Segoe UI"/>
          <w:sz w:val="22"/>
          <w:szCs w:val="22"/>
        </w:rPr>
        <w:t xml:space="preserve">completed </w:t>
      </w:r>
      <w:r>
        <w:rPr>
          <w:rFonts w:ascii="Segoe UI" w:hAnsi="Segoe UI" w:cs="Segoe UI"/>
          <w:sz w:val="22"/>
          <w:szCs w:val="22"/>
        </w:rPr>
        <w:t xml:space="preserve">over the summer </w:t>
      </w:r>
      <w:r w:rsidR="00B01773">
        <w:rPr>
          <w:rFonts w:ascii="Segoe UI" w:hAnsi="Segoe UI" w:cs="Segoe UI"/>
          <w:sz w:val="22"/>
          <w:szCs w:val="22"/>
        </w:rPr>
        <w:t xml:space="preserve">and the beginning of September </w:t>
      </w:r>
      <w:r>
        <w:rPr>
          <w:rFonts w:ascii="Segoe UI" w:hAnsi="Segoe UI" w:cs="Segoe UI"/>
          <w:sz w:val="22"/>
          <w:szCs w:val="22"/>
        </w:rPr>
        <w:t>we had significantly reduced the number of Unknowns compared to last year</w:t>
      </w:r>
      <w:r w:rsidR="00B01773">
        <w:rPr>
          <w:rFonts w:ascii="Segoe UI" w:hAnsi="Segoe UI" w:cs="Segoe UI"/>
          <w:sz w:val="22"/>
          <w:szCs w:val="22"/>
        </w:rPr>
        <w:t>, a 8.1% drop</w:t>
      </w:r>
      <w:r>
        <w:rPr>
          <w:rFonts w:ascii="Segoe UI" w:hAnsi="Segoe UI" w:cs="Segoe UI"/>
          <w:sz w:val="22"/>
          <w:szCs w:val="22"/>
        </w:rPr>
        <w:t>, and the nu</w:t>
      </w:r>
      <w:r w:rsidR="00B01773">
        <w:rPr>
          <w:rFonts w:ascii="Segoe UI" w:hAnsi="Segoe UI" w:cs="Segoe UI"/>
          <w:sz w:val="22"/>
          <w:szCs w:val="22"/>
        </w:rPr>
        <w:t>mber of NEET by 4.1%.</w:t>
      </w:r>
    </w:p>
    <w:p w14:paraId="161813A3" w14:textId="77777777" w:rsidR="00B01773" w:rsidRPr="003B188E" w:rsidRDefault="00B01773" w:rsidP="0048185E">
      <w:pPr>
        <w:pStyle w:val="Heading2"/>
        <w:tabs>
          <w:tab w:val="left" w:pos="1268"/>
        </w:tabs>
        <w:spacing w:before="62"/>
        <w:ind w:left="479" w:firstLine="0"/>
        <w:rPr>
          <w:rFonts w:ascii="Segoe UI" w:hAnsi="Segoe UI" w:cs="Segoe UI"/>
          <w:sz w:val="22"/>
          <w:szCs w:val="22"/>
        </w:rPr>
      </w:pPr>
    </w:p>
    <w:p w14:paraId="0699CC63" w14:textId="5361B9C5" w:rsidR="00673587" w:rsidRDefault="00673587" w:rsidP="00673587">
      <w:pPr>
        <w:pStyle w:val="Heading2"/>
        <w:tabs>
          <w:tab w:val="left" w:pos="1268"/>
        </w:tabs>
        <w:spacing w:before="62"/>
        <w:rPr>
          <w:color w:val="1F4D78"/>
        </w:rPr>
      </w:pPr>
    </w:p>
    <w:p w14:paraId="7C5FAC7B" w14:textId="3C0FB3D8" w:rsidR="00673587" w:rsidRDefault="00673587" w:rsidP="00673587">
      <w:pPr>
        <w:pStyle w:val="Heading2"/>
        <w:tabs>
          <w:tab w:val="left" w:pos="1268"/>
        </w:tabs>
        <w:spacing w:before="62"/>
        <w:rPr>
          <w:color w:val="1F4D78"/>
        </w:rPr>
      </w:pPr>
    </w:p>
    <w:p w14:paraId="7929B642" w14:textId="76897000" w:rsidR="005E1C3C" w:rsidRDefault="005E1C3C"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By the end of September our NEET figures had increased slightly, this was due to the fact that any student that had enrolled at the college, was given a couple of weeks leeway to actually start their course. This meant that there were a number of students who had never attended their course, and therefore became NEET.</w:t>
      </w:r>
      <w:r w:rsidR="00DC0D25">
        <w:rPr>
          <w:rFonts w:ascii="Segoe UI" w:hAnsi="Segoe UI" w:cs="Segoe UI"/>
          <w:sz w:val="22"/>
          <w:szCs w:val="22"/>
        </w:rPr>
        <w:t xml:space="preserve"> At this stage all 152 student</w:t>
      </w:r>
      <w:r w:rsidR="007F2DF4">
        <w:rPr>
          <w:rFonts w:ascii="Segoe UI" w:hAnsi="Segoe UI" w:cs="Segoe UI"/>
          <w:sz w:val="22"/>
          <w:szCs w:val="22"/>
        </w:rPr>
        <w:t>’</w:t>
      </w:r>
      <w:r w:rsidR="00DC0D25">
        <w:rPr>
          <w:rFonts w:ascii="Segoe UI" w:hAnsi="Segoe UI" w:cs="Segoe UI"/>
          <w:sz w:val="22"/>
          <w:szCs w:val="22"/>
        </w:rPr>
        <w:t>s current situation was known but according to the IYSS database, as of 5</w:t>
      </w:r>
      <w:r w:rsidR="00DC0D25" w:rsidRPr="00DC0D25">
        <w:rPr>
          <w:rFonts w:ascii="Segoe UI" w:hAnsi="Segoe UI" w:cs="Segoe UI"/>
          <w:sz w:val="22"/>
          <w:szCs w:val="22"/>
          <w:vertAlign w:val="superscript"/>
        </w:rPr>
        <w:t>th</w:t>
      </w:r>
      <w:r w:rsidR="00DC0D25">
        <w:rPr>
          <w:rFonts w:ascii="Segoe UI" w:hAnsi="Segoe UI" w:cs="Segoe UI"/>
          <w:sz w:val="22"/>
          <w:szCs w:val="22"/>
        </w:rPr>
        <w:t xml:space="preserve"> Oct, had 46 students NEET/Unknown (31.2% NEET). This was due to the fact that Career connect had not updated the system.</w:t>
      </w:r>
    </w:p>
    <w:p w14:paraId="27F42B7A" w14:textId="39B9EA82" w:rsidR="00DC0D25" w:rsidRDefault="00DC0D25" w:rsidP="005E1C3C">
      <w:pPr>
        <w:pStyle w:val="Heading2"/>
        <w:tabs>
          <w:tab w:val="left" w:pos="1268"/>
        </w:tabs>
        <w:spacing w:before="62"/>
        <w:ind w:left="479" w:firstLine="0"/>
        <w:rPr>
          <w:rFonts w:ascii="Segoe UI" w:hAnsi="Segoe UI" w:cs="Segoe UI"/>
          <w:sz w:val="22"/>
          <w:szCs w:val="22"/>
        </w:rPr>
      </w:pPr>
    </w:p>
    <w:p w14:paraId="2C664AB4" w14:textId="77777777" w:rsidR="00DC0D25" w:rsidRDefault="00DC0D25" w:rsidP="005E1C3C">
      <w:pPr>
        <w:pStyle w:val="Heading2"/>
        <w:tabs>
          <w:tab w:val="left" w:pos="1268"/>
        </w:tabs>
        <w:spacing w:before="62"/>
        <w:ind w:left="479" w:firstLine="0"/>
        <w:rPr>
          <w:rFonts w:ascii="Segoe UI" w:hAnsi="Segoe UI" w:cs="Segoe UI"/>
          <w:sz w:val="22"/>
          <w:szCs w:val="22"/>
        </w:rPr>
      </w:pPr>
    </w:p>
    <w:p w14:paraId="17F28776" w14:textId="1374B136" w:rsidR="007F2DF4" w:rsidRDefault="00DC0D25"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Even given the pandemic and the new way of working for all PRU students who were attending college, we had very few students who churned. This was due to the coordinated work with the college, Career Connect and the PRU. Support was put into place as soon as a stu</w:t>
      </w:r>
      <w:r w:rsidR="007D664D">
        <w:rPr>
          <w:rFonts w:ascii="Segoe UI" w:hAnsi="Segoe UI" w:cs="Segoe UI"/>
          <w:sz w:val="22"/>
          <w:szCs w:val="22"/>
        </w:rPr>
        <w:t>dent started to struggle. This meant that out of the 15 students that were withdrawn over the autumn term, 7 are due to start again in Jan</w:t>
      </w:r>
      <w:r w:rsidR="007F2DF4">
        <w:rPr>
          <w:rFonts w:ascii="Segoe UI" w:hAnsi="Segoe UI" w:cs="Segoe UI"/>
          <w:sz w:val="22"/>
          <w:szCs w:val="22"/>
        </w:rPr>
        <w:t xml:space="preserve">uary, 2 are now out of area, 2 </w:t>
      </w:r>
      <w:r w:rsidR="007D664D">
        <w:rPr>
          <w:rFonts w:ascii="Segoe UI" w:hAnsi="Segoe UI" w:cs="Segoe UI"/>
          <w:sz w:val="22"/>
          <w:szCs w:val="22"/>
        </w:rPr>
        <w:t>have started training programmes, 1 an apprenticeship, and 3 are currently NEET.</w:t>
      </w:r>
      <w:r w:rsidR="007F2DF4">
        <w:rPr>
          <w:rFonts w:ascii="Segoe UI" w:hAnsi="Segoe UI" w:cs="Segoe UI"/>
          <w:sz w:val="22"/>
          <w:szCs w:val="22"/>
        </w:rPr>
        <w:t xml:space="preserve"> The majority of these students stated that the blended approach to learning, was not working for them, and they would have sustained their place if it was onsite. </w:t>
      </w:r>
    </w:p>
    <w:p w14:paraId="3343E7F9" w14:textId="51E926CB" w:rsidR="005E1C3C" w:rsidRDefault="007F2DF4"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As a result of the reduced numbers on courses with The Manchester College, and the new lockdown, the 7 students who should have started at the beginning of January are still awaiting enrolment onto a suitable college course.</w:t>
      </w:r>
    </w:p>
    <w:p w14:paraId="214FA5D7" w14:textId="77777777" w:rsidR="007D664D" w:rsidRDefault="007D664D" w:rsidP="005E1C3C">
      <w:pPr>
        <w:pStyle w:val="Heading2"/>
        <w:tabs>
          <w:tab w:val="left" w:pos="1268"/>
        </w:tabs>
        <w:spacing w:before="62"/>
        <w:ind w:left="479" w:firstLine="0"/>
        <w:rPr>
          <w:rFonts w:ascii="Segoe UI" w:hAnsi="Segoe UI" w:cs="Segoe UI"/>
          <w:sz w:val="22"/>
          <w:szCs w:val="22"/>
        </w:rPr>
      </w:pPr>
    </w:p>
    <w:p w14:paraId="11A0D8FE" w14:textId="02409560" w:rsidR="00B01773" w:rsidRDefault="00B01773"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 xml:space="preserve"> </w:t>
      </w:r>
      <w:r w:rsidR="00DC0D25">
        <w:rPr>
          <w:rFonts w:ascii="Segoe UI" w:hAnsi="Segoe UI" w:cs="Segoe UI"/>
          <w:sz w:val="22"/>
          <w:szCs w:val="22"/>
        </w:rPr>
        <w:t xml:space="preserve">The </w:t>
      </w:r>
      <w:r>
        <w:rPr>
          <w:rFonts w:ascii="Segoe UI" w:hAnsi="Segoe UI" w:cs="Segoe UI"/>
          <w:sz w:val="22"/>
          <w:szCs w:val="22"/>
        </w:rPr>
        <w:t>fantastic work done by The PRU Transition team, Aps, the Manchester college and Career connect continued at the same p</w:t>
      </w:r>
      <w:r w:rsidR="005E1C3C">
        <w:rPr>
          <w:rFonts w:ascii="Segoe UI" w:hAnsi="Segoe UI" w:cs="Segoe UI"/>
          <w:sz w:val="22"/>
          <w:szCs w:val="22"/>
        </w:rPr>
        <w:t>ace throughout the Autumn term</w:t>
      </w:r>
      <w:r>
        <w:rPr>
          <w:rFonts w:ascii="Segoe UI" w:hAnsi="Segoe UI" w:cs="Segoe UI"/>
          <w:sz w:val="22"/>
          <w:szCs w:val="22"/>
        </w:rPr>
        <w:t xml:space="preserve">. The number of phone calls, emails and Meetings, made by the transition team is detailed below. (see appendix) This comprehensive, and coordinated approach meant that the numbers of NEET </w:t>
      </w:r>
      <w:r w:rsidR="00DC0D25">
        <w:rPr>
          <w:rFonts w:ascii="Segoe UI" w:hAnsi="Segoe UI" w:cs="Segoe UI"/>
          <w:sz w:val="22"/>
          <w:szCs w:val="22"/>
        </w:rPr>
        <w:t>students continued to stay around 27 students (17.8%)</w:t>
      </w:r>
      <w:r w:rsidR="00257A1D">
        <w:rPr>
          <w:rFonts w:ascii="Segoe UI" w:hAnsi="Segoe UI" w:cs="Segoe UI"/>
          <w:sz w:val="22"/>
          <w:szCs w:val="22"/>
        </w:rPr>
        <w:t xml:space="preserve"> but the unknowns decreasing.</w:t>
      </w:r>
    </w:p>
    <w:p w14:paraId="02AF2958" w14:textId="14EF970A" w:rsidR="00257A1D" w:rsidRDefault="00257A1D" w:rsidP="005E1C3C">
      <w:pPr>
        <w:pStyle w:val="Heading2"/>
        <w:tabs>
          <w:tab w:val="left" w:pos="1268"/>
        </w:tabs>
        <w:spacing w:before="62"/>
        <w:ind w:left="479" w:firstLine="0"/>
        <w:rPr>
          <w:rFonts w:ascii="Segoe UI" w:hAnsi="Segoe UI" w:cs="Segoe UI"/>
          <w:sz w:val="22"/>
          <w:szCs w:val="22"/>
        </w:rPr>
      </w:pPr>
    </w:p>
    <w:p w14:paraId="46820471" w14:textId="27DC508C" w:rsidR="00257A1D" w:rsidRDefault="00257A1D"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The Moving on Report (see appendix) shows that on the 1</w:t>
      </w:r>
      <w:r w:rsidRPr="00257A1D">
        <w:rPr>
          <w:rFonts w:ascii="Segoe UI" w:hAnsi="Segoe UI" w:cs="Segoe UI"/>
          <w:sz w:val="22"/>
          <w:szCs w:val="22"/>
          <w:vertAlign w:val="superscript"/>
        </w:rPr>
        <w:t>st</w:t>
      </w:r>
      <w:r>
        <w:rPr>
          <w:rFonts w:ascii="Segoe UI" w:hAnsi="Segoe UI" w:cs="Segoe UI"/>
          <w:sz w:val="22"/>
          <w:szCs w:val="22"/>
        </w:rPr>
        <w:t xml:space="preserve"> November there was a 4.2% decrease in participation</w:t>
      </w:r>
      <w:r w:rsidR="007D664D">
        <w:rPr>
          <w:rFonts w:ascii="Segoe UI" w:hAnsi="Segoe UI" w:cs="Segoe UI"/>
          <w:sz w:val="22"/>
          <w:szCs w:val="22"/>
        </w:rPr>
        <w:t xml:space="preserve"> from</w:t>
      </w:r>
      <w:r>
        <w:rPr>
          <w:rFonts w:ascii="Segoe UI" w:hAnsi="Segoe UI" w:cs="Segoe UI"/>
          <w:sz w:val="22"/>
          <w:szCs w:val="22"/>
        </w:rPr>
        <w:t xml:space="preserve"> last year, with the participation figures for this year at 75.5% and last year at 79.7%. This is based on single registered students.</w:t>
      </w:r>
    </w:p>
    <w:p w14:paraId="1898CE8C" w14:textId="039C9867" w:rsidR="00257A1D" w:rsidRDefault="00257A1D" w:rsidP="005E1C3C">
      <w:pPr>
        <w:pStyle w:val="Heading2"/>
        <w:tabs>
          <w:tab w:val="left" w:pos="1268"/>
        </w:tabs>
        <w:spacing w:before="62"/>
        <w:ind w:left="479" w:firstLine="0"/>
        <w:rPr>
          <w:rFonts w:ascii="Segoe UI" w:hAnsi="Segoe UI" w:cs="Segoe UI"/>
          <w:sz w:val="22"/>
          <w:szCs w:val="22"/>
        </w:rPr>
      </w:pPr>
    </w:p>
    <w:p w14:paraId="298F5487" w14:textId="49C631D6" w:rsidR="00257A1D" w:rsidRDefault="00257A1D" w:rsidP="005E1C3C">
      <w:pPr>
        <w:pStyle w:val="Heading2"/>
        <w:tabs>
          <w:tab w:val="left" w:pos="1268"/>
        </w:tabs>
        <w:spacing w:before="62"/>
        <w:ind w:left="479" w:firstLine="0"/>
        <w:rPr>
          <w:rFonts w:ascii="Segoe UI" w:hAnsi="Segoe UI" w:cs="Segoe UI"/>
          <w:sz w:val="22"/>
          <w:szCs w:val="22"/>
        </w:rPr>
      </w:pPr>
      <w:r>
        <w:rPr>
          <w:rFonts w:ascii="Segoe UI" w:hAnsi="Segoe UI" w:cs="Segoe UI"/>
          <w:sz w:val="22"/>
          <w:szCs w:val="22"/>
        </w:rPr>
        <w:t>By the end of the Autumn term,</w:t>
      </w:r>
      <w:r w:rsidR="007D664D">
        <w:rPr>
          <w:rFonts w:ascii="Segoe UI" w:hAnsi="Segoe UI" w:cs="Segoe UI"/>
          <w:sz w:val="22"/>
          <w:szCs w:val="22"/>
        </w:rPr>
        <w:t xml:space="preserve"> although IYSS showed that we were only on 71.5% participation compared to </w:t>
      </w:r>
      <w:r w:rsidR="007F2DF4">
        <w:rPr>
          <w:rFonts w:ascii="Segoe UI" w:hAnsi="Segoe UI" w:cs="Segoe UI"/>
          <w:sz w:val="22"/>
          <w:szCs w:val="22"/>
        </w:rPr>
        <w:t>79.5%</w:t>
      </w:r>
      <w:r w:rsidR="00A96C30">
        <w:rPr>
          <w:rFonts w:ascii="Segoe UI" w:hAnsi="Segoe UI" w:cs="Segoe UI"/>
          <w:sz w:val="22"/>
          <w:szCs w:val="22"/>
        </w:rPr>
        <w:t xml:space="preserve"> we had 5 students who had moved out of area (3.3%) and 5 students in employment/no training (3.3%) compared with 2 (1.1%) and 1 (0.5%) respectively. This gives us a 3% decrease on participation compared to last year.</w:t>
      </w:r>
    </w:p>
    <w:p w14:paraId="5372A9AB" w14:textId="3E600B25" w:rsidR="00A96C30" w:rsidRDefault="00A96C30" w:rsidP="005E1C3C">
      <w:pPr>
        <w:pStyle w:val="Heading2"/>
        <w:tabs>
          <w:tab w:val="left" w:pos="1268"/>
        </w:tabs>
        <w:spacing w:before="62"/>
        <w:ind w:left="479" w:firstLine="0"/>
        <w:rPr>
          <w:rFonts w:ascii="Segoe UI" w:hAnsi="Segoe UI" w:cs="Segoe UI"/>
          <w:sz w:val="22"/>
          <w:szCs w:val="22"/>
        </w:rPr>
      </w:pPr>
    </w:p>
    <w:p w14:paraId="05986196" w14:textId="293AE9F6" w:rsidR="00A96C30" w:rsidRDefault="00A96C30" w:rsidP="005E1C3C">
      <w:pPr>
        <w:pStyle w:val="Heading2"/>
        <w:tabs>
          <w:tab w:val="left" w:pos="1268"/>
        </w:tabs>
        <w:spacing w:before="62"/>
        <w:ind w:left="479" w:firstLine="0"/>
      </w:pPr>
      <w:r>
        <w:rPr>
          <w:rFonts w:ascii="Segoe UI" w:hAnsi="Segoe UI" w:cs="Segoe UI"/>
          <w:sz w:val="22"/>
          <w:szCs w:val="22"/>
        </w:rPr>
        <w:t>Overall, although out NEET figures are below last years and the previous year, they are well below what was expected of students from PRUs and APS.</w:t>
      </w:r>
    </w:p>
    <w:p w14:paraId="787891A7" w14:textId="33AA7C1C" w:rsidR="00B01773" w:rsidRDefault="00B01773" w:rsidP="00673587">
      <w:pPr>
        <w:pStyle w:val="Heading2"/>
        <w:tabs>
          <w:tab w:val="left" w:pos="1268"/>
        </w:tabs>
        <w:spacing w:before="62"/>
      </w:pPr>
    </w:p>
    <w:p w14:paraId="2E68141E" w14:textId="5376FCC4" w:rsidR="00B01773" w:rsidRDefault="008E0299" w:rsidP="00673587">
      <w:pPr>
        <w:pStyle w:val="Heading2"/>
        <w:tabs>
          <w:tab w:val="left" w:pos="1268"/>
        </w:tabs>
        <w:spacing w:before="62"/>
      </w:pPr>
      <w:r>
        <w:t>APPENDIX A</w:t>
      </w:r>
    </w:p>
    <w:p w14:paraId="16CBBFA6" w14:textId="218411FB" w:rsidR="008E0299" w:rsidRDefault="008E0299" w:rsidP="00673587">
      <w:pPr>
        <w:pStyle w:val="Heading2"/>
        <w:tabs>
          <w:tab w:val="left" w:pos="1268"/>
        </w:tabs>
        <w:spacing w:before="62"/>
      </w:pPr>
    </w:p>
    <w:p w14:paraId="7C0BDEE5" w14:textId="79071EEF" w:rsidR="008E0299" w:rsidRDefault="008E0299" w:rsidP="008E0299">
      <w:r>
        <w:t xml:space="preserve">Planned Activities Spend </w:t>
      </w:r>
    </w:p>
    <w:p w14:paraId="6E72EB2E" w14:textId="77777777" w:rsidR="008E0299" w:rsidRDefault="008E0299" w:rsidP="008E0299"/>
    <w:tbl>
      <w:tblPr>
        <w:tblStyle w:val="TableGrid"/>
        <w:tblW w:w="0" w:type="auto"/>
        <w:tblLook w:val="04A0" w:firstRow="1" w:lastRow="0" w:firstColumn="1" w:lastColumn="0" w:noHBand="0" w:noVBand="1"/>
      </w:tblPr>
      <w:tblGrid>
        <w:gridCol w:w="1901"/>
        <w:gridCol w:w="6454"/>
        <w:gridCol w:w="1255"/>
      </w:tblGrid>
      <w:tr w:rsidR="008E0299" w:rsidRPr="003A5BB4" w14:paraId="5AB733E6" w14:textId="77777777" w:rsidTr="008771DF">
        <w:tc>
          <w:tcPr>
            <w:tcW w:w="1980" w:type="dxa"/>
          </w:tcPr>
          <w:p w14:paraId="49B52471" w14:textId="77777777" w:rsidR="008E0299" w:rsidRPr="003A5BB4" w:rsidRDefault="008E0299" w:rsidP="008771DF">
            <w:pPr>
              <w:rPr>
                <w:rFonts w:eastAsia="Times New Roman"/>
                <w:b/>
                <w:color w:val="000000"/>
                <w:lang w:eastAsia="en-GB"/>
              </w:rPr>
            </w:pPr>
            <w:r w:rsidRPr="003A5BB4">
              <w:rPr>
                <w:rFonts w:eastAsia="Times New Roman"/>
                <w:b/>
                <w:color w:val="000000"/>
                <w:lang w:eastAsia="en-GB"/>
              </w:rPr>
              <w:t>Activity</w:t>
            </w:r>
          </w:p>
        </w:tc>
        <w:tc>
          <w:tcPr>
            <w:tcW w:w="7087" w:type="dxa"/>
          </w:tcPr>
          <w:p w14:paraId="4543F012" w14:textId="77777777" w:rsidR="008E0299" w:rsidRPr="003A5BB4" w:rsidRDefault="008E0299" w:rsidP="008771DF">
            <w:pPr>
              <w:rPr>
                <w:rFonts w:eastAsia="Times New Roman"/>
                <w:b/>
                <w:color w:val="000000"/>
                <w:lang w:eastAsia="en-GB"/>
              </w:rPr>
            </w:pPr>
            <w:r w:rsidRPr="003A5BB4">
              <w:rPr>
                <w:rFonts w:eastAsia="Times New Roman"/>
                <w:b/>
                <w:color w:val="000000"/>
                <w:lang w:eastAsia="en-GB"/>
              </w:rPr>
              <w:t>Description</w:t>
            </w:r>
          </w:p>
        </w:tc>
        <w:tc>
          <w:tcPr>
            <w:tcW w:w="1276" w:type="dxa"/>
          </w:tcPr>
          <w:p w14:paraId="5A5DC764" w14:textId="77777777" w:rsidR="008E0299" w:rsidRPr="003A5BB4" w:rsidRDefault="008E0299" w:rsidP="008771DF">
            <w:pPr>
              <w:rPr>
                <w:rFonts w:eastAsia="Times New Roman"/>
                <w:b/>
                <w:color w:val="000000"/>
                <w:lang w:eastAsia="en-GB"/>
              </w:rPr>
            </w:pPr>
            <w:r w:rsidRPr="003A5BB4">
              <w:rPr>
                <w:rFonts w:eastAsia="Times New Roman"/>
                <w:b/>
                <w:color w:val="000000"/>
                <w:lang w:eastAsia="en-GB"/>
              </w:rPr>
              <w:t>Cost</w:t>
            </w:r>
          </w:p>
        </w:tc>
      </w:tr>
      <w:tr w:rsidR="008E0299" w:rsidRPr="003A5BB4" w14:paraId="1A21020E" w14:textId="77777777" w:rsidTr="008771DF">
        <w:tc>
          <w:tcPr>
            <w:tcW w:w="1980" w:type="dxa"/>
          </w:tcPr>
          <w:p w14:paraId="414EDFF6"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Back-fill for KS4 Assistant Head</w:t>
            </w:r>
          </w:p>
        </w:tc>
        <w:tc>
          <w:tcPr>
            <w:tcW w:w="7087" w:type="dxa"/>
          </w:tcPr>
          <w:p w14:paraId="09F2BF4E"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Management of the project. Liaison with Career Connect. Monitoring of IYSS database. Pupil voice activities and analysis of results for students who ‘churn’. Single point of contact for Centre Managers and Manchester College liaison.</w:t>
            </w:r>
          </w:p>
        </w:tc>
        <w:tc>
          <w:tcPr>
            <w:tcW w:w="1276" w:type="dxa"/>
          </w:tcPr>
          <w:p w14:paraId="40A1CC22"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£7800 (supply cover)</w:t>
            </w:r>
          </w:p>
        </w:tc>
      </w:tr>
      <w:tr w:rsidR="008E0299" w:rsidRPr="003A5BB4" w14:paraId="06E131CD" w14:textId="77777777" w:rsidTr="008771DF">
        <w:tc>
          <w:tcPr>
            <w:tcW w:w="1980" w:type="dxa"/>
          </w:tcPr>
          <w:p w14:paraId="7F58946B"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Back-fil for MSPRU Mentor</w:t>
            </w:r>
          </w:p>
        </w:tc>
        <w:tc>
          <w:tcPr>
            <w:tcW w:w="7087" w:type="dxa"/>
          </w:tcPr>
          <w:p w14:paraId="0442DC10"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First day contact for any pupil who is not mentored via one of the other activities. Engagement of pupils who fail to register for a Post-16 destination. Engagement of pupils who fail to sustain their destination and become NEET.</w:t>
            </w:r>
          </w:p>
        </w:tc>
        <w:tc>
          <w:tcPr>
            <w:tcW w:w="1276" w:type="dxa"/>
          </w:tcPr>
          <w:p w14:paraId="140109C9"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£3000 (supply cover, if required)</w:t>
            </w:r>
          </w:p>
        </w:tc>
      </w:tr>
      <w:tr w:rsidR="008E0299" w:rsidRPr="003A5BB4" w14:paraId="0487B5BE" w14:textId="77777777" w:rsidTr="008771DF">
        <w:tc>
          <w:tcPr>
            <w:tcW w:w="1980" w:type="dxa"/>
          </w:tcPr>
          <w:p w14:paraId="0840276B"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Music Stuff</w:t>
            </w:r>
          </w:p>
        </w:tc>
        <w:tc>
          <w:tcPr>
            <w:tcW w:w="7087" w:type="dxa"/>
          </w:tcPr>
          <w:p w14:paraId="2034F237"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Summer engagement programme to include face-to-face support provided by three engagement workers on a tiered basis for up to 32 students.</w:t>
            </w:r>
          </w:p>
          <w:p w14:paraId="2A3CE041"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 xml:space="preserve">Dedicated single point of contact for all Music Stuff Year 11 leavers from September. Action planning and target setting for students who need personalised ‘Careers’ support. Tracking and monitoring of all students. </w:t>
            </w:r>
          </w:p>
        </w:tc>
        <w:tc>
          <w:tcPr>
            <w:tcW w:w="1276" w:type="dxa"/>
          </w:tcPr>
          <w:p w14:paraId="7C73E0E5" w14:textId="4E6FE5AB" w:rsidR="008E0299" w:rsidRPr="003A5BB4" w:rsidRDefault="008E0299" w:rsidP="008771DF">
            <w:pPr>
              <w:rPr>
                <w:rFonts w:eastAsia="Times New Roman"/>
                <w:color w:val="000000"/>
                <w:lang w:eastAsia="en-GB"/>
              </w:rPr>
            </w:pPr>
            <w:r>
              <w:rPr>
                <w:rFonts w:eastAsia="Times New Roman"/>
                <w:color w:val="000000"/>
                <w:lang w:eastAsia="en-GB"/>
              </w:rPr>
              <w:t>£19875</w:t>
            </w:r>
          </w:p>
        </w:tc>
      </w:tr>
      <w:tr w:rsidR="008E0299" w:rsidRPr="003A5BB4" w14:paraId="4658E0C2" w14:textId="77777777" w:rsidTr="008771DF">
        <w:tc>
          <w:tcPr>
            <w:tcW w:w="1980" w:type="dxa"/>
          </w:tcPr>
          <w:p w14:paraId="6553F9EF"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Edstart</w:t>
            </w:r>
          </w:p>
        </w:tc>
        <w:tc>
          <w:tcPr>
            <w:tcW w:w="7087" w:type="dxa"/>
          </w:tcPr>
          <w:p w14:paraId="61A843B4"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Summer engagement programme involving both ‘Careers’ support and sporting engagement activities. Ongoing tracking/support for 4 Year 11 leavers throughout the first autumn half-term.</w:t>
            </w:r>
          </w:p>
        </w:tc>
        <w:tc>
          <w:tcPr>
            <w:tcW w:w="1276" w:type="dxa"/>
          </w:tcPr>
          <w:p w14:paraId="0F3A303A" w14:textId="04878A6B" w:rsidR="008E0299" w:rsidRPr="003A5BB4" w:rsidRDefault="008E0299" w:rsidP="008771DF">
            <w:pPr>
              <w:rPr>
                <w:rFonts w:eastAsia="Times New Roman"/>
                <w:color w:val="000000"/>
                <w:lang w:eastAsia="en-GB"/>
              </w:rPr>
            </w:pPr>
            <w:r>
              <w:rPr>
                <w:rFonts w:eastAsia="Times New Roman"/>
                <w:color w:val="000000"/>
                <w:lang w:eastAsia="en-GB"/>
              </w:rPr>
              <w:t>£2250</w:t>
            </w:r>
          </w:p>
        </w:tc>
      </w:tr>
      <w:tr w:rsidR="008E0299" w:rsidRPr="003A5BB4" w14:paraId="55F42483" w14:textId="77777777" w:rsidTr="008771DF">
        <w:tc>
          <w:tcPr>
            <w:tcW w:w="1980" w:type="dxa"/>
          </w:tcPr>
          <w:p w14:paraId="5AB35B73"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The Manchester College</w:t>
            </w:r>
          </w:p>
        </w:tc>
        <w:tc>
          <w:tcPr>
            <w:tcW w:w="7087" w:type="dxa"/>
          </w:tcPr>
          <w:p w14:paraId="2DC836FA"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Summer – Keep Warm activities delivered by a trusted adult. Early enrolment.</w:t>
            </w:r>
          </w:p>
          <w:p w14:paraId="74F1D362"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Autumn term – Dedicated member of TMC staff to act as a Transition Coach, tracking up to 100 students across the College’s range of courses. Build relationships with course tutors and be able to signpost Student Experience Workers to support MSPRU students who are in danger of falling off a course. If a student does want to change course, to support this process from within the College.</w:t>
            </w:r>
          </w:p>
        </w:tc>
        <w:tc>
          <w:tcPr>
            <w:tcW w:w="1276" w:type="dxa"/>
          </w:tcPr>
          <w:p w14:paraId="7C474A23" w14:textId="3102117B" w:rsidR="008E0299" w:rsidRPr="003A5BB4" w:rsidRDefault="008E0299" w:rsidP="008771DF">
            <w:pPr>
              <w:rPr>
                <w:rFonts w:eastAsia="Times New Roman"/>
                <w:color w:val="000000"/>
                <w:lang w:eastAsia="en-GB"/>
              </w:rPr>
            </w:pPr>
            <w:r>
              <w:rPr>
                <w:rFonts w:eastAsia="Times New Roman"/>
                <w:color w:val="000000"/>
                <w:lang w:eastAsia="en-GB"/>
              </w:rPr>
              <w:t>19898</w:t>
            </w:r>
          </w:p>
        </w:tc>
      </w:tr>
      <w:tr w:rsidR="008E0299" w:rsidRPr="003A5BB4" w14:paraId="62366D77" w14:textId="77777777" w:rsidTr="008771DF">
        <w:tc>
          <w:tcPr>
            <w:tcW w:w="1980" w:type="dxa"/>
          </w:tcPr>
          <w:p w14:paraId="1229A2EA" w14:textId="77777777" w:rsidR="008E0299" w:rsidRPr="003A5BB4" w:rsidRDefault="008E0299" w:rsidP="008771DF">
            <w:pPr>
              <w:rPr>
                <w:rFonts w:eastAsia="Times New Roman"/>
                <w:color w:val="000000"/>
                <w:lang w:eastAsia="en-GB"/>
              </w:rPr>
            </w:pPr>
            <w:r>
              <w:rPr>
                <w:rFonts w:eastAsia="Times New Roman"/>
                <w:color w:val="000000"/>
                <w:lang w:eastAsia="en-GB"/>
              </w:rPr>
              <w:t>MYL</w:t>
            </w:r>
          </w:p>
        </w:tc>
        <w:tc>
          <w:tcPr>
            <w:tcW w:w="7087" w:type="dxa"/>
          </w:tcPr>
          <w:p w14:paraId="625B9F02" w14:textId="77777777" w:rsidR="008E0299" w:rsidRPr="003A5BB4" w:rsidRDefault="008E0299" w:rsidP="008771DF">
            <w:pPr>
              <w:rPr>
                <w:rFonts w:eastAsia="Times New Roman"/>
                <w:color w:val="000000"/>
                <w:lang w:eastAsia="en-GB"/>
              </w:rPr>
            </w:pPr>
            <w:r>
              <w:rPr>
                <w:rFonts w:eastAsia="Times New Roman"/>
                <w:color w:val="000000"/>
                <w:lang w:eastAsia="en-GB"/>
              </w:rPr>
              <w:t>3 tiered approach to Summer Engagement programme, with continuation through the Autumn term and into January 2021. This will consist of weekly phone calls, to tier 1 students, with any students requiring extra support, receiving face to face interviews. Any student that is at risk of becoming NEET, will be supported by MYL Engagement team.</w:t>
            </w:r>
          </w:p>
        </w:tc>
        <w:tc>
          <w:tcPr>
            <w:tcW w:w="1276" w:type="dxa"/>
          </w:tcPr>
          <w:p w14:paraId="6FEFEBD0" w14:textId="2B92DA45" w:rsidR="008E0299" w:rsidRPr="003A5BB4" w:rsidRDefault="008E0299" w:rsidP="008771DF">
            <w:pPr>
              <w:rPr>
                <w:rFonts w:eastAsia="Times New Roman"/>
                <w:color w:val="000000"/>
                <w:lang w:eastAsia="en-GB"/>
              </w:rPr>
            </w:pPr>
            <w:r>
              <w:rPr>
                <w:rFonts w:eastAsia="Times New Roman"/>
                <w:color w:val="000000"/>
                <w:lang w:eastAsia="en-GB"/>
              </w:rPr>
              <w:t>£9750</w:t>
            </w:r>
          </w:p>
        </w:tc>
      </w:tr>
      <w:tr w:rsidR="008E0299" w:rsidRPr="003A5BB4" w14:paraId="5F0858FE" w14:textId="77777777" w:rsidTr="008771DF">
        <w:tc>
          <w:tcPr>
            <w:tcW w:w="1980" w:type="dxa"/>
          </w:tcPr>
          <w:p w14:paraId="5D126571"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MSPRU SEND/LAC students</w:t>
            </w:r>
          </w:p>
        </w:tc>
        <w:tc>
          <w:tcPr>
            <w:tcW w:w="7087" w:type="dxa"/>
          </w:tcPr>
          <w:p w14:paraId="25CA7984"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Summer engagement programme for 15 students. Boxing and music. Support for ‘Prep for Working Life’.</w:t>
            </w:r>
          </w:p>
          <w:p w14:paraId="63A49225"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4x once weekly check-up in September to provide structured support/coaching, the outcomes of which would be reported to MSPRU.</w:t>
            </w:r>
          </w:p>
          <w:p w14:paraId="3B878370"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This programme comes with an MMU 12 month impact evaluation report.</w:t>
            </w:r>
          </w:p>
        </w:tc>
        <w:tc>
          <w:tcPr>
            <w:tcW w:w="1276" w:type="dxa"/>
          </w:tcPr>
          <w:p w14:paraId="58CA2C0A" w14:textId="5687D8A6" w:rsidR="008E0299" w:rsidRPr="003A5BB4" w:rsidRDefault="008E0299" w:rsidP="008771DF">
            <w:pPr>
              <w:rPr>
                <w:rFonts w:eastAsia="Times New Roman"/>
                <w:color w:val="000000"/>
                <w:lang w:eastAsia="en-GB"/>
              </w:rPr>
            </w:pPr>
            <w:r>
              <w:rPr>
                <w:rFonts w:eastAsia="Times New Roman"/>
                <w:color w:val="000000"/>
                <w:lang w:eastAsia="en-GB"/>
              </w:rPr>
              <w:t>£8925</w:t>
            </w:r>
          </w:p>
        </w:tc>
      </w:tr>
      <w:tr w:rsidR="008E0299" w:rsidRPr="003A5BB4" w14:paraId="0BAD4FE7" w14:textId="77777777" w:rsidTr="008771DF">
        <w:tc>
          <w:tcPr>
            <w:tcW w:w="1980" w:type="dxa"/>
          </w:tcPr>
          <w:p w14:paraId="5E4AEE8D"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Prince’s Trust</w:t>
            </w:r>
          </w:p>
        </w:tc>
        <w:tc>
          <w:tcPr>
            <w:tcW w:w="7087" w:type="dxa"/>
          </w:tcPr>
          <w:p w14:paraId="7BAE6EBC"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Summer engagement programme only for up to 10 students</w:t>
            </w:r>
          </w:p>
        </w:tc>
        <w:tc>
          <w:tcPr>
            <w:tcW w:w="1276" w:type="dxa"/>
          </w:tcPr>
          <w:p w14:paraId="6DDB287E" w14:textId="77777777" w:rsidR="008E0299" w:rsidRPr="003A5BB4" w:rsidRDefault="008E0299" w:rsidP="008771DF">
            <w:pPr>
              <w:rPr>
                <w:rFonts w:eastAsia="Times New Roman"/>
                <w:color w:val="000000"/>
                <w:lang w:eastAsia="en-GB"/>
              </w:rPr>
            </w:pPr>
            <w:r w:rsidRPr="003A5BB4">
              <w:rPr>
                <w:rFonts w:eastAsia="Times New Roman"/>
                <w:color w:val="000000"/>
                <w:lang w:eastAsia="en-GB"/>
              </w:rPr>
              <w:t>No cost</w:t>
            </w:r>
          </w:p>
        </w:tc>
      </w:tr>
      <w:tr w:rsidR="008E0299" w:rsidRPr="003A5BB4" w14:paraId="1B72F598" w14:textId="77777777" w:rsidTr="008771DF">
        <w:tc>
          <w:tcPr>
            <w:tcW w:w="1980" w:type="dxa"/>
          </w:tcPr>
          <w:p w14:paraId="12DF1A93" w14:textId="77777777" w:rsidR="008E0299" w:rsidRPr="003A5BB4" w:rsidRDefault="008E0299" w:rsidP="008771DF">
            <w:pPr>
              <w:rPr>
                <w:rFonts w:eastAsia="Times New Roman"/>
                <w:color w:val="000000"/>
                <w:lang w:eastAsia="en-GB"/>
              </w:rPr>
            </w:pPr>
          </w:p>
        </w:tc>
        <w:tc>
          <w:tcPr>
            <w:tcW w:w="7087" w:type="dxa"/>
          </w:tcPr>
          <w:p w14:paraId="140B4216" w14:textId="77777777" w:rsidR="008E0299" w:rsidRPr="003A5BB4" w:rsidRDefault="008E0299" w:rsidP="008771DF">
            <w:pPr>
              <w:jc w:val="right"/>
              <w:rPr>
                <w:rFonts w:eastAsia="Times New Roman"/>
                <w:b/>
                <w:color w:val="000000"/>
                <w:lang w:eastAsia="en-GB"/>
              </w:rPr>
            </w:pPr>
            <w:r w:rsidRPr="003A5BB4">
              <w:rPr>
                <w:rFonts w:eastAsia="Times New Roman"/>
                <w:b/>
                <w:color w:val="000000"/>
                <w:lang w:eastAsia="en-GB"/>
              </w:rPr>
              <w:t>Total</w:t>
            </w:r>
          </w:p>
        </w:tc>
        <w:tc>
          <w:tcPr>
            <w:tcW w:w="1276" w:type="dxa"/>
          </w:tcPr>
          <w:p w14:paraId="0EF300D0" w14:textId="5777FD1B" w:rsidR="008E0299" w:rsidRPr="003A5BB4" w:rsidRDefault="008E0299" w:rsidP="008771DF">
            <w:pPr>
              <w:rPr>
                <w:rFonts w:eastAsia="Times New Roman"/>
                <w:color w:val="000000"/>
                <w:lang w:eastAsia="en-GB"/>
              </w:rPr>
            </w:pPr>
            <w:r>
              <w:rPr>
                <w:rFonts w:eastAsia="Times New Roman"/>
                <w:color w:val="000000"/>
                <w:lang w:eastAsia="en-GB"/>
              </w:rPr>
              <w:t>£71,508</w:t>
            </w:r>
          </w:p>
        </w:tc>
      </w:tr>
    </w:tbl>
    <w:p w14:paraId="24448D61" w14:textId="77777777" w:rsidR="008E0299" w:rsidRDefault="008E0299" w:rsidP="008E0299"/>
    <w:p w14:paraId="62B29962" w14:textId="77777777" w:rsidR="008E0299" w:rsidRDefault="008E0299" w:rsidP="00673587">
      <w:pPr>
        <w:pStyle w:val="Heading2"/>
        <w:tabs>
          <w:tab w:val="left" w:pos="1268"/>
        </w:tabs>
        <w:spacing w:before="62"/>
      </w:pPr>
    </w:p>
    <w:p w14:paraId="317796A9" w14:textId="77777777" w:rsidR="008E0299" w:rsidRDefault="008E0299" w:rsidP="00673587">
      <w:pPr>
        <w:pStyle w:val="Heading2"/>
        <w:tabs>
          <w:tab w:val="left" w:pos="1268"/>
        </w:tabs>
        <w:spacing w:before="62"/>
      </w:pPr>
    </w:p>
    <w:p w14:paraId="2A599018" w14:textId="77777777" w:rsidR="008E0299" w:rsidRDefault="008E0299" w:rsidP="00673587">
      <w:pPr>
        <w:pStyle w:val="Heading2"/>
        <w:tabs>
          <w:tab w:val="left" w:pos="1268"/>
        </w:tabs>
        <w:spacing w:before="62"/>
      </w:pPr>
    </w:p>
    <w:p w14:paraId="3030FF0E" w14:textId="77777777" w:rsidR="008E0299" w:rsidRDefault="008E0299" w:rsidP="00673587">
      <w:pPr>
        <w:pStyle w:val="Heading2"/>
        <w:tabs>
          <w:tab w:val="left" w:pos="1268"/>
        </w:tabs>
        <w:spacing w:before="62"/>
      </w:pPr>
    </w:p>
    <w:p w14:paraId="686597E0" w14:textId="77777777" w:rsidR="008E0299" w:rsidRDefault="008E0299" w:rsidP="00673587">
      <w:pPr>
        <w:pStyle w:val="Heading2"/>
        <w:tabs>
          <w:tab w:val="left" w:pos="1268"/>
        </w:tabs>
        <w:spacing w:before="62"/>
      </w:pPr>
    </w:p>
    <w:p w14:paraId="02E11D53" w14:textId="77777777" w:rsidR="008E0299" w:rsidRDefault="008E0299" w:rsidP="00673587">
      <w:pPr>
        <w:pStyle w:val="Heading2"/>
        <w:tabs>
          <w:tab w:val="left" w:pos="1268"/>
        </w:tabs>
        <w:spacing w:before="62"/>
      </w:pPr>
    </w:p>
    <w:p w14:paraId="4764E55E" w14:textId="77777777" w:rsidR="008E0299" w:rsidRDefault="008E0299" w:rsidP="00673587">
      <w:pPr>
        <w:pStyle w:val="Heading2"/>
        <w:tabs>
          <w:tab w:val="left" w:pos="1268"/>
        </w:tabs>
        <w:spacing w:before="62"/>
      </w:pPr>
    </w:p>
    <w:p w14:paraId="2FA9936C" w14:textId="77777777" w:rsidR="008E0299" w:rsidRDefault="008E0299" w:rsidP="00673587">
      <w:pPr>
        <w:pStyle w:val="Heading2"/>
        <w:tabs>
          <w:tab w:val="left" w:pos="1268"/>
        </w:tabs>
        <w:spacing w:before="62"/>
      </w:pPr>
    </w:p>
    <w:p w14:paraId="0EEDD6F5" w14:textId="77777777" w:rsidR="008E0299" w:rsidRDefault="008E0299" w:rsidP="00673587">
      <w:pPr>
        <w:pStyle w:val="Heading2"/>
        <w:tabs>
          <w:tab w:val="left" w:pos="1268"/>
        </w:tabs>
        <w:spacing w:before="62"/>
      </w:pPr>
    </w:p>
    <w:p w14:paraId="4B6D09A6" w14:textId="77777777" w:rsidR="008E0299" w:rsidRDefault="008E0299" w:rsidP="00673587">
      <w:pPr>
        <w:pStyle w:val="Heading2"/>
        <w:tabs>
          <w:tab w:val="left" w:pos="1268"/>
        </w:tabs>
        <w:spacing w:before="62"/>
      </w:pPr>
    </w:p>
    <w:p w14:paraId="00FFFBFB" w14:textId="77777777" w:rsidR="008E0299" w:rsidRDefault="008E0299" w:rsidP="00673587">
      <w:pPr>
        <w:pStyle w:val="Heading2"/>
        <w:tabs>
          <w:tab w:val="left" w:pos="1268"/>
        </w:tabs>
        <w:spacing w:before="62"/>
      </w:pPr>
    </w:p>
    <w:p w14:paraId="7C0325CF" w14:textId="77777777" w:rsidR="008E0299" w:rsidRDefault="008E0299" w:rsidP="00673587">
      <w:pPr>
        <w:pStyle w:val="Heading2"/>
        <w:tabs>
          <w:tab w:val="left" w:pos="1268"/>
        </w:tabs>
        <w:spacing w:before="62"/>
      </w:pPr>
    </w:p>
    <w:p w14:paraId="4E9B5F6C" w14:textId="77777777" w:rsidR="008E0299" w:rsidRDefault="008E0299" w:rsidP="00673587">
      <w:pPr>
        <w:pStyle w:val="Heading2"/>
        <w:tabs>
          <w:tab w:val="left" w:pos="1268"/>
        </w:tabs>
        <w:spacing w:before="62"/>
      </w:pPr>
    </w:p>
    <w:p w14:paraId="1448CD1A" w14:textId="77777777" w:rsidR="008E0299" w:rsidRDefault="008E0299" w:rsidP="00673587">
      <w:pPr>
        <w:pStyle w:val="Heading2"/>
        <w:tabs>
          <w:tab w:val="left" w:pos="1268"/>
        </w:tabs>
        <w:spacing w:before="62"/>
      </w:pPr>
    </w:p>
    <w:p w14:paraId="054987EC" w14:textId="77777777" w:rsidR="008E0299" w:rsidRDefault="008E0299" w:rsidP="00673587">
      <w:pPr>
        <w:pStyle w:val="Heading2"/>
        <w:tabs>
          <w:tab w:val="left" w:pos="1268"/>
        </w:tabs>
        <w:spacing w:before="62"/>
      </w:pPr>
    </w:p>
    <w:p w14:paraId="43DF132A" w14:textId="77777777" w:rsidR="008E0299" w:rsidRDefault="008E0299" w:rsidP="00673587">
      <w:pPr>
        <w:pStyle w:val="Heading2"/>
        <w:tabs>
          <w:tab w:val="left" w:pos="1268"/>
        </w:tabs>
        <w:spacing w:before="62"/>
      </w:pPr>
    </w:p>
    <w:p w14:paraId="6F9079AF" w14:textId="77777777" w:rsidR="008E0299" w:rsidRDefault="008E0299" w:rsidP="00673587">
      <w:pPr>
        <w:pStyle w:val="Heading2"/>
        <w:tabs>
          <w:tab w:val="left" w:pos="1268"/>
        </w:tabs>
        <w:spacing w:before="62"/>
      </w:pPr>
    </w:p>
    <w:p w14:paraId="5217ABE3" w14:textId="77777777" w:rsidR="008E0299" w:rsidRDefault="008E0299" w:rsidP="00673587">
      <w:pPr>
        <w:pStyle w:val="Heading2"/>
        <w:tabs>
          <w:tab w:val="left" w:pos="1268"/>
        </w:tabs>
        <w:spacing w:before="62"/>
      </w:pPr>
    </w:p>
    <w:p w14:paraId="72DECB65" w14:textId="77777777" w:rsidR="008E0299" w:rsidRDefault="008E0299" w:rsidP="00673587">
      <w:pPr>
        <w:pStyle w:val="Heading2"/>
        <w:tabs>
          <w:tab w:val="left" w:pos="1268"/>
        </w:tabs>
        <w:spacing w:before="62"/>
      </w:pPr>
    </w:p>
    <w:p w14:paraId="3F4C0D76" w14:textId="77777777" w:rsidR="008E0299" w:rsidRDefault="008E0299" w:rsidP="00673587">
      <w:pPr>
        <w:pStyle w:val="Heading2"/>
        <w:tabs>
          <w:tab w:val="left" w:pos="1268"/>
        </w:tabs>
        <w:spacing w:before="62"/>
      </w:pPr>
    </w:p>
    <w:p w14:paraId="08A4AF98" w14:textId="77777777" w:rsidR="008E0299" w:rsidRDefault="008E0299" w:rsidP="00673587">
      <w:pPr>
        <w:pStyle w:val="Heading2"/>
        <w:tabs>
          <w:tab w:val="left" w:pos="1268"/>
        </w:tabs>
        <w:spacing w:before="62"/>
      </w:pPr>
    </w:p>
    <w:p w14:paraId="2A651A50" w14:textId="77777777" w:rsidR="008E0299" w:rsidRDefault="008E0299" w:rsidP="00673587">
      <w:pPr>
        <w:pStyle w:val="Heading2"/>
        <w:tabs>
          <w:tab w:val="left" w:pos="1268"/>
        </w:tabs>
        <w:spacing w:before="62"/>
      </w:pPr>
    </w:p>
    <w:p w14:paraId="73705B69" w14:textId="77777777" w:rsidR="008E0299" w:rsidRDefault="008E0299" w:rsidP="00673587">
      <w:pPr>
        <w:pStyle w:val="Heading2"/>
        <w:tabs>
          <w:tab w:val="left" w:pos="1268"/>
        </w:tabs>
        <w:spacing w:before="62"/>
      </w:pPr>
    </w:p>
    <w:p w14:paraId="3554682C" w14:textId="2D35456A" w:rsidR="008E0299" w:rsidRDefault="008E0299" w:rsidP="008E0299">
      <w:pPr>
        <w:pStyle w:val="Heading2"/>
        <w:tabs>
          <w:tab w:val="left" w:pos="1268"/>
        </w:tabs>
        <w:spacing w:before="62"/>
        <w:ind w:left="0" w:firstLine="0"/>
      </w:pPr>
    </w:p>
    <w:p w14:paraId="1AF67200" w14:textId="77777777" w:rsidR="008E0299" w:rsidRDefault="008E0299" w:rsidP="00673587">
      <w:pPr>
        <w:pStyle w:val="Heading2"/>
        <w:tabs>
          <w:tab w:val="left" w:pos="1268"/>
        </w:tabs>
        <w:spacing w:before="62"/>
      </w:pPr>
    </w:p>
    <w:p w14:paraId="3425855E" w14:textId="60F7578B" w:rsidR="00B01773" w:rsidRDefault="008E0299" w:rsidP="00673587">
      <w:pPr>
        <w:pStyle w:val="Heading2"/>
        <w:tabs>
          <w:tab w:val="left" w:pos="1268"/>
        </w:tabs>
        <w:spacing w:before="62"/>
      </w:pPr>
      <w:r>
        <w:t>APPENDIX B</w:t>
      </w:r>
    </w:p>
    <w:p w14:paraId="0BE647B1" w14:textId="2C4AF5D2" w:rsidR="008E0299" w:rsidRDefault="008E0299" w:rsidP="00673587">
      <w:pPr>
        <w:pStyle w:val="Heading2"/>
        <w:tabs>
          <w:tab w:val="left" w:pos="1268"/>
        </w:tabs>
        <w:spacing w:before="62"/>
      </w:pPr>
    </w:p>
    <w:p w14:paraId="52C545CA" w14:textId="7F328136" w:rsidR="008E0299" w:rsidRDefault="008E0299" w:rsidP="00673587">
      <w:pPr>
        <w:pStyle w:val="Heading2"/>
        <w:tabs>
          <w:tab w:val="left" w:pos="1268"/>
        </w:tabs>
        <w:spacing w:before="62"/>
      </w:pPr>
      <w:r>
        <w:t>Contact Log.</w:t>
      </w:r>
    </w:p>
    <w:p w14:paraId="50D6FBF2" w14:textId="77777777" w:rsidR="00B01773" w:rsidRPr="00866E81" w:rsidRDefault="00B01773" w:rsidP="00673587">
      <w:pPr>
        <w:pStyle w:val="Heading2"/>
        <w:tabs>
          <w:tab w:val="left" w:pos="1268"/>
        </w:tabs>
        <w:spacing w:before="62"/>
      </w:pPr>
    </w:p>
    <w:tbl>
      <w:tblPr>
        <w:tblW w:w="7933" w:type="dxa"/>
        <w:tblCellMar>
          <w:left w:w="10" w:type="dxa"/>
          <w:right w:w="10" w:type="dxa"/>
        </w:tblCellMar>
        <w:tblLook w:val="0000" w:firstRow="0" w:lastRow="0" w:firstColumn="0" w:lastColumn="0" w:noHBand="0" w:noVBand="0"/>
      </w:tblPr>
      <w:tblGrid>
        <w:gridCol w:w="2547"/>
        <w:gridCol w:w="1701"/>
        <w:gridCol w:w="1843"/>
        <w:gridCol w:w="1842"/>
      </w:tblGrid>
      <w:tr w:rsidR="004D5003" w14:paraId="47A4FEED"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6BD92" w14:textId="77777777" w:rsidR="004D5003" w:rsidRDefault="004D5003" w:rsidP="00673587">
            <w:pPr>
              <w:spacing w:line="300" w:lineRule="exact"/>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536501" w14:textId="77777777" w:rsidR="004D5003" w:rsidRDefault="004D5003" w:rsidP="00673587">
            <w:pPr>
              <w:spacing w:line="300" w:lineRule="exact"/>
              <w:rPr>
                <w:sz w:val="24"/>
                <w:szCs w:val="24"/>
              </w:rPr>
            </w:pPr>
            <w:r>
              <w:rPr>
                <w:sz w:val="24"/>
                <w:szCs w:val="24"/>
              </w:rPr>
              <w:t>Sept 2020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569E79" w14:textId="77777777" w:rsidR="004D5003" w:rsidRDefault="004D5003" w:rsidP="00673587">
            <w:pPr>
              <w:spacing w:line="300" w:lineRule="exact"/>
              <w:rPr>
                <w:sz w:val="24"/>
                <w:szCs w:val="24"/>
              </w:rPr>
            </w:pPr>
            <w:r>
              <w:rPr>
                <w:sz w:val="24"/>
                <w:szCs w:val="24"/>
              </w:rPr>
              <w:t>OCT 2020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A49E6" w14:textId="77777777" w:rsidR="004D5003" w:rsidRDefault="004D5003" w:rsidP="00673587">
            <w:pPr>
              <w:spacing w:line="300" w:lineRule="exact"/>
              <w:rPr>
                <w:sz w:val="24"/>
                <w:szCs w:val="24"/>
              </w:rPr>
            </w:pPr>
            <w:r>
              <w:rPr>
                <w:sz w:val="24"/>
                <w:szCs w:val="24"/>
              </w:rPr>
              <w:t>Nov - Dec</w:t>
            </w:r>
          </w:p>
        </w:tc>
      </w:tr>
      <w:tr w:rsidR="004D5003" w14:paraId="55400C36"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D493E8" w14:textId="77777777" w:rsidR="004D5003" w:rsidRDefault="004D5003" w:rsidP="00673587">
            <w:pPr>
              <w:spacing w:line="300" w:lineRule="exact"/>
              <w:rPr>
                <w:sz w:val="24"/>
                <w:szCs w:val="24"/>
              </w:rPr>
            </w:pPr>
            <w:r>
              <w:rPr>
                <w:sz w:val="24"/>
                <w:szCs w:val="24"/>
              </w:rPr>
              <w:t>Telephone calls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3ADB89" w14:textId="48D49755" w:rsidR="004D5003" w:rsidRDefault="004D5003" w:rsidP="00673587">
            <w:pPr>
              <w:spacing w:line="300" w:lineRule="exact"/>
              <w:rPr>
                <w:sz w:val="24"/>
                <w:szCs w:val="24"/>
              </w:rPr>
            </w:pPr>
            <w:r>
              <w:rPr>
                <w:sz w:val="24"/>
                <w:szCs w:val="24"/>
              </w:rPr>
              <w:t>533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04EFB6" w14:textId="50770E30" w:rsidR="004D5003" w:rsidRDefault="004D5003" w:rsidP="00673587">
            <w:pPr>
              <w:spacing w:line="300" w:lineRule="exact"/>
              <w:rPr>
                <w:sz w:val="24"/>
                <w:szCs w:val="24"/>
              </w:rPr>
            </w:pPr>
            <w:r>
              <w:rPr>
                <w:sz w:val="24"/>
                <w:szCs w:val="24"/>
              </w:rPr>
              <w:t>495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6CE3E6" w14:textId="7DD0961C" w:rsidR="004D5003" w:rsidRDefault="004D5003" w:rsidP="00673587">
            <w:pPr>
              <w:spacing w:line="300" w:lineRule="exact"/>
              <w:rPr>
                <w:sz w:val="24"/>
                <w:szCs w:val="24"/>
              </w:rPr>
            </w:pPr>
            <w:r>
              <w:rPr>
                <w:sz w:val="24"/>
                <w:szCs w:val="24"/>
              </w:rPr>
              <w:t>696</w:t>
            </w:r>
          </w:p>
        </w:tc>
      </w:tr>
      <w:tr w:rsidR="004D5003" w14:paraId="12CADB39"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2169A2" w14:textId="77777777" w:rsidR="004D5003" w:rsidRPr="003830A1" w:rsidRDefault="004D5003" w:rsidP="00673587">
            <w:pPr>
              <w:spacing w:line="300" w:lineRule="exact"/>
              <w:rPr>
                <w:b/>
                <w:sz w:val="24"/>
                <w:szCs w:val="24"/>
              </w:rPr>
            </w:pPr>
            <w:r w:rsidRPr="003830A1">
              <w:rPr>
                <w:b/>
                <w:sz w:val="24"/>
                <w:szCs w:val="24"/>
              </w:rPr>
              <w:t>Emails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DE228D"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E045A1" w14:textId="77777777" w:rsidR="004D5003" w:rsidRDefault="004D5003" w:rsidP="00673587">
            <w:pPr>
              <w:spacing w:line="300" w:lineRule="exact"/>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DBF31F" w14:textId="77777777" w:rsidR="004D5003" w:rsidRDefault="004D5003" w:rsidP="00673587">
            <w:pPr>
              <w:spacing w:line="300" w:lineRule="exact"/>
              <w:rPr>
                <w:sz w:val="24"/>
                <w:szCs w:val="24"/>
              </w:rPr>
            </w:pPr>
          </w:p>
        </w:tc>
      </w:tr>
      <w:tr w:rsidR="004D5003" w14:paraId="4CC75FFF"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48C29F" w14:textId="77777777" w:rsidR="004D5003" w:rsidRDefault="004D5003" w:rsidP="00673587">
            <w:pPr>
              <w:spacing w:line="300" w:lineRule="exact"/>
              <w:rPr>
                <w:sz w:val="24"/>
                <w:szCs w:val="24"/>
              </w:rPr>
            </w:pPr>
            <w:r>
              <w:rPr>
                <w:sz w:val="24"/>
                <w:szCs w:val="24"/>
              </w:rPr>
              <w:t>Young People</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5F07FC" w14:textId="77777777" w:rsidR="004D5003" w:rsidRDefault="004D5003" w:rsidP="00673587">
            <w:pPr>
              <w:spacing w:line="300" w:lineRule="exact"/>
              <w:rPr>
                <w:sz w:val="24"/>
                <w:szCs w:val="24"/>
              </w:rPr>
            </w:pPr>
            <w:r>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C20732" w14:textId="77777777" w:rsidR="004D5003" w:rsidRDefault="004D5003" w:rsidP="00673587">
            <w:pPr>
              <w:spacing w:line="300" w:lineRule="exact"/>
              <w:rPr>
                <w:sz w:val="24"/>
                <w:szCs w:val="24"/>
              </w:rPr>
            </w:pPr>
            <w:r>
              <w:rPr>
                <w:sz w:val="24"/>
                <w:szCs w:val="24"/>
              </w:rPr>
              <w:t>7</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9AC8ED" w14:textId="6197F1A8" w:rsidR="004D5003" w:rsidRDefault="004D5003" w:rsidP="00673587">
            <w:pPr>
              <w:spacing w:line="300" w:lineRule="exact"/>
              <w:rPr>
                <w:sz w:val="24"/>
                <w:szCs w:val="24"/>
              </w:rPr>
            </w:pPr>
            <w:r>
              <w:rPr>
                <w:sz w:val="24"/>
                <w:szCs w:val="24"/>
              </w:rPr>
              <w:t>5</w:t>
            </w:r>
          </w:p>
        </w:tc>
      </w:tr>
      <w:tr w:rsidR="004D5003" w14:paraId="118017CD"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BA9534" w14:textId="77777777" w:rsidR="004D5003" w:rsidRDefault="004D5003" w:rsidP="00673587">
            <w:pPr>
              <w:spacing w:line="300" w:lineRule="exact"/>
              <w:rPr>
                <w:sz w:val="24"/>
                <w:szCs w:val="24"/>
              </w:rPr>
            </w:pPr>
            <w:r>
              <w:rPr>
                <w:sz w:val="24"/>
                <w:szCs w:val="24"/>
              </w:rPr>
              <w:t>Parents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FA9E04" w14:textId="77777777" w:rsidR="004D5003" w:rsidRDefault="004D5003" w:rsidP="00673587">
            <w:pPr>
              <w:spacing w:line="300" w:lineRule="exact"/>
              <w:rPr>
                <w:sz w:val="24"/>
                <w:szCs w:val="24"/>
              </w:rPr>
            </w:pPr>
            <w:r>
              <w:rPr>
                <w:sz w:val="24"/>
                <w:szCs w:val="24"/>
              </w:rPr>
              <w:t>20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8CED27" w14:textId="77777777" w:rsidR="004D5003" w:rsidRDefault="004D5003" w:rsidP="00673587">
            <w:pPr>
              <w:spacing w:line="300" w:lineRule="exact"/>
              <w:rPr>
                <w:sz w:val="24"/>
                <w:szCs w:val="24"/>
              </w:rPr>
            </w:pPr>
            <w:r>
              <w:rPr>
                <w:sz w:val="24"/>
                <w:szCs w:val="24"/>
              </w:rPr>
              <w:t>20</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72A1A6" w14:textId="77777777" w:rsidR="004D5003" w:rsidRDefault="004D5003" w:rsidP="00673587">
            <w:pPr>
              <w:spacing w:line="300" w:lineRule="exact"/>
              <w:rPr>
                <w:sz w:val="24"/>
                <w:szCs w:val="24"/>
              </w:rPr>
            </w:pPr>
            <w:r>
              <w:rPr>
                <w:sz w:val="24"/>
                <w:szCs w:val="24"/>
              </w:rPr>
              <w:t>45</w:t>
            </w:r>
          </w:p>
        </w:tc>
      </w:tr>
      <w:tr w:rsidR="004D5003" w14:paraId="1F35077D"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A1DD2B5" w14:textId="77777777" w:rsidR="004D5003" w:rsidRPr="004D5003" w:rsidRDefault="004D5003" w:rsidP="00673587">
            <w:pPr>
              <w:spacing w:line="300" w:lineRule="exact"/>
              <w:rPr>
                <w:b/>
                <w:sz w:val="24"/>
                <w:szCs w:val="24"/>
              </w:rPr>
            </w:pPr>
            <w:r w:rsidRPr="004D5003">
              <w:rPr>
                <w:b/>
                <w:sz w:val="24"/>
                <w:szCs w:val="24"/>
              </w:rPr>
              <w:t xml:space="preserve">Agencies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2975A5"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931994" w14:textId="77777777" w:rsidR="004D5003" w:rsidRDefault="004D5003" w:rsidP="00673587">
            <w:pPr>
              <w:spacing w:line="300" w:lineRule="exact"/>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49060D" w14:textId="77777777" w:rsidR="004D5003" w:rsidRDefault="004D5003" w:rsidP="00673587">
            <w:pPr>
              <w:spacing w:line="300" w:lineRule="exact"/>
              <w:rPr>
                <w:sz w:val="24"/>
                <w:szCs w:val="24"/>
              </w:rPr>
            </w:pPr>
          </w:p>
        </w:tc>
      </w:tr>
      <w:tr w:rsidR="004D5003" w14:paraId="238C8362"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6D0DF7" w14:textId="77777777" w:rsidR="004D5003" w:rsidRDefault="004D5003" w:rsidP="00673587">
            <w:pPr>
              <w:spacing w:line="300" w:lineRule="exact"/>
              <w:rPr>
                <w:sz w:val="24"/>
                <w:szCs w:val="24"/>
              </w:rPr>
            </w:pPr>
            <w:r>
              <w:rPr>
                <w:sz w:val="24"/>
                <w:szCs w:val="24"/>
              </w:rPr>
              <w:t>Careers Connect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BDA87B" w14:textId="0E0A480B" w:rsidR="004D5003" w:rsidRDefault="004D5003" w:rsidP="00673587">
            <w:pPr>
              <w:spacing w:line="300" w:lineRule="exact"/>
              <w:rPr>
                <w:sz w:val="24"/>
                <w:szCs w:val="24"/>
              </w:rPr>
            </w:pPr>
            <w:r>
              <w:rPr>
                <w:sz w:val="24"/>
                <w:szCs w:val="24"/>
              </w:rPr>
              <w:t>33</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31CD" w14:textId="7B1C7E57" w:rsidR="004D5003" w:rsidRDefault="004D5003" w:rsidP="00673587">
            <w:pPr>
              <w:spacing w:line="300" w:lineRule="exact"/>
              <w:rPr>
                <w:sz w:val="24"/>
                <w:szCs w:val="24"/>
              </w:rPr>
            </w:pPr>
            <w:r>
              <w:rPr>
                <w:sz w:val="24"/>
                <w:szCs w:val="24"/>
              </w:rPr>
              <w:t>21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846B61" w14:textId="36011644" w:rsidR="004D5003" w:rsidRDefault="004D5003" w:rsidP="00673587">
            <w:pPr>
              <w:spacing w:line="300" w:lineRule="exact"/>
              <w:rPr>
                <w:sz w:val="24"/>
                <w:szCs w:val="24"/>
              </w:rPr>
            </w:pPr>
            <w:r>
              <w:rPr>
                <w:sz w:val="24"/>
                <w:szCs w:val="24"/>
              </w:rPr>
              <w:t>69</w:t>
            </w:r>
          </w:p>
        </w:tc>
      </w:tr>
      <w:tr w:rsidR="004D5003" w14:paraId="53BF1A94"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099053D" w14:textId="77777777" w:rsidR="004D5003" w:rsidRDefault="004D5003" w:rsidP="00673587">
            <w:pPr>
              <w:spacing w:line="300" w:lineRule="exact"/>
              <w:rPr>
                <w:sz w:val="24"/>
                <w:szCs w:val="24"/>
              </w:rPr>
            </w:pPr>
            <w:r>
              <w:rPr>
                <w:sz w:val="24"/>
                <w:szCs w:val="24"/>
              </w:rPr>
              <w:t>Skills Construction Clayton</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6AEFAA" w14:textId="77777777" w:rsidR="004D5003" w:rsidRDefault="004D5003" w:rsidP="00673587">
            <w:pPr>
              <w:spacing w:line="300" w:lineRule="exact"/>
              <w:rPr>
                <w:sz w:val="24"/>
                <w:szCs w:val="24"/>
              </w:rPr>
            </w:pPr>
            <w:r>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794C49" w14:textId="77777777" w:rsidR="004D5003" w:rsidRDefault="004D5003" w:rsidP="00673587">
            <w:pPr>
              <w:spacing w:line="300" w:lineRule="exact"/>
              <w:rPr>
                <w:sz w:val="24"/>
                <w:szCs w:val="24"/>
              </w:rPr>
            </w:pPr>
            <w:r>
              <w:rPr>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06C34" w14:textId="77777777" w:rsidR="004D5003" w:rsidRDefault="004D5003" w:rsidP="00673587">
            <w:pPr>
              <w:spacing w:line="300" w:lineRule="exact"/>
              <w:rPr>
                <w:sz w:val="24"/>
                <w:szCs w:val="24"/>
              </w:rPr>
            </w:pPr>
            <w:r>
              <w:rPr>
                <w:sz w:val="24"/>
                <w:szCs w:val="24"/>
              </w:rPr>
              <w:t>12</w:t>
            </w:r>
          </w:p>
        </w:tc>
      </w:tr>
      <w:tr w:rsidR="004D5003" w14:paraId="2762C884"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6B8B36" w14:textId="77777777" w:rsidR="004D5003" w:rsidRDefault="004D5003" w:rsidP="00673587">
            <w:pPr>
              <w:spacing w:line="300" w:lineRule="exact"/>
              <w:rPr>
                <w:sz w:val="24"/>
                <w:szCs w:val="24"/>
              </w:rPr>
            </w:pPr>
            <w:r>
              <w:rPr>
                <w:sz w:val="24"/>
                <w:szCs w:val="24"/>
              </w:rPr>
              <w:t>Growth Company</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C88296" w14:textId="77777777" w:rsidR="004D5003" w:rsidRDefault="004D5003" w:rsidP="00673587">
            <w:pPr>
              <w:spacing w:line="300" w:lineRule="exact"/>
              <w:rPr>
                <w:sz w:val="24"/>
                <w:szCs w:val="24"/>
              </w:rPr>
            </w:pPr>
            <w:r>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46AAE1" w14:textId="77777777" w:rsidR="004D5003" w:rsidRDefault="004D5003" w:rsidP="00673587">
            <w:pPr>
              <w:spacing w:line="300" w:lineRule="exact"/>
              <w:rPr>
                <w:sz w:val="24"/>
                <w:szCs w:val="24"/>
              </w:rPr>
            </w:pPr>
            <w:r>
              <w:rPr>
                <w:sz w:val="24"/>
                <w:szCs w:val="24"/>
              </w:rPr>
              <w:t>6</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165347" w14:textId="77777777" w:rsidR="004D5003" w:rsidRDefault="004D5003" w:rsidP="00673587">
            <w:pPr>
              <w:spacing w:line="300" w:lineRule="exact"/>
              <w:rPr>
                <w:sz w:val="24"/>
                <w:szCs w:val="24"/>
              </w:rPr>
            </w:pPr>
            <w:r>
              <w:rPr>
                <w:sz w:val="24"/>
                <w:szCs w:val="24"/>
              </w:rPr>
              <w:t>32</w:t>
            </w:r>
          </w:p>
        </w:tc>
      </w:tr>
      <w:tr w:rsidR="004D5003" w14:paraId="799A9D4F"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3B33CAF" w14:textId="77777777" w:rsidR="004D5003" w:rsidRDefault="004D5003" w:rsidP="00673587">
            <w:pPr>
              <w:spacing w:line="300" w:lineRule="exact"/>
              <w:rPr>
                <w:sz w:val="24"/>
                <w:szCs w:val="24"/>
              </w:rPr>
            </w:pPr>
            <w:r>
              <w:rPr>
                <w:sz w:val="24"/>
                <w:szCs w:val="24"/>
              </w:rPr>
              <w:t>Unity Radio</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2BB90C" w14:textId="77777777" w:rsidR="004D5003" w:rsidRDefault="004D5003" w:rsidP="00673587">
            <w:pPr>
              <w:spacing w:line="300" w:lineRule="exact"/>
              <w:rPr>
                <w:sz w:val="24"/>
                <w:szCs w:val="24"/>
              </w:rPr>
            </w:pPr>
            <w:r>
              <w:rPr>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66F965" w14:textId="77777777" w:rsidR="004D5003" w:rsidRDefault="004D5003" w:rsidP="00673587">
            <w:pPr>
              <w:spacing w:line="300" w:lineRule="exact"/>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7A7114" w14:textId="77777777" w:rsidR="004D5003" w:rsidRDefault="004D5003" w:rsidP="00673587">
            <w:pPr>
              <w:spacing w:line="300" w:lineRule="exact"/>
              <w:rPr>
                <w:sz w:val="24"/>
                <w:szCs w:val="24"/>
              </w:rPr>
            </w:pPr>
          </w:p>
        </w:tc>
      </w:tr>
      <w:tr w:rsidR="004D5003" w14:paraId="76F8A271"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1D21E" w14:textId="77777777" w:rsidR="004D5003" w:rsidRDefault="004D5003" w:rsidP="00673587">
            <w:pPr>
              <w:spacing w:line="300" w:lineRule="exact"/>
              <w:rPr>
                <w:sz w:val="24"/>
                <w:szCs w:val="24"/>
              </w:rPr>
            </w:pPr>
            <w:r>
              <w:rPr>
                <w:sz w:val="24"/>
                <w:szCs w:val="24"/>
              </w:rPr>
              <w:t>TMC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368A75" w14:textId="77777777" w:rsidR="004D5003" w:rsidRDefault="004D5003" w:rsidP="00673587">
            <w:pPr>
              <w:spacing w:line="300" w:lineRule="exact"/>
              <w:rPr>
                <w:sz w:val="24"/>
                <w:szCs w:val="24"/>
              </w:rPr>
            </w:pPr>
            <w:r>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6AA83C" w14:textId="77777777" w:rsidR="004D5003" w:rsidRDefault="004D5003" w:rsidP="00673587">
            <w:pPr>
              <w:spacing w:line="300" w:lineRule="exact"/>
              <w:rPr>
                <w:sz w:val="24"/>
                <w:szCs w:val="24"/>
              </w:rPr>
            </w:pPr>
            <w:r>
              <w:rPr>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C4D7B1" w14:textId="77777777" w:rsidR="004D5003" w:rsidRDefault="004D5003" w:rsidP="00673587">
            <w:pPr>
              <w:spacing w:line="300" w:lineRule="exact"/>
              <w:rPr>
                <w:sz w:val="24"/>
                <w:szCs w:val="24"/>
              </w:rPr>
            </w:pPr>
            <w:r>
              <w:rPr>
                <w:sz w:val="24"/>
                <w:szCs w:val="24"/>
              </w:rPr>
              <w:t>14</w:t>
            </w:r>
          </w:p>
        </w:tc>
      </w:tr>
      <w:tr w:rsidR="004D5003" w14:paraId="7F027A1A"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7CBC4B" w14:textId="77777777" w:rsidR="004D5003" w:rsidRDefault="004D5003" w:rsidP="00673587">
            <w:pPr>
              <w:spacing w:line="300" w:lineRule="exact"/>
              <w:rPr>
                <w:sz w:val="24"/>
                <w:szCs w:val="24"/>
              </w:rPr>
            </w:pPr>
            <w:r>
              <w:rPr>
                <w:sz w:val="24"/>
                <w:szCs w:val="24"/>
              </w:rPr>
              <w:t>Mantra</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504ACF"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52BE92" w14:textId="77777777" w:rsidR="004D5003" w:rsidRDefault="004D5003" w:rsidP="00673587">
            <w:pPr>
              <w:spacing w:line="300" w:lineRule="exact"/>
              <w:rPr>
                <w:sz w:val="24"/>
                <w:szCs w:val="24"/>
              </w:rPr>
            </w:pPr>
            <w:r>
              <w:rPr>
                <w:sz w:val="24"/>
                <w:szCs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659293" w14:textId="77777777" w:rsidR="004D5003" w:rsidRDefault="004D5003" w:rsidP="00673587">
            <w:pPr>
              <w:spacing w:line="300" w:lineRule="exact"/>
              <w:rPr>
                <w:sz w:val="24"/>
                <w:szCs w:val="24"/>
              </w:rPr>
            </w:pPr>
            <w:r>
              <w:rPr>
                <w:sz w:val="24"/>
                <w:szCs w:val="24"/>
              </w:rPr>
              <w:t>2</w:t>
            </w:r>
          </w:p>
        </w:tc>
      </w:tr>
      <w:tr w:rsidR="004D5003" w14:paraId="7DFED99B"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D132AB0" w14:textId="77777777" w:rsidR="004D5003" w:rsidRDefault="004D5003" w:rsidP="00673587">
            <w:pPr>
              <w:spacing w:line="300" w:lineRule="exact"/>
              <w:rPr>
                <w:sz w:val="24"/>
                <w:szCs w:val="24"/>
              </w:rPr>
            </w:pPr>
            <w:r>
              <w:rPr>
                <w:sz w:val="24"/>
                <w:szCs w:val="24"/>
              </w:rPr>
              <w:t>Princes Trust</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96381" w14:textId="77777777" w:rsidR="004D5003" w:rsidRDefault="004D5003" w:rsidP="00673587">
            <w:pPr>
              <w:spacing w:line="300" w:lineRule="exact"/>
              <w:rPr>
                <w:sz w:val="24"/>
                <w:szCs w:val="24"/>
              </w:rPr>
            </w:pPr>
            <w:r>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4AFCDF" w14:textId="77777777" w:rsidR="004D5003" w:rsidRDefault="004D5003" w:rsidP="00673587">
            <w:pPr>
              <w:spacing w:line="300" w:lineRule="exact"/>
              <w:rPr>
                <w:sz w:val="24"/>
                <w:szCs w:val="24"/>
              </w:rPr>
            </w:pPr>
            <w:r>
              <w:rPr>
                <w:sz w:val="24"/>
                <w:szCs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3A28C" w14:textId="77777777" w:rsidR="004D5003" w:rsidRDefault="004D5003" w:rsidP="00673587">
            <w:pPr>
              <w:spacing w:line="300" w:lineRule="exact"/>
              <w:rPr>
                <w:sz w:val="24"/>
                <w:szCs w:val="24"/>
              </w:rPr>
            </w:pPr>
            <w:r>
              <w:rPr>
                <w:sz w:val="24"/>
                <w:szCs w:val="24"/>
              </w:rPr>
              <w:t>5</w:t>
            </w:r>
          </w:p>
        </w:tc>
      </w:tr>
      <w:tr w:rsidR="004D5003" w14:paraId="1E0A489E"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EF02A0" w14:textId="77777777" w:rsidR="004D5003" w:rsidRDefault="004D5003" w:rsidP="00673587">
            <w:pPr>
              <w:spacing w:line="300" w:lineRule="exact"/>
              <w:rPr>
                <w:sz w:val="24"/>
                <w:szCs w:val="24"/>
              </w:rPr>
            </w:pPr>
            <w:r>
              <w:rPr>
                <w:sz w:val="24"/>
                <w:szCs w:val="24"/>
              </w:rPr>
              <w:t>Music Stuff</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0447C94" w14:textId="77777777" w:rsidR="004D5003" w:rsidRDefault="004D5003" w:rsidP="00673587">
            <w:pPr>
              <w:spacing w:line="300" w:lineRule="exact"/>
              <w:rPr>
                <w:sz w:val="24"/>
                <w:szCs w:val="24"/>
              </w:rPr>
            </w:pPr>
            <w:r>
              <w:rPr>
                <w:sz w:val="24"/>
                <w:szCs w:val="24"/>
              </w:rPr>
              <w:t>10</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6C2C67" w14:textId="77777777" w:rsidR="004D5003" w:rsidRDefault="004D5003" w:rsidP="00673587">
            <w:pPr>
              <w:spacing w:line="300" w:lineRule="exact"/>
              <w:rPr>
                <w:sz w:val="24"/>
                <w:szCs w:val="24"/>
              </w:rPr>
            </w:pPr>
            <w:r>
              <w:rPr>
                <w:sz w:val="24"/>
                <w:szCs w:val="24"/>
              </w:rPr>
              <w:t>5</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0682C" w14:textId="77777777" w:rsidR="004D5003" w:rsidRDefault="004D5003" w:rsidP="00673587">
            <w:pPr>
              <w:spacing w:line="300" w:lineRule="exact"/>
              <w:rPr>
                <w:sz w:val="24"/>
                <w:szCs w:val="24"/>
              </w:rPr>
            </w:pPr>
            <w:r>
              <w:rPr>
                <w:sz w:val="24"/>
                <w:szCs w:val="24"/>
              </w:rPr>
              <w:t>6</w:t>
            </w:r>
          </w:p>
        </w:tc>
      </w:tr>
      <w:tr w:rsidR="004D5003" w14:paraId="7BB1FDA4"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B908E46" w14:textId="1E07E7F2" w:rsidR="004D5003" w:rsidRDefault="004D5003" w:rsidP="00673587">
            <w:pPr>
              <w:spacing w:line="300" w:lineRule="exact"/>
              <w:rPr>
                <w:sz w:val="24"/>
                <w:szCs w:val="24"/>
              </w:rPr>
            </w:pPr>
            <w:r>
              <w:rPr>
                <w:sz w:val="24"/>
                <w:szCs w:val="24"/>
              </w:rPr>
              <w:t>YJ</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AEC1BC" w14:textId="77777777" w:rsidR="004D5003" w:rsidRDefault="004D5003" w:rsidP="00673587">
            <w:pPr>
              <w:spacing w:line="300" w:lineRule="exact"/>
              <w:rPr>
                <w:sz w:val="24"/>
                <w:szCs w:val="24"/>
              </w:rPr>
            </w:pPr>
            <w:r>
              <w:rPr>
                <w:sz w:val="24"/>
                <w:szCs w:val="24"/>
              </w:rPr>
              <w:t>11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B2CE1" w14:textId="77777777" w:rsidR="004D5003" w:rsidRDefault="004D5003" w:rsidP="00673587">
            <w:pPr>
              <w:spacing w:line="300" w:lineRule="exact"/>
              <w:rPr>
                <w:sz w:val="24"/>
                <w:szCs w:val="24"/>
              </w:rPr>
            </w:pPr>
            <w:r>
              <w:rPr>
                <w:sz w:val="24"/>
                <w:szCs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057693" w14:textId="77777777" w:rsidR="004D5003" w:rsidRDefault="004D5003" w:rsidP="00673587">
            <w:pPr>
              <w:spacing w:line="300" w:lineRule="exact"/>
              <w:rPr>
                <w:sz w:val="24"/>
                <w:szCs w:val="24"/>
              </w:rPr>
            </w:pPr>
            <w:r>
              <w:rPr>
                <w:sz w:val="24"/>
                <w:szCs w:val="24"/>
              </w:rPr>
              <w:t>3</w:t>
            </w:r>
          </w:p>
        </w:tc>
      </w:tr>
      <w:tr w:rsidR="004D5003" w14:paraId="70F74223"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5C713D" w14:textId="77777777" w:rsidR="004D5003" w:rsidRDefault="004D5003" w:rsidP="00673587">
            <w:pPr>
              <w:spacing w:line="300" w:lineRule="exact"/>
              <w:rPr>
                <w:sz w:val="24"/>
                <w:szCs w:val="24"/>
              </w:rPr>
            </w:pPr>
            <w:r>
              <w:rPr>
                <w:sz w:val="24"/>
                <w:szCs w:val="24"/>
              </w:rPr>
              <w:t>MSPRU ( SEND/LAC)</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712A51" w14:textId="67AB3F5A" w:rsidR="004D5003" w:rsidRDefault="004D5003" w:rsidP="00673587">
            <w:pPr>
              <w:spacing w:line="300" w:lineRule="exact"/>
              <w:rPr>
                <w:sz w:val="24"/>
                <w:szCs w:val="24"/>
              </w:rPr>
            </w:pPr>
            <w:r>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715AB0" w14:textId="4BECCB7B" w:rsidR="004D5003" w:rsidRDefault="004D5003" w:rsidP="00673587">
            <w:pPr>
              <w:spacing w:line="300" w:lineRule="exact"/>
              <w:rPr>
                <w:sz w:val="24"/>
                <w:szCs w:val="24"/>
              </w:rPr>
            </w:pPr>
            <w:r>
              <w:rPr>
                <w:sz w:val="24"/>
                <w:szCs w:val="24"/>
              </w:rPr>
              <w:t>11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B0F60B" w14:textId="2ACBDFEA" w:rsidR="004D5003" w:rsidRDefault="004D5003" w:rsidP="00673587">
            <w:pPr>
              <w:spacing w:line="300" w:lineRule="exact"/>
              <w:rPr>
                <w:sz w:val="24"/>
                <w:szCs w:val="24"/>
              </w:rPr>
            </w:pPr>
            <w:r>
              <w:rPr>
                <w:sz w:val="24"/>
                <w:szCs w:val="24"/>
              </w:rPr>
              <w:t>18</w:t>
            </w:r>
          </w:p>
        </w:tc>
      </w:tr>
      <w:tr w:rsidR="004D5003" w14:paraId="74663C4E"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171764" w14:textId="77777777" w:rsidR="004D5003" w:rsidRDefault="004D5003" w:rsidP="00673587">
            <w:pPr>
              <w:spacing w:line="300" w:lineRule="exact"/>
              <w:rPr>
                <w:sz w:val="24"/>
                <w:szCs w:val="24"/>
              </w:rPr>
            </w:pPr>
            <w:r>
              <w:rPr>
                <w:sz w:val="24"/>
                <w:szCs w:val="24"/>
              </w:rPr>
              <w:t>MYL</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E93DFB"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B9A54" w14:textId="77777777" w:rsidR="004D5003" w:rsidRDefault="004D5003" w:rsidP="00673587">
            <w:pPr>
              <w:spacing w:line="300" w:lineRule="exact"/>
              <w:rPr>
                <w:sz w:val="24"/>
                <w:szCs w:val="24"/>
              </w:rPr>
            </w:pPr>
            <w:r>
              <w:rPr>
                <w:sz w:val="24"/>
                <w:szCs w:val="24"/>
              </w:rPr>
              <w:t>3</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C61AF" w14:textId="77777777" w:rsidR="004D5003" w:rsidRDefault="004D5003" w:rsidP="00673587">
            <w:pPr>
              <w:spacing w:line="300" w:lineRule="exact"/>
              <w:rPr>
                <w:sz w:val="24"/>
                <w:szCs w:val="24"/>
              </w:rPr>
            </w:pPr>
            <w:r>
              <w:rPr>
                <w:sz w:val="24"/>
                <w:szCs w:val="24"/>
              </w:rPr>
              <w:t>5</w:t>
            </w:r>
          </w:p>
        </w:tc>
      </w:tr>
      <w:tr w:rsidR="004D5003" w14:paraId="2E212AD8"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6D8E" w14:textId="2C30EF7E" w:rsidR="004D5003" w:rsidRDefault="004D5003" w:rsidP="00673587">
            <w:pPr>
              <w:spacing w:line="300" w:lineRule="exact"/>
              <w:rPr>
                <w:sz w:val="24"/>
                <w:szCs w:val="24"/>
              </w:rPr>
            </w:pPr>
            <w:r>
              <w:rPr>
                <w:sz w:val="24"/>
                <w:szCs w:val="24"/>
              </w:rPr>
              <w:t xml:space="preserve">Referrals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8BA5BF" w14:textId="77777777" w:rsidR="004D5003" w:rsidRDefault="004D5003" w:rsidP="00673587">
            <w:pPr>
              <w:spacing w:line="300" w:lineRule="exact"/>
              <w:rPr>
                <w:sz w:val="24"/>
                <w:szCs w:val="24"/>
              </w:rPr>
            </w:pPr>
            <w:r>
              <w:rPr>
                <w:sz w:val="24"/>
                <w:szCs w:val="24"/>
              </w:rPr>
              <w:t>6</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625CF7" w14:textId="77777777" w:rsidR="004D5003" w:rsidRDefault="004D5003" w:rsidP="00673587">
            <w:pPr>
              <w:spacing w:line="300" w:lineRule="exact"/>
              <w:rPr>
                <w:sz w:val="24"/>
                <w:szCs w:val="24"/>
              </w:rPr>
            </w:pPr>
            <w:r>
              <w:rPr>
                <w:sz w:val="24"/>
                <w:szCs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5953BA3" w14:textId="77777777" w:rsidR="004D5003" w:rsidRDefault="004D5003" w:rsidP="00673587">
            <w:pPr>
              <w:spacing w:line="300" w:lineRule="exact"/>
              <w:rPr>
                <w:sz w:val="24"/>
                <w:szCs w:val="24"/>
              </w:rPr>
            </w:pPr>
          </w:p>
        </w:tc>
      </w:tr>
      <w:tr w:rsidR="004D5003" w14:paraId="154442DA"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7575BD" w14:textId="77777777" w:rsidR="004D5003" w:rsidRDefault="004D5003" w:rsidP="00673587">
            <w:pPr>
              <w:spacing w:line="300" w:lineRule="exact"/>
              <w:rPr>
                <w:sz w:val="24"/>
                <w:szCs w:val="24"/>
              </w:rPr>
            </w:pPr>
            <w:r>
              <w:rPr>
                <w:sz w:val="24"/>
                <w:szCs w:val="24"/>
              </w:rPr>
              <w:t>Safeguarding</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32A243"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87AC92" w14:textId="77777777" w:rsidR="004D5003" w:rsidRDefault="004D5003" w:rsidP="00673587">
            <w:pPr>
              <w:spacing w:line="300" w:lineRule="exact"/>
              <w:rPr>
                <w:sz w:val="24"/>
                <w:szCs w:val="24"/>
              </w:rPr>
            </w:pPr>
            <w:r>
              <w:rPr>
                <w:sz w:val="24"/>
                <w:szCs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6F43AC6" w14:textId="77777777" w:rsidR="004D5003" w:rsidRDefault="004D5003" w:rsidP="00673587">
            <w:pPr>
              <w:spacing w:line="300" w:lineRule="exact"/>
              <w:rPr>
                <w:sz w:val="24"/>
                <w:szCs w:val="24"/>
              </w:rPr>
            </w:pPr>
            <w:r>
              <w:rPr>
                <w:sz w:val="24"/>
                <w:szCs w:val="24"/>
              </w:rPr>
              <w:t>2</w:t>
            </w:r>
          </w:p>
        </w:tc>
      </w:tr>
      <w:tr w:rsidR="004D5003" w14:paraId="40A418A1"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6089" w14:textId="2F60D17F" w:rsidR="004D5003" w:rsidRDefault="004D5003" w:rsidP="00673587">
            <w:pPr>
              <w:spacing w:line="300" w:lineRule="exact"/>
              <w:rPr>
                <w:sz w:val="24"/>
                <w:szCs w:val="24"/>
              </w:rPr>
            </w:pPr>
            <w:r>
              <w:rPr>
                <w:sz w:val="24"/>
                <w:szCs w:val="24"/>
              </w:rPr>
              <w:t>Positive Steps</w:t>
            </w:r>
          </w:p>
          <w:p w14:paraId="0D156295" w14:textId="77777777" w:rsidR="004D5003" w:rsidRDefault="004D5003" w:rsidP="00673587">
            <w:pPr>
              <w:spacing w:line="300" w:lineRule="exact"/>
              <w:rPr>
                <w:sz w:val="24"/>
                <w:szCs w:val="24"/>
              </w:rPr>
            </w:pPr>
            <w:r>
              <w:rPr>
                <w:sz w:val="24"/>
                <w:szCs w:val="24"/>
              </w:rPr>
              <w:t>( Oldham)</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739685"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621C1F" w14:textId="77777777" w:rsidR="004D5003" w:rsidRDefault="004D5003" w:rsidP="00673587">
            <w:pPr>
              <w:spacing w:line="300" w:lineRule="exact"/>
              <w:rPr>
                <w:sz w:val="24"/>
                <w:szCs w:val="24"/>
              </w:rPr>
            </w:pPr>
            <w:r>
              <w:rPr>
                <w:sz w:val="24"/>
                <w:szCs w:val="24"/>
              </w:rPr>
              <w:t>1</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DDA6C2" w14:textId="77777777" w:rsidR="004D5003" w:rsidRDefault="004D5003" w:rsidP="00673587">
            <w:pPr>
              <w:spacing w:line="300" w:lineRule="exact"/>
              <w:rPr>
                <w:sz w:val="24"/>
                <w:szCs w:val="24"/>
              </w:rPr>
            </w:pPr>
            <w:r>
              <w:rPr>
                <w:sz w:val="24"/>
                <w:szCs w:val="24"/>
              </w:rPr>
              <w:t>2</w:t>
            </w:r>
          </w:p>
        </w:tc>
      </w:tr>
      <w:tr w:rsidR="004D5003" w14:paraId="311B8FB5"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51B758" w14:textId="5CC0F423" w:rsidR="004D5003" w:rsidRDefault="004D5003" w:rsidP="00673587">
            <w:pPr>
              <w:spacing w:line="300" w:lineRule="exact"/>
              <w:rPr>
                <w:sz w:val="24"/>
                <w:szCs w:val="24"/>
              </w:rPr>
            </w:pPr>
            <w:r>
              <w:rPr>
                <w:sz w:val="24"/>
                <w:szCs w:val="24"/>
              </w:rPr>
              <w:t>Information Packs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F3A986" w14:textId="05CF7775" w:rsidR="004D5003" w:rsidRDefault="004D5003" w:rsidP="00673587">
            <w:pPr>
              <w:spacing w:line="300" w:lineRule="exact"/>
              <w:rPr>
                <w:sz w:val="24"/>
                <w:szCs w:val="24"/>
              </w:rPr>
            </w:pPr>
            <w:r>
              <w:rPr>
                <w:sz w:val="24"/>
                <w:szCs w:val="24"/>
              </w:rPr>
              <w:t>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BB4B93" w14:textId="1EA56603" w:rsidR="004D5003" w:rsidRDefault="004D5003" w:rsidP="00673587">
            <w:pPr>
              <w:spacing w:line="300" w:lineRule="exact"/>
              <w:rPr>
                <w:sz w:val="24"/>
                <w:szCs w:val="24"/>
              </w:rPr>
            </w:pPr>
            <w:r>
              <w:rPr>
                <w:sz w:val="24"/>
                <w:szCs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4F34B3" w14:textId="747BBBA3" w:rsidR="004D5003" w:rsidRDefault="004D5003" w:rsidP="00673587">
            <w:pPr>
              <w:spacing w:line="300" w:lineRule="exact"/>
              <w:rPr>
                <w:sz w:val="24"/>
                <w:szCs w:val="24"/>
              </w:rPr>
            </w:pPr>
            <w:r>
              <w:rPr>
                <w:sz w:val="24"/>
                <w:szCs w:val="24"/>
              </w:rPr>
              <w:t>12</w:t>
            </w:r>
          </w:p>
        </w:tc>
      </w:tr>
      <w:tr w:rsidR="004D5003" w14:paraId="50E7D41D"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4D42C" w14:textId="77777777" w:rsidR="004D5003" w:rsidRDefault="004D5003" w:rsidP="00673587">
            <w:pPr>
              <w:spacing w:line="300" w:lineRule="exact"/>
              <w:rPr>
                <w:sz w:val="24"/>
                <w:szCs w:val="24"/>
              </w:rPr>
            </w:pPr>
            <w:r>
              <w:rPr>
                <w:sz w:val="24"/>
                <w:szCs w:val="24"/>
              </w:rPr>
              <w:t>OUR PASS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2C3F0C" w14:textId="77777777" w:rsidR="004D5003" w:rsidRDefault="004D5003" w:rsidP="00673587">
            <w:pPr>
              <w:spacing w:line="300" w:lineRule="exact"/>
              <w:rPr>
                <w:sz w:val="24"/>
                <w:szCs w:val="24"/>
              </w:rPr>
            </w:pPr>
            <w:r>
              <w:rPr>
                <w:sz w:val="24"/>
                <w:szCs w:val="24"/>
              </w:rPr>
              <w:t>1</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7BAFDC" w14:textId="77777777" w:rsidR="004D5003" w:rsidRDefault="004D5003" w:rsidP="00673587">
            <w:pPr>
              <w:spacing w:line="300" w:lineRule="exact"/>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16788B" w14:textId="77777777" w:rsidR="004D5003" w:rsidRDefault="004D5003" w:rsidP="00673587">
            <w:pPr>
              <w:spacing w:line="300" w:lineRule="exact"/>
              <w:rPr>
                <w:sz w:val="24"/>
                <w:szCs w:val="24"/>
              </w:rPr>
            </w:pPr>
          </w:p>
        </w:tc>
      </w:tr>
      <w:tr w:rsidR="004D5003" w14:paraId="71BCA5AF"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8C140F0" w14:textId="741AC972" w:rsidR="004D5003" w:rsidRPr="004D5003" w:rsidRDefault="004D5003" w:rsidP="00673587">
            <w:pPr>
              <w:spacing w:line="300" w:lineRule="exact"/>
              <w:rPr>
                <w:b/>
                <w:sz w:val="24"/>
                <w:szCs w:val="24"/>
              </w:rPr>
            </w:pPr>
            <w:r w:rsidRPr="004D5003">
              <w:rPr>
                <w:b/>
                <w:sz w:val="24"/>
                <w:szCs w:val="24"/>
              </w:rPr>
              <w:t>Home Visits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E52050" w14:textId="42AF02DD" w:rsidR="004D5003" w:rsidRDefault="004D5003" w:rsidP="00673587">
            <w:pPr>
              <w:spacing w:line="300" w:lineRule="exact"/>
              <w:rPr>
                <w:sz w:val="24"/>
                <w:szCs w:val="24"/>
              </w:rPr>
            </w:pPr>
            <w:r>
              <w:rPr>
                <w:sz w:val="24"/>
                <w:szCs w:val="24"/>
              </w:rPr>
              <w:t>9</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570D5" w14:textId="5CADB954" w:rsidR="004D5003" w:rsidRDefault="004D5003" w:rsidP="00673587">
            <w:pPr>
              <w:spacing w:line="300" w:lineRule="exact"/>
              <w:rPr>
                <w:sz w:val="24"/>
                <w:szCs w:val="24"/>
              </w:rPr>
            </w:pPr>
            <w:r>
              <w:rPr>
                <w:sz w:val="24"/>
                <w:szCs w:val="24"/>
              </w:rPr>
              <w:t>8</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967810" w14:textId="492C8C20" w:rsidR="004D5003" w:rsidRDefault="004D5003" w:rsidP="00673587">
            <w:pPr>
              <w:spacing w:line="300" w:lineRule="exact"/>
              <w:rPr>
                <w:sz w:val="24"/>
                <w:szCs w:val="24"/>
              </w:rPr>
            </w:pPr>
            <w:r>
              <w:rPr>
                <w:sz w:val="24"/>
                <w:szCs w:val="24"/>
              </w:rPr>
              <w:t>15</w:t>
            </w:r>
          </w:p>
        </w:tc>
      </w:tr>
      <w:tr w:rsidR="004D5003" w14:paraId="1AA841CB"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2D2D66" w14:textId="58BD9686" w:rsidR="004D5003" w:rsidRPr="003830A1" w:rsidRDefault="004D5003" w:rsidP="00673587">
            <w:pPr>
              <w:spacing w:line="300" w:lineRule="exact"/>
              <w:rPr>
                <w:b/>
                <w:sz w:val="24"/>
                <w:szCs w:val="24"/>
              </w:rPr>
            </w:pPr>
            <w:r w:rsidRPr="003830A1">
              <w:rPr>
                <w:b/>
                <w:sz w:val="24"/>
                <w:szCs w:val="24"/>
              </w:rPr>
              <w:t>Meetings</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338196" w14:textId="0A5D4D34" w:rsidR="004D5003" w:rsidRDefault="004D5003" w:rsidP="00673587">
            <w:pPr>
              <w:spacing w:line="300" w:lineRule="exact"/>
              <w:rPr>
                <w:sz w:val="24"/>
                <w:szCs w:val="24"/>
              </w:rPr>
            </w:pPr>
            <w:r>
              <w:rPr>
                <w:sz w:val="24"/>
                <w:szCs w:val="24"/>
              </w:rPr>
              <w:t>15</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FF481C" w14:textId="262C00EE" w:rsidR="004D5003" w:rsidRDefault="004D5003" w:rsidP="00673587">
            <w:pPr>
              <w:spacing w:line="300" w:lineRule="exact"/>
              <w:rPr>
                <w:sz w:val="24"/>
                <w:szCs w:val="24"/>
              </w:rPr>
            </w:pPr>
            <w:r>
              <w:rPr>
                <w:sz w:val="24"/>
                <w:szCs w:val="24"/>
              </w:rPr>
              <w:t>22</w:t>
            </w: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E3450" w14:textId="1EB789AE" w:rsidR="004D5003" w:rsidRDefault="004D5003" w:rsidP="00673587">
            <w:pPr>
              <w:spacing w:line="300" w:lineRule="exact"/>
              <w:rPr>
                <w:sz w:val="24"/>
                <w:szCs w:val="24"/>
              </w:rPr>
            </w:pPr>
            <w:r>
              <w:rPr>
                <w:sz w:val="24"/>
                <w:szCs w:val="24"/>
              </w:rPr>
              <w:t>26</w:t>
            </w:r>
          </w:p>
        </w:tc>
      </w:tr>
      <w:tr w:rsidR="004D5003" w14:paraId="28EB89B9" w14:textId="77777777" w:rsidTr="004D5003">
        <w:tc>
          <w:tcPr>
            <w:tcW w:w="25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D299C25" w14:textId="5B32F119" w:rsidR="004D5003" w:rsidRDefault="004D5003" w:rsidP="00673587">
            <w:pPr>
              <w:spacing w:line="300" w:lineRule="exact"/>
              <w:rPr>
                <w:sz w:val="24"/>
                <w:szCs w:val="24"/>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57FF3A" w14:textId="77777777" w:rsidR="004D5003" w:rsidRDefault="004D5003" w:rsidP="00673587">
            <w:pPr>
              <w:spacing w:line="300" w:lineRule="exact"/>
              <w:rPr>
                <w:sz w:val="24"/>
                <w:szCs w:val="24"/>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E707FF" w14:textId="70111A82" w:rsidR="004D5003" w:rsidRDefault="004D5003" w:rsidP="00673587">
            <w:pPr>
              <w:spacing w:line="300" w:lineRule="exact"/>
              <w:rPr>
                <w:sz w:val="24"/>
                <w:szCs w:val="24"/>
              </w:rPr>
            </w:pPr>
          </w:p>
        </w:tc>
        <w:tc>
          <w:tcPr>
            <w:tcW w:w="18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2A96C2" w14:textId="57F5141A" w:rsidR="004D5003" w:rsidRDefault="004D5003" w:rsidP="00673587">
            <w:pPr>
              <w:spacing w:line="300" w:lineRule="exact"/>
              <w:rPr>
                <w:sz w:val="24"/>
                <w:szCs w:val="24"/>
              </w:rPr>
            </w:pPr>
          </w:p>
        </w:tc>
      </w:tr>
    </w:tbl>
    <w:p w14:paraId="3A501578" w14:textId="4FCE9422" w:rsidR="00673587" w:rsidRDefault="00673587" w:rsidP="00673587">
      <w:pPr>
        <w:pStyle w:val="Heading2"/>
        <w:tabs>
          <w:tab w:val="left" w:pos="1268"/>
        </w:tabs>
        <w:spacing w:before="62"/>
      </w:pPr>
    </w:p>
    <w:p w14:paraId="6D40A394" w14:textId="10A2ED02" w:rsidR="00A71D6C" w:rsidRDefault="00A71D6C" w:rsidP="00866E81">
      <w:pPr>
        <w:pStyle w:val="BodyText"/>
        <w:spacing w:before="160" w:line="256" w:lineRule="auto"/>
        <w:ind w:right="781"/>
        <w:sectPr w:rsidR="00A71D6C" w:rsidSect="0066550A">
          <w:pgSz w:w="12240" w:h="15840"/>
          <w:pgMar w:top="1340" w:right="1300" w:bottom="1460" w:left="1320" w:header="182" w:footer="1265" w:gutter="0"/>
          <w:cols w:space="720"/>
          <w:docGrid w:linePitch="299"/>
        </w:sectPr>
      </w:pPr>
    </w:p>
    <w:p w14:paraId="63D0633E" w14:textId="77777777" w:rsidR="00A71D6C" w:rsidRDefault="00A71D6C">
      <w:pPr>
        <w:pStyle w:val="BodyText"/>
        <w:rPr>
          <w:sz w:val="20"/>
        </w:rPr>
      </w:pPr>
    </w:p>
    <w:p w14:paraId="3E446F88" w14:textId="7D19E910" w:rsidR="0050269E" w:rsidRDefault="008E0299">
      <w:pPr>
        <w:pStyle w:val="BodyText"/>
        <w:spacing w:before="3"/>
        <w:rPr>
          <w:sz w:val="28"/>
        </w:rPr>
      </w:pPr>
      <w:r>
        <w:rPr>
          <w:sz w:val="28"/>
        </w:rPr>
        <w:t>APPENDIX C</w:t>
      </w:r>
    </w:p>
    <w:p w14:paraId="660F0A30" w14:textId="64CB180B" w:rsidR="0050269E" w:rsidRDefault="0050269E">
      <w:pPr>
        <w:pStyle w:val="BodyText"/>
        <w:spacing w:before="3"/>
        <w:rPr>
          <w:sz w:val="28"/>
        </w:rPr>
      </w:pPr>
      <w:r>
        <w:rPr>
          <w:sz w:val="28"/>
        </w:rPr>
        <w:t>Cohort Review</w:t>
      </w:r>
    </w:p>
    <w:p w14:paraId="4829DAE4" w14:textId="77777777" w:rsidR="0050269E" w:rsidRDefault="0050269E">
      <w:pPr>
        <w:pStyle w:val="BodyText"/>
        <w:spacing w:before="3"/>
        <w:rPr>
          <w:sz w:val="28"/>
        </w:rPr>
      </w:pPr>
    </w:p>
    <w:p w14:paraId="3D7EDDC2" w14:textId="7ADC5D43" w:rsidR="000F2E4F" w:rsidRDefault="000F2E4F">
      <w:pPr>
        <w:pStyle w:val="BodyText"/>
        <w:spacing w:before="3"/>
        <w:rPr>
          <w:sz w:val="28"/>
        </w:rPr>
      </w:pPr>
      <w:r w:rsidRPr="00CD78DB">
        <w:rPr>
          <w:noProof/>
          <w:lang w:eastAsia="en-GB"/>
        </w:rPr>
        <w:drawing>
          <wp:inline distT="0" distB="0" distL="0" distR="0" wp14:anchorId="777152D8" wp14:editId="41D68138">
            <wp:extent cx="9315450" cy="4843039"/>
            <wp:effectExtent l="0" t="0" r="0" b="0"/>
            <wp:docPr id="7" name="Picture 7" descr="C:\Users\kharris\Pictures\Screenshots\Screenshot (5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harris\Pictures\Screenshots\Screenshot (5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02537" cy="4888315"/>
                    </a:xfrm>
                    <a:prstGeom prst="rect">
                      <a:avLst/>
                    </a:prstGeom>
                    <a:noFill/>
                    <a:ln>
                      <a:noFill/>
                    </a:ln>
                  </pic:spPr>
                </pic:pic>
              </a:graphicData>
            </a:graphic>
          </wp:inline>
        </w:drawing>
      </w:r>
    </w:p>
    <w:p w14:paraId="0F3674F8" w14:textId="3F0EE9A1" w:rsidR="00A71D6C" w:rsidRPr="00F779CD" w:rsidRDefault="00A71D6C" w:rsidP="00F779CD">
      <w:pPr>
        <w:pStyle w:val="BodyText"/>
        <w:spacing w:before="5"/>
        <w:rPr>
          <w:sz w:val="23"/>
        </w:rPr>
        <w:sectPr w:rsidR="00A71D6C" w:rsidRPr="00F779CD" w:rsidSect="00722BF1">
          <w:headerReference w:type="default" r:id="rId15"/>
          <w:footerReference w:type="default" r:id="rId16"/>
          <w:pgSz w:w="15840" w:h="12240" w:orient="landscape"/>
          <w:pgMar w:top="1200" w:right="180" w:bottom="1460" w:left="280" w:header="311" w:footer="1265" w:gutter="0"/>
          <w:cols w:space="720"/>
          <w:docGrid w:linePitch="299"/>
        </w:sectPr>
      </w:pPr>
    </w:p>
    <w:p w14:paraId="3732193F" w14:textId="77777777" w:rsidR="00A71D6C" w:rsidRDefault="00A71D6C">
      <w:pPr>
        <w:pStyle w:val="BodyText"/>
        <w:spacing w:before="7"/>
        <w:rPr>
          <w:sz w:val="21"/>
        </w:rPr>
      </w:pPr>
    </w:p>
    <w:p w14:paraId="30EA5387" w14:textId="12E28F3B" w:rsidR="00A71D6C" w:rsidRDefault="00F779CD" w:rsidP="00E768FF">
      <w:pPr>
        <w:pStyle w:val="Heading2"/>
        <w:spacing w:before="101"/>
        <w:ind w:left="0" w:firstLine="0"/>
      </w:pPr>
      <w:r>
        <w:t>Appendix D</w:t>
      </w:r>
    </w:p>
    <w:p w14:paraId="189D7BF7" w14:textId="7A344248" w:rsidR="00F779CD" w:rsidRDefault="00F779CD" w:rsidP="00E768FF">
      <w:pPr>
        <w:pStyle w:val="Heading2"/>
        <w:spacing w:before="101"/>
        <w:ind w:left="0" w:firstLine="0"/>
      </w:pPr>
      <w:r>
        <w:t>AP Evaluations</w:t>
      </w:r>
    </w:p>
    <w:p w14:paraId="254D5257" w14:textId="77777777" w:rsidR="006A3E9D" w:rsidRDefault="006A3E9D" w:rsidP="006A3E9D">
      <w:pPr>
        <w:jc w:val="center"/>
        <w:rPr>
          <w:rFonts w:asciiTheme="minorHAnsi" w:eastAsiaTheme="minorHAnsi" w:hAnsiTheme="minorHAnsi" w:cstheme="minorBidi"/>
          <w:b/>
          <w:bCs/>
          <w:u w:val="single"/>
        </w:rPr>
      </w:pPr>
      <w:r>
        <w:rPr>
          <w:b/>
          <w:bCs/>
          <w:u w:val="single"/>
        </w:rPr>
        <w:t>Music Stuff Post 16 Interim Report</w:t>
      </w:r>
    </w:p>
    <w:p w14:paraId="225C9CAA" w14:textId="77777777" w:rsidR="006A3E9D" w:rsidRDefault="006A3E9D" w:rsidP="006A3E9D"/>
    <w:p w14:paraId="55F2DD0E" w14:textId="77777777" w:rsidR="006A3E9D" w:rsidRDefault="006A3E9D" w:rsidP="006A3E9D">
      <w:r>
        <w:t>September 2020</w:t>
      </w:r>
    </w:p>
    <w:p w14:paraId="61173DDF" w14:textId="77777777" w:rsidR="006A3E9D" w:rsidRDefault="006A3E9D" w:rsidP="006A3E9D">
      <w:pPr>
        <w:rPr>
          <w:b/>
          <w:bCs/>
        </w:rPr>
      </w:pPr>
      <w:r>
        <w:rPr>
          <w:b/>
          <w:bCs/>
        </w:rPr>
        <w:t>Our work through the summer, progress made and our current position:</w:t>
      </w:r>
    </w:p>
    <w:p w14:paraId="53AD8168" w14:textId="77777777" w:rsidR="006A3E9D" w:rsidRDefault="006A3E9D" w:rsidP="006A3E9D">
      <w:r>
        <w:t xml:space="preserve">Throughout the summer we maintained a table (Appendix 1: Post 16 NEET Risk Overview) that included a weekly RAG rating for each year 11 school leaver. The RAG rating reflected their NEET risk. </w:t>
      </w:r>
    </w:p>
    <w:p w14:paraId="424A541D" w14:textId="77777777" w:rsidR="006A3E9D" w:rsidRDefault="006A3E9D" w:rsidP="006A3E9D">
      <w:r>
        <w:t>The risk was assessed based off our continued contact with each pupil to track and support their progress, this in turn informed our RAG rating.</w:t>
      </w:r>
    </w:p>
    <w:p w14:paraId="3889B480" w14:textId="77777777" w:rsidR="006A3E9D" w:rsidRDefault="006A3E9D" w:rsidP="006A3E9D">
      <w:r>
        <w:t>Alongside the table (Appendix 1: Post 16 NEET Risk Overview) we maintained comprehensive contact logs of all contact/attempted contacts throughout the summer.</w:t>
      </w:r>
    </w:p>
    <w:p w14:paraId="15DE75C8" w14:textId="77777777" w:rsidR="006A3E9D" w:rsidRDefault="006A3E9D" w:rsidP="006A3E9D">
      <w:r>
        <w:t>We liaised with different professionals and external agencies to support with coordinating our efforts to support our year 11 school leavers. A record of this contact was also maintained on our contact logs.</w:t>
      </w:r>
    </w:p>
    <w:p w14:paraId="125946FC" w14:textId="77777777" w:rsidR="006A3E9D" w:rsidRDefault="006A3E9D" w:rsidP="006A3E9D">
      <w:r>
        <w:t>In summary:</w:t>
      </w:r>
    </w:p>
    <w:p w14:paraId="0604F669" w14:textId="77777777" w:rsidR="006A3E9D" w:rsidRDefault="006A3E9D" w:rsidP="006A3E9D">
      <w:pPr>
        <w:pStyle w:val="ListParagraph"/>
        <w:widowControl/>
        <w:numPr>
          <w:ilvl w:val="0"/>
          <w:numId w:val="9"/>
        </w:numPr>
        <w:shd w:val="clear" w:color="auto" w:fill="FFFFFF"/>
        <w:autoSpaceDE/>
        <w:autoSpaceDN/>
        <w:spacing w:before="100" w:beforeAutospacing="1" w:after="100" w:afterAutospacing="1"/>
        <w:ind w:left="945"/>
        <w:contextualSpacing/>
        <w:rPr>
          <w:rFonts w:eastAsia="Times New Roman" w:cstheme="minorHAnsi"/>
          <w:color w:val="222222"/>
          <w:lang w:eastAsia="en-GB"/>
        </w:rPr>
      </w:pPr>
      <w:r>
        <w:t xml:space="preserve">We made 280 entries to contact logs throughout the summer. </w:t>
      </w:r>
    </w:p>
    <w:p w14:paraId="076DCADA" w14:textId="77777777" w:rsidR="006A3E9D" w:rsidRDefault="006A3E9D" w:rsidP="006A3E9D">
      <w:pPr>
        <w:pStyle w:val="ListParagraph"/>
        <w:widowControl/>
        <w:numPr>
          <w:ilvl w:val="0"/>
          <w:numId w:val="9"/>
        </w:numPr>
        <w:shd w:val="clear" w:color="auto" w:fill="FFFFFF"/>
        <w:autoSpaceDE/>
        <w:autoSpaceDN/>
        <w:spacing w:before="100" w:beforeAutospacing="1" w:after="100" w:afterAutospacing="1"/>
        <w:ind w:left="945"/>
        <w:contextualSpacing/>
        <w:rPr>
          <w:rFonts w:eastAsia="Times New Roman" w:cstheme="minorHAnsi"/>
          <w:color w:val="222222"/>
          <w:lang w:eastAsia="en-GB"/>
        </w:rPr>
      </w:pPr>
      <w:r>
        <w:t xml:space="preserve">We had </w:t>
      </w:r>
      <w:r>
        <w:rPr>
          <w:rFonts w:eastAsia="Times New Roman" w:cstheme="minorHAnsi"/>
          <w:color w:val="222222"/>
          <w:lang w:eastAsia="en-GB"/>
        </w:rPr>
        <w:t>direct contact with pupils and their parents/carers</w:t>
      </w:r>
    </w:p>
    <w:p w14:paraId="1A0BC339" w14:textId="77777777" w:rsidR="006A3E9D" w:rsidRDefault="006A3E9D" w:rsidP="006A3E9D">
      <w:pPr>
        <w:pStyle w:val="ListParagraph"/>
        <w:widowControl/>
        <w:numPr>
          <w:ilvl w:val="0"/>
          <w:numId w:val="9"/>
        </w:numPr>
        <w:shd w:val="clear" w:color="auto" w:fill="FFFFFF"/>
        <w:autoSpaceDE/>
        <w:autoSpaceDN/>
        <w:spacing w:before="100" w:beforeAutospacing="1" w:after="100" w:afterAutospacing="1"/>
        <w:ind w:left="945"/>
        <w:contextualSpacing/>
        <w:rPr>
          <w:rFonts w:eastAsia="Times New Roman" w:cstheme="minorHAnsi"/>
          <w:color w:val="222222"/>
          <w:lang w:eastAsia="en-GB"/>
        </w:rPr>
      </w:pPr>
      <w:r>
        <w:rPr>
          <w:rFonts w:eastAsia="Times New Roman" w:cstheme="minorHAnsi"/>
          <w:color w:val="222222"/>
          <w:lang w:eastAsia="en-GB"/>
        </w:rPr>
        <w:t>We tracked and monitored home visits carried out by our staff and those from external agencies</w:t>
      </w:r>
    </w:p>
    <w:p w14:paraId="504D13C2" w14:textId="77777777" w:rsidR="006A3E9D" w:rsidRDefault="006A3E9D" w:rsidP="006A3E9D">
      <w:pPr>
        <w:pStyle w:val="ListParagraph"/>
        <w:widowControl/>
        <w:numPr>
          <w:ilvl w:val="0"/>
          <w:numId w:val="9"/>
        </w:numPr>
        <w:shd w:val="clear" w:color="auto" w:fill="FFFFFF"/>
        <w:autoSpaceDE/>
        <w:autoSpaceDN/>
        <w:spacing w:before="100" w:beforeAutospacing="1" w:after="100" w:afterAutospacing="1"/>
        <w:ind w:left="945"/>
        <w:contextualSpacing/>
        <w:rPr>
          <w:rFonts w:eastAsia="Times New Roman" w:cstheme="minorHAnsi"/>
          <w:color w:val="222222"/>
          <w:lang w:eastAsia="en-GB"/>
        </w:rPr>
      </w:pPr>
      <w:r>
        <w:rPr>
          <w:rFonts w:eastAsia="Times New Roman" w:cstheme="minorHAnsi"/>
          <w:color w:val="222222"/>
          <w:lang w:eastAsia="en-GB"/>
        </w:rPr>
        <w:t>We developed and maintained close partnership work with external agencies including colleges, training providers, youth support agencies and career connect. </w:t>
      </w:r>
    </w:p>
    <w:p w14:paraId="37FBE034"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 xml:space="preserve">Tracked and weekly RAG rated NEET Risk Level - Progress has been clearly reflected across the table </w:t>
      </w:r>
      <w:r>
        <w:t xml:space="preserve">(Appendix 1: Post 16 NEET Risk Overview) </w:t>
      </w:r>
      <w:r>
        <w:rPr>
          <w:rFonts w:eastAsia="Times New Roman" w:cstheme="minorHAnsi"/>
          <w:color w:val="222222"/>
          <w:lang w:eastAsia="en-GB"/>
        </w:rPr>
        <w:t>for the most part</w:t>
      </w:r>
    </w:p>
    <w:p w14:paraId="54D505DA"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We have a full picture of where our pupils have been at throughout the summer</w:t>
      </w:r>
    </w:p>
    <w:p w14:paraId="0B4E69AB"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t>We have seen an improvement in our RAG Rating through the summer for 16 pupils</w:t>
      </w:r>
    </w:p>
    <w:p w14:paraId="5A38870F"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t>We have supported 11 pupils to maintain a Green on our RAG rating</w:t>
      </w:r>
    </w:p>
    <w:p w14:paraId="45A21E4B"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t>2 pupils remained in their Amber position. Both were in line for an improvement to Green, unfortunately one is abroad, presumably for a holiday and one has moved away with no forwarding address. Both are being followed up and we anticipate both will want to start at college still.</w:t>
      </w:r>
    </w:p>
    <w:p w14:paraId="777106E6"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t>There has been a decline with 3 pupils in their RAG rating. One is due to their planned employment being put on hold because of covid-19 restrictions. Another is because of a mix-up with age restrictions on the building site he was meant to be working on.</w:t>
      </w:r>
    </w:p>
    <w:p w14:paraId="462295B9"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t>The final one is due to a late change of heart – pupil decided he no longer wanted to go to college and instead wanted something work based.</w:t>
      </w:r>
    </w:p>
    <w:p w14:paraId="37D6B0E6" w14:textId="77777777" w:rsidR="006A3E9D" w:rsidRDefault="006A3E9D" w:rsidP="006A3E9D">
      <w:pPr>
        <w:shd w:val="clear" w:color="auto" w:fill="FFFFFF"/>
        <w:spacing w:before="100" w:beforeAutospacing="1" w:after="100" w:afterAutospacing="1"/>
        <w:rPr>
          <w:rFonts w:eastAsia="Times New Roman" w:cstheme="minorHAnsi"/>
          <w:color w:val="222222"/>
          <w:lang w:eastAsia="en-GB"/>
        </w:rPr>
      </w:pPr>
    </w:p>
    <w:p w14:paraId="424D4777" w14:textId="77777777" w:rsidR="006A3E9D" w:rsidRDefault="006A3E9D" w:rsidP="006A3E9D">
      <w:pPr>
        <w:shd w:val="clear" w:color="auto" w:fill="FFFFFF"/>
        <w:spacing w:before="100" w:beforeAutospacing="1" w:after="100" w:afterAutospacing="1"/>
        <w:rPr>
          <w:rFonts w:eastAsia="Times New Roman" w:cstheme="minorHAnsi"/>
          <w:color w:val="222222"/>
          <w:lang w:eastAsia="en-GB"/>
        </w:rPr>
      </w:pPr>
    </w:p>
    <w:p w14:paraId="29BB66E4" w14:textId="77777777" w:rsidR="006A3E9D" w:rsidRDefault="006A3E9D" w:rsidP="006A3E9D">
      <w:pPr>
        <w:shd w:val="clear" w:color="auto" w:fill="FFFFFF"/>
        <w:spacing w:before="100" w:beforeAutospacing="1" w:after="100" w:afterAutospacing="1"/>
        <w:rPr>
          <w:rFonts w:eastAsia="Times New Roman" w:cstheme="minorHAnsi"/>
          <w:color w:val="222222"/>
          <w:lang w:eastAsia="en-GB"/>
        </w:rPr>
      </w:pPr>
    </w:p>
    <w:p w14:paraId="1566F752" w14:textId="77777777" w:rsidR="006A3E9D" w:rsidRDefault="006A3E9D" w:rsidP="006A3E9D">
      <w:pPr>
        <w:shd w:val="clear" w:color="auto" w:fill="FFFFFF"/>
        <w:spacing w:before="100" w:beforeAutospacing="1" w:after="100" w:afterAutospacing="1"/>
        <w:rPr>
          <w:rFonts w:eastAsia="Times New Roman" w:cstheme="minorHAnsi"/>
          <w:color w:val="222222"/>
          <w:lang w:eastAsia="en-GB"/>
        </w:rPr>
      </w:pPr>
    </w:p>
    <w:p w14:paraId="2A2ACB00" w14:textId="77777777" w:rsidR="006A3E9D" w:rsidRDefault="006A3E9D" w:rsidP="006A3E9D">
      <w:pPr>
        <w:shd w:val="clear" w:color="auto" w:fill="FFFFFF"/>
        <w:spacing w:before="100" w:beforeAutospacing="1" w:after="100" w:afterAutospacing="1"/>
        <w:rPr>
          <w:rFonts w:eastAsia="Times New Roman" w:cstheme="minorHAnsi"/>
          <w:b/>
          <w:bCs/>
          <w:color w:val="222222"/>
          <w:lang w:eastAsia="en-GB"/>
        </w:rPr>
      </w:pPr>
      <w:r>
        <w:rPr>
          <w:rFonts w:eastAsia="Times New Roman" w:cstheme="minorHAnsi"/>
          <w:b/>
          <w:bCs/>
          <w:color w:val="222222"/>
          <w:lang w:eastAsia="en-GB"/>
        </w:rPr>
        <w:t>Challenges we faced</w:t>
      </w:r>
    </w:p>
    <w:p w14:paraId="46BA7A0B"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After and during us providing a high level of support through various platform for pupils; we had some agreeing to engage with courses and presenting as keen and motivated. Unfortunately, they would then not follow up on final steps and would cease contact for periods of time.</w:t>
      </w:r>
    </w:p>
    <w:p w14:paraId="7AE8D6ED"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 xml:space="preserve">2 pupils from the same household from traveller families and seemingly wanting to keep their work lives private. </w:t>
      </w:r>
    </w:p>
    <w:p w14:paraId="518A479E"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One pupil was reported to have moved to a new house with no forwarding address whatsoever so work in tracking that pupil was set in motion.</w:t>
      </w:r>
    </w:p>
    <w:p w14:paraId="40EA6C9D"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Uncooperative family members and no direct line to contact pupils/not home during home visits.</w:t>
      </w:r>
    </w:p>
    <w:p w14:paraId="7C55924E" w14:textId="77777777" w:rsidR="006A3E9D" w:rsidRDefault="006A3E9D" w:rsidP="006A3E9D">
      <w:pPr>
        <w:widowControl/>
        <w:numPr>
          <w:ilvl w:val="0"/>
          <w:numId w:val="9"/>
        </w:numPr>
        <w:shd w:val="clear" w:color="auto" w:fill="FFFFFF"/>
        <w:autoSpaceDE/>
        <w:autoSpaceDN/>
        <w:spacing w:before="100" w:beforeAutospacing="1" w:after="100" w:afterAutospacing="1"/>
        <w:ind w:left="945"/>
        <w:rPr>
          <w:rFonts w:eastAsia="Times New Roman" w:cstheme="minorHAnsi"/>
          <w:color w:val="222222"/>
          <w:lang w:eastAsia="en-GB"/>
        </w:rPr>
      </w:pPr>
      <w:r>
        <w:rPr>
          <w:rFonts w:eastAsia="Times New Roman" w:cstheme="minorHAnsi"/>
          <w:color w:val="222222"/>
          <w:lang w:eastAsia="en-GB"/>
        </w:rPr>
        <w:t xml:space="preserve">One pupil scheduled to start college but then appears to have gone abroad with no further contact. This is being chased daily and further investigations underway. </w:t>
      </w:r>
    </w:p>
    <w:p w14:paraId="79DAC147" w14:textId="77777777" w:rsidR="006A3E9D" w:rsidRDefault="006A3E9D" w:rsidP="006A3E9D">
      <w:pPr>
        <w:rPr>
          <w:rFonts w:eastAsiaTheme="minorHAnsi" w:cstheme="minorBidi"/>
        </w:rPr>
      </w:pPr>
    </w:p>
    <w:p w14:paraId="5835C63D" w14:textId="77777777" w:rsidR="006A3E9D" w:rsidRDefault="006A3E9D" w:rsidP="006A3E9D">
      <w:r>
        <w:rPr>
          <w:b/>
          <w:bCs/>
        </w:rPr>
        <w:t>Our work moving forward</w:t>
      </w:r>
    </w:p>
    <w:p w14:paraId="2202FF55" w14:textId="77777777" w:rsidR="006A3E9D" w:rsidRDefault="006A3E9D" w:rsidP="006A3E9D">
      <w:r>
        <w:t xml:space="preserve">Because we have managed to maintain accurate tracking of pupils, we have clear oversight of which pupils are still NEET, which are potentially ‘at risk’ and then those other pupils that seem secure in their current positions. </w:t>
      </w:r>
    </w:p>
    <w:p w14:paraId="680A2C4E" w14:textId="77777777" w:rsidR="006A3E9D" w:rsidRDefault="006A3E9D" w:rsidP="006A3E9D">
      <w:r>
        <w:t xml:space="preserve">Going forward there are plans in place to engage with each of our pupils that are NEET. Callan Glean is coordinating the multi-agency effort. </w:t>
      </w:r>
    </w:p>
    <w:p w14:paraId="695290AA" w14:textId="77777777" w:rsidR="006A3E9D" w:rsidRDefault="006A3E9D" w:rsidP="006A3E9D">
      <w:r>
        <w:t xml:space="preserve">Additionally, we will be maintaining contact with those ‘at risk’ and currently secure pupils to prevent anyone slipping through the cracks. </w:t>
      </w:r>
    </w:p>
    <w:p w14:paraId="1F84ABEB" w14:textId="77777777" w:rsidR="006A3E9D" w:rsidRDefault="006A3E9D" w:rsidP="006A3E9D">
      <w:r>
        <w:t>We will be carrying out/tracking home visits and making regular attempts to contact pupils – maintaining detailed records and strategically targeting efforts according to need.</w:t>
      </w:r>
    </w:p>
    <w:p w14:paraId="3FC407E6" w14:textId="77777777" w:rsidR="006A3E9D" w:rsidRDefault="006A3E9D" w:rsidP="006A3E9D">
      <w:r>
        <w:t>There are plans in place for 6 of our NEET pupils on 22</w:t>
      </w:r>
      <w:r>
        <w:rPr>
          <w:vertAlign w:val="superscript"/>
        </w:rPr>
        <w:t>nd</w:t>
      </w:r>
      <w:r>
        <w:t xml:space="preserve"> September 2020 to have an initial look around the Skills Construction Centre in Clayton. The visit will be supported by Colette Torkington and Nicole Daswon from Career Connect along with Julia Richardson from MSPRU. Callan Glean will make contact with each pupil to encourage their engagement.</w:t>
      </w:r>
    </w:p>
    <w:p w14:paraId="5E6FDEDD" w14:textId="77777777" w:rsidR="006A3E9D" w:rsidRDefault="006A3E9D" w:rsidP="006A3E9D">
      <w:r>
        <w:t>The Skills Construction Centre</w:t>
      </w:r>
      <w:r>
        <w:rPr>
          <w:rFonts w:cstheme="minorHAnsi"/>
          <w:color w:val="222222"/>
          <w:shd w:val="clear" w:color="auto" w:fill="FFFFFF"/>
        </w:rPr>
        <w:t xml:space="preserve"> offer Entry and Level 1 Awards/Certificates/Diplomas in a variety of construction craft trades. Big selling point is they will pay for the CSCS card and help them prepare for it and won’t put them in for it until they know they are ready for it. They will help the young people achieve the qualifications and support them with completing the workbooks, acting as a scribe/reader etc if required after they have done practical activities. Students are required to wear masks during the visit which will be provided by Nicole.</w:t>
      </w:r>
    </w:p>
    <w:p w14:paraId="04C5BC19" w14:textId="77777777" w:rsidR="006A3E9D" w:rsidRDefault="006A3E9D" w:rsidP="006A3E9D">
      <w:r>
        <w:t>As always, we will keep MSPRU updated on all progress.</w:t>
      </w:r>
    </w:p>
    <w:p w14:paraId="30CDCF91" w14:textId="77777777" w:rsidR="006A3E9D" w:rsidRDefault="006A3E9D" w:rsidP="006A3E9D"/>
    <w:p w14:paraId="62A0C843" w14:textId="77777777" w:rsidR="006A3E9D" w:rsidRDefault="006A3E9D" w:rsidP="006A3E9D">
      <w:r>
        <w:t>Completed by:</w:t>
      </w:r>
    </w:p>
    <w:p w14:paraId="4D2FA355" w14:textId="77777777" w:rsidR="006A3E9D" w:rsidRDefault="006A3E9D" w:rsidP="006A3E9D">
      <w:r>
        <w:t>Daniel McCann</w:t>
      </w:r>
    </w:p>
    <w:p w14:paraId="3799CA6C" w14:textId="77777777" w:rsidR="006A3E9D" w:rsidRDefault="006A3E9D" w:rsidP="006A3E9D">
      <w:r>
        <w:t>Deputy Head (Pastoral)</w:t>
      </w:r>
    </w:p>
    <w:p w14:paraId="21F76335" w14:textId="77777777" w:rsidR="006A3E9D" w:rsidRDefault="006A3E9D" w:rsidP="006A3E9D"/>
    <w:p w14:paraId="533A2519" w14:textId="77777777" w:rsidR="006A3E9D" w:rsidRDefault="006A3E9D" w:rsidP="006A3E9D">
      <w:pPr>
        <w:rPr>
          <w:rFonts w:ascii="Arial" w:eastAsiaTheme="minorHAnsi" w:hAnsi="Arial" w:cs="Arial"/>
          <w:b/>
          <w:sz w:val="24"/>
          <w:szCs w:val="24"/>
        </w:rPr>
      </w:pPr>
      <w:r>
        <w:rPr>
          <w:rFonts w:ascii="Arial" w:hAnsi="Arial" w:cs="Arial"/>
          <w:b/>
          <w:sz w:val="24"/>
          <w:szCs w:val="24"/>
        </w:rPr>
        <w:t>Post 16 Transition Report Manchester Secondary PRU/Manchester College</w:t>
      </w:r>
    </w:p>
    <w:p w14:paraId="78AE0AE4" w14:textId="77777777" w:rsidR="006A3E9D" w:rsidRDefault="006A3E9D" w:rsidP="006A3E9D">
      <w:pPr>
        <w:rPr>
          <w:rFonts w:ascii="Arial" w:hAnsi="Arial" w:cs="Arial"/>
          <w:b/>
          <w:sz w:val="24"/>
          <w:szCs w:val="24"/>
        </w:rPr>
      </w:pPr>
      <w:r>
        <w:rPr>
          <w:rFonts w:ascii="Arial" w:hAnsi="Arial" w:cs="Arial"/>
          <w:b/>
          <w:sz w:val="24"/>
          <w:szCs w:val="24"/>
        </w:rPr>
        <w:t>July-Dec 2020</w:t>
      </w:r>
    </w:p>
    <w:p w14:paraId="47E4D2BA" w14:textId="77777777" w:rsidR="006A3E9D" w:rsidRDefault="006A3E9D" w:rsidP="006A3E9D">
      <w:pPr>
        <w:rPr>
          <w:rFonts w:ascii="Arial" w:hAnsi="Arial" w:cs="Arial"/>
          <w:b/>
          <w:sz w:val="24"/>
          <w:szCs w:val="24"/>
        </w:rPr>
      </w:pPr>
      <w:bookmarkStart w:id="8" w:name="_Hlk63257255"/>
      <w:r>
        <w:rPr>
          <w:rFonts w:ascii="Arial" w:hAnsi="Arial" w:cs="Arial"/>
          <w:b/>
          <w:sz w:val="24"/>
          <w:szCs w:val="24"/>
        </w:rPr>
        <w:t>Objectives July-Sept</w:t>
      </w:r>
    </w:p>
    <w:bookmarkEnd w:id="8"/>
    <w:p w14:paraId="3074F3D3" w14:textId="77777777" w:rsidR="006A3E9D" w:rsidRDefault="006A3E9D" w:rsidP="006A3E9D">
      <w:pPr>
        <w:pStyle w:val="ListParagraph"/>
        <w:widowControl/>
        <w:numPr>
          <w:ilvl w:val="0"/>
          <w:numId w:val="10"/>
        </w:numPr>
        <w:autoSpaceDE/>
        <w:autoSpaceDN/>
        <w:spacing w:before="0" w:after="200" w:line="276" w:lineRule="auto"/>
        <w:contextualSpacing/>
        <w:rPr>
          <w:rFonts w:ascii="Arial" w:hAnsi="Arial" w:cs="Arial"/>
          <w:sz w:val="24"/>
          <w:szCs w:val="24"/>
        </w:rPr>
      </w:pPr>
      <w:r>
        <w:rPr>
          <w:rFonts w:ascii="Arial" w:hAnsi="Arial" w:cs="Arial"/>
          <w:sz w:val="24"/>
          <w:szCs w:val="24"/>
        </w:rPr>
        <w:t>To monitor the transition of Manchester Secondary PRU Year 11 learners through a clear transition process from school into a post-16 study programme.</w:t>
      </w:r>
    </w:p>
    <w:p w14:paraId="11BABFB8" w14:textId="77777777" w:rsidR="006A3E9D" w:rsidRDefault="006A3E9D" w:rsidP="006A3E9D">
      <w:pPr>
        <w:pStyle w:val="ListParagraph"/>
        <w:widowControl/>
        <w:numPr>
          <w:ilvl w:val="0"/>
          <w:numId w:val="10"/>
        </w:numPr>
        <w:autoSpaceDE/>
        <w:autoSpaceDN/>
        <w:spacing w:before="0" w:after="200" w:line="276" w:lineRule="auto"/>
        <w:contextualSpacing/>
        <w:rPr>
          <w:rFonts w:ascii="Arial" w:hAnsi="Arial" w:cs="Arial"/>
          <w:sz w:val="24"/>
          <w:szCs w:val="24"/>
        </w:rPr>
      </w:pPr>
      <w:r>
        <w:rPr>
          <w:rFonts w:ascii="Arial" w:hAnsi="Arial" w:cs="Arial"/>
          <w:sz w:val="24"/>
          <w:szCs w:val="24"/>
        </w:rPr>
        <w:t>To provide a single point of contact for learners, teachers support staff and external agencies.</w:t>
      </w:r>
    </w:p>
    <w:p w14:paraId="4459B60F" w14:textId="77777777" w:rsidR="006A3E9D" w:rsidRDefault="006A3E9D" w:rsidP="006A3E9D">
      <w:pPr>
        <w:pStyle w:val="ListParagraph"/>
        <w:widowControl/>
        <w:numPr>
          <w:ilvl w:val="0"/>
          <w:numId w:val="10"/>
        </w:numPr>
        <w:autoSpaceDE/>
        <w:autoSpaceDN/>
        <w:spacing w:before="0" w:after="200" w:line="276" w:lineRule="auto"/>
        <w:contextualSpacing/>
        <w:rPr>
          <w:rFonts w:ascii="Arial" w:hAnsi="Arial" w:cs="Arial"/>
          <w:sz w:val="24"/>
          <w:szCs w:val="24"/>
        </w:rPr>
      </w:pPr>
      <w:r>
        <w:rPr>
          <w:rFonts w:ascii="Arial" w:hAnsi="Arial" w:cs="Arial"/>
          <w:sz w:val="24"/>
          <w:szCs w:val="24"/>
        </w:rPr>
        <w:t>To provide on-site, needs-based interventions and off-site outreach to support learners to successfully sustain transition into post-16 provision.</w:t>
      </w:r>
    </w:p>
    <w:p w14:paraId="40AA2A7A" w14:textId="77777777" w:rsidR="006A3E9D" w:rsidRDefault="006A3E9D" w:rsidP="006A3E9D">
      <w:pPr>
        <w:rPr>
          <w:rFonts w:ascii="Arial" w:hAnsi="Arial" w:cs="Arial"/>
          <w:b/>
          <w:bCs/>
          <w:sz w:val="24"/>
          <w:szCs w:val="24"/>
        </w:rPr>
      </w:pPr>
      <w:r>
        <w:rPr>
          <w:rFonts w:ascii="Arial" w:hAnsi="Arial" w:cs="Arial"/>
          <w:b/>
          <w:bCs/>
          <w:sz w:val="24"/>
          <w:szCs w:val="24"/>
        </w:rPr>
        <w:t>Activity July-Sept</w:t>
      </w:r>
    </w:p>
    <w:p w14:paraId="5B2C59AB" w14:textId="77777777" w:rsidR="006A3E9D" w:rsidRDefault="006A3E9D" w:rsidP="006A3E9D">
      <w:pPr>
        <w:rPr>
          <w:rFonts w:ascii="Arial" w:hAnsi="Arial" w:cs="Arial"/>
          <w:sz w:val="24"/>
          <w:szCs w:val="24"/>
        </w:rPr>
      </w:pPr>
      <w:r>
        <w:rPr>
          <w:rFonts w:ascii="Arial" w:hAnsi="Arial" w:cs="Arial"/>
          <w:sz w:val="24"/>
          <w:szCs w:val="24"/>
        </w:rPr>
        <w:t>Establish Process</w:t>
      </w:r>
    </w:p>
    <w:p w14:paraId="4F78DCAC" w14:textId="77777777" w:rsidR="006A3E9D" w:rsidRDefault="006A3E9D" w:rsidP="006A3E9D">
      <w:pPr>
        <w:pStyle w:val="ListParagraph"/>
        <w:widowControl/>
        <w:numPr>
          <w:ilvl w:val="0"/>
          <w:numId w:val="11"/>
        </w:numPr>
        <w:autoSpaceDE/>
        <w:autoSpaceDN/>
        <w:spacing w:before="0" w:after="200" w:line="276" w:lineRule="auto"/>
        <w:contextualSpacing/>
        <w:rPr>
          <w:rFonts w:ascii="Arial" w:hAnsi="Arial" w:cs="Arial"/>
          <w:sz w:val="24"/>
          <w:szCs w:val="24"/>
        </w:rPr>
      </w:pPr>
      <w:r>
        <w:rPr>
          <w:rFonts w:ascii="Arial" w:hAnsi="Arial" w:cs="Arial"/>
          <w:sz w:val="24"/>
          <w:szCs w:val="24"/>
        </w:rPr>
        <w:t>Designate Lead Co-ordinator</w:t>
      </w:r>
    </w:p>
    <w:p w14:paraId="6AB68D5F" w14:textId="77777777" w:rsidR="006A3E9D" w:rsidRDefault="006A3E9D" w:rsidP="006A3E9D">
      <w:pPr>
        <w:pStyle w:val="ListParagraph"/>
        <w:widowControl/>
        <w:numPr>
          <w:ilvl w:val="0"/>
          <w:numId w:val="11"/>
        </w:numPr>
        <w:autoSpaceDE/>
        <w:autoSpaceDN/>
        <w:spacing w:before="0" w:after="200" w:line="276" w:lineRule="auto"/>
        <w:contextualSpacing/>
        <w:rPr>
          <w:rFonts w:ascii="Arial" w:hAnsi="Arial" w:cs="Arial"/>
          <w:sz w:val="24"/>
          <w:szCs w:val="24"/>
        </w:rPr>
      </w:pPr>
      <w:r>
        <w:rPr>
          <w:rFonts w:ascii="Arial" w:hAnsi="Arial" w:cs="Arial"/>
          <w:sz w:val="24"/>
          <w:szCs w:val="24"/>
        </w:rPr>
        <w:t>Begin recruitment process for Youth Coach</w:t>
      </w:r>
    </w:p>
    <w:p w14:paraId="785A5C03" w14:textId="77777777" w:rsidR="006A3E9D" w:rsidRDefault="006A3E9D" w:rsidP="006A3E9D">
      <w:pPr>
        <w:pStyle w:val="ListParagraph"/>
        <w:widowControl/>
        <w:numPr>
          <w:ilvl w:val="0"/>
          <w:numId w:val="11"/>
        </w:numPr>
        <w:autoSpaceDE/>
        <w:autoSpaceDN/>
        <w:spacing w:before="0" w:after="200" w:line="276" w:lineRule="auto"/>
        <w:contextualSpacing/>
        <w:rPr>
          <w:rFonts w:ascii="Arial" w:hAnsi="Arial" w:cs="Arial"/>
          <w:sz w:val="24"/>
          <w:szCs w:val="24"/>
        </w:rPr>
      </w:pPr>
      <w:r>
        <w:rPr>
          <w:rFonts w:ascii="Arial" w:hAnsi="Arial" w:cs="Arial"/>
          <w:sz w:val="24"/>
          <w:szCs w:val="24"/>
        </w:rPr>
        <w:t>Co-ordinating with key (named) staff from:</w:t>
      </w:r>
    </w:p>
    <w:p w14:paraId="3D88CB83" w14:textId="77777777" w:rsidR="006A3E9D" w:rsidRDefault="006A3E9D" w:rsidP="006A3E9D">
      <w:pPr>
        <w:rPr>
          <w:rFonts w:ascii="Arial" w:hAnsi="Arial" w:cs="Arial"/>
          <w:sz w:val="24"/>
          <w:szCs w:val="24"/>
        </w:rPr>
      </w:pPr>
      <w:r>
        <w:rPr>
          <w:rFonts w:ascii="Arial" w:hAnsi="Arial" w:cs="Arial"/>
          <w:sz w:val="24"/>
          <w:szCs w:val="24"/>
        </w:rPr>
        <w:t>Careers Connect, CAWS, Student Experience, Transition Team, School Liaison, Core PRU Centre Managers, Transition link manager MSPRU</w:t>
      </w:r>
    </w:p>
    <w:p w14:paraId="43F43423" w14:textId="77777777" w:rsidR="006A3E9D" w:rsidRDefault="006A3E9D" w:rsidP="006A3E9D">
      <w:pPr>
        <w:rPr>
          <w:rFonts w:ascii="Arial" w:hAnsi="Arial" w:cs="Arial"/>
          <w:sz w:val="24"/>
          <w:szCs w:val="24"/>
        </w:rPr>
      </w:pPr>
      <w:r>
        <w:rPr>
          <w:rFonts w:ascii="Arial" w:hAnsi="Arial" w:cs="Arial"/>
          <w:sz w:val="24"/>
          <w:szCs w:val="24"/>
        </w:rPr>
        <w:t xml:space="preserve">Identify learners </w:t>
      </w:r>
    </w:p>
    <w:p w14:paraId="0A80EA80" w14:textId="77777777" w:rsidR="006A3E9D" w:rsidRDefault="006A3E9D" w:rsidP="006A3E9D">
      <w:pPr>
        <w:pStyle w:val="ListParagraph"/>
        <w:widowControl/>
        <w:numPr>
          <w:ilvl w:val="0"/>
          <w:numId w:val="12"/>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151 students on list of school leavers shared by Manchester Secondary PRU. </w:t>
      </w:r>
    </w:p>
    <w:p w14:paraId="0EB0E46E" w14:textId="77777777" w:rsidR="006A3E9D" w:rsidRDefault="006A3E9D" w:rsidP="006A3E9D">
      <w:pPr>
        <w:pStyle w:val="ListParagraph"/>
        <w:widowControl/>
        <w:numPr>
          <w:ilvl w:val="0"/>
          <w:numId w:val="12"/>
        </w:numPr>
        <w:autoSpaceDE/>
        <w:autoSpaceDN/>
        <w:spacing w:before="0" w:after="200" w:line="276" w:lineRule="auto"/>
        <w:contextualSpacing/>
        <w:rPr>
          <w:rFonts w:ascii="Arial" w:hAnsi="Arial" w:cs="Arial"/>
          <w:sz w:val="24"/>
          <w:szCs w:val="24"/>
        </w:rPr>
      </w:pPr>
      <w:r>
        <w:rPr>
          <w:rFonts w:ascii="Arial" w:hAnsi="Arial" w:cs="Arial"/>
          <w:sz w:val="24"/>
          <w:szCs w:val="24"/>
        </w:rPr>
        <w:t>TMC School Liaison Team identified 101 school leavers who had expressed an interest in attending a course at TMC during the previous year. Some had TMC as a second choice.</w:t>
      </w:r>
    </w:p>
    <w:p w14:paraId="3337FEB8" w14:textId="77777777" w:rsidR="006A3E9D" w:rsidRDefault="006A3E9D" w:rsidP="006A3E9D">
      <w:pPr>
        <w:pStyle w:val="ListParagraph"/>
        <w:widowControl/>
        <w:numPr>
          <w:ilvl w:val="0"/>
          <w:numId w:val="12"/>
        </w:numPr>
        <w:autoSpaceDE/>
        <w:autoSpaceDN/>
        <w:spacing w:before="0" w:after="200" w:line="276" w:lineRule="auto"/>
        <w:contextualSpacing/>
        <w:rPr>
          <w:rFonts w:ascii="Arial" w:hAnsi="Arial" w:cs="Arial"/>
          <w:sz w:val="24"/>
          <w:szCs w:val="24"/>
        </w:rPr>
      </w:pPr>
      <w:r>
        <w:rPr>
          <w:rFonts w:ascii="Arial" w:hAnsi="Arial" w:cs="Arial"/>
          <w:sz w:val="24"/>
          <w:szCs w:val="24"/>
        </w:rPr>
        <w:t>Training was delivered to Manchester Secondary PRU Centre staff around TMC online application and enrolment process.</w:t>
      </w:r>
    </w:p>
    <w:p w14:paraId="06339983" w14:textId="77777777" w:rsidR="006A3E9D" w:rsidRDefault="006A3E9D" w:rsidP="006A3E9D">
      <w:pPr>
        <w:pStyle w:val="ListParagraph"/>
        <w:widowControl/>
        <w:numPr>
          <w:ilvl w:val="0"/>
          <w:numId w:val="12"/>
        </w:numPr>
        <w:autoSpaceDE/>
        <w:autoSpaceDN/>
        <w:spacing w:before="0" w:after="200" w:line="276" w:lineRule="auto"/>
        <w:contextualSpacing/>
        <w:rPr>
          <w:rFonts w:ascii="Arial" w:hAnsi="Arial" w:cs="Arial"/>
          <w:sz w:val="24"/>
          <w:szCs w:val="24"/>
        </w:rPr>
      </w:pPr>
      <w:r>
        <w:rPr>
          <w:rFonts w:ascii="Arial" w:hAnsi="Arial" w:cs="Arial"/>
          <w:sz w:val="24"/>
          <w:szCs w:val="24"/>
        </w:rPr>
        <w:t>During this process a further 20 learners decided to attend other colleges, training providers, gained employment or refused support to apply.</w:t>
      </w:r>
    </w:p>
    <w:p w14:paraId="0494E0B4" w14:textId="77777777" w:rsidR="006A3E9D" w:rsidRDefault="006A3E9D" w:rsidP="006A3E9D">
      <w:pPr>
        <w:pStyle w:val="ListParagraph"/>
        <w:widowControl/>
        <w:numPr>
          <w:ilvl w:val="0"/>
          <w:numId w:val="12"/>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35 of the 101 learners were identified as having EHCP or Learning Support needs and were managed through the college ‘Transition Team’ with a dedicated SEN&amp;D Specialist Transition Officer. </w:t>
      </w:r>
    </w:p>
    <w:p w14:paraId="5E7D1003" w14:textId="77777777" w:rsidR="006A3E9D" w:rsidRDefault="006A3E9D" w:rsidP="006A3E9D">
      <w:pPr>
        <w:rPr>
          <w:rFonts w:ascii="Arial" w:hAnsi="Arial" w:cs="Arial"/>
          <w:sz w:val="24"/>
          <w:szCs w:val="24"/>
        </w:rPr>
      </w:pPr>
      <w:r>
        <w:rPr>
          <w:rFonts w:ascii="Arial" w:hAnsi="Arial" w:cs="Arial"/>
          <w:sz w:val="24"/>
          <w:szCs w:val="24"/>
        </w:rPr>
        <w:t>Keep Warm</w:t>
      </w:r>
    </w:p>
    <w:p w14:paraId="7EDC2CE3" w14:textId="77777777" w:rsidR="006A3E9D" w:rsidRDefault="0040427E" w:rsidP="006A3E9D">
      <w:pPr>
        <w:pStyle w:val="ListParagraph"/>
        <w:widowControl/>
        <w:numPr>
          <w:ilvl w:val="0"/>
          <w:numId w:val="13"/>
        </w:numPr>
        <w:autoSpaceDE/>
        <w:autoSpaceDN/>
        <w:spacing w:before="0" w:after="200" w:line="276" w:lineRule="auto"/>
        <w:contextualSpacing/>
        <w:rPr>
          <w:rFonts w:ascii="Arial" w:hAnsi="Arial" w:cs="Arial"/>
          <w:sz w:val="24"/>
          <w:szCs w:val="24"/>
        </w:rPr>
      </w:pPr>
      <w:hyperlink r:id="rId17" w:history="1">
        <w:r w:rsidR="006A3E9D">
          <w:rPr>
            <w:rStyle w:val="Hyperlink"/>
            <w:rFonts w:ascii="Arial" w:hAnsi="Arial" w:cs="Arial"/>
            <w:sz w:val="24"/>
            <w:szCs w:val="24"/>
          </w:rPr>
          <w:t>TMC Couch to College</w:t>
        </w:r>
      </w:hyperlink>
      <w:r w:rsidR="006A3E9D">
        <w:rPr>
          <w:rFonts w:ascii="Arial" w:hAnsi="Arial" w:cs="Arial"/>
          <w:sz w:val="24"/>
          <w:szCs w:val="24"/>
        </w:rPr>
        <w:t xml:space="preserve"> school leavers were invited to attend TMC digital sessions during the first three weeks of July as a way of transitioning from school to their future learning while lockdown restrictions were in place.</w:t>
      </w:r>
    </w:p>
    <w:p w14:paraId="5FB2EC96" w14:textId="77777777" w:rsidR="006A3E9D" w:rsidRDefault="006A3E9D" w:rsidP="006A3E9D">
      <w:pPr>
        <w:pStyle w:val="ListParagraph"/>
        <w:widowControl/>
        <w:numPr>
          <w:ilvl w:val="0"/>
          <w:numId w:val="13"/>
        </w:numPr>
        <w:autoSpaceDE/>
        <w:autoSpaceDN/>
        <w:spacing w:before="0" w:after="200" w:line="276" w:lineRule="auto"/>
        <w:contextualSpacing/>
        <w:rPr>
          <w:rFonts w:ascii="Arial" w:hAnsi="Arial" w:cs="Arial"/>
          <w:sz w:val="24"/>
          <w:szCs w:val="24"/>
        </w:rPr>
      </w:pPr>
      <w:r>
        <w:rPr>
          <w:rFonts w:ascii="Arial" w:hAnsi="Arial" w:cs="Arial"/>
          <w:sz w:val="24"/>
          <w:szCs w:val="24"/>
        </w:rPr>
        <w:t>97 school leavers were case loaded and contacted by a single point of contact from TMC to support with online application and early enrolment during July and August.</w:t>
      </w:r>
    </w:p>
    <w:p w14:paraId="6E2B1486" w14:textId="77777777" w:rsidR="006A3E9D" w:rsidRDefault="006A3E9D" w:rsidP="006A3E9D">
      <w:pPr>
        <w:rPr>
          <w:rFonts w:ascii="Arial" w:hAnsi="Arial" w:cs="Arial"/>
          <w:sz w:val="24"/>
          <w:szCs w:val="24"/>
        </w:rPr>
      </w:pPr>
      <w:r>
        <w:rPr>
          <w:rFonts w:ascii="Arial" w:hAnsi="Arial" w:cs="Arial"/>
          <w:sz w:val="24"/>
          <w:szCs w:val="24"/>
        </w:rPr>
        <w:t>Manage Enrolment Process</w:t>
      </w:r>
    </w:p>
    <w:p w14:paraId="05BF5750" w14:textId="77777777" w:rsidR="006A3E9D" w:rsidRDefault="006A3E9D" w:rsidP="006A3E9D">
      <w:pPr>
        <w:pStyle w:val="ListParagraph"/>
        <w:widowControl/>
        <w:numPr>
          <w:ilvl w:val="0"/>
          <w:numId w:val="13"/>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Single point of contact arranged on-site face to face orientation meeting with 57 school leavers across 6 sites. </w:t>
      </w:r>
    </w:p>
    <w:p w14:paraId="18854AA4" w14:textId="77777777" w:rsidR="006A3E9D" w:rsidRDefault="006A3E9D" w:rsidP="006A3E9D">
      <w:pPr>
        <w:pStyle w:val="ListParagraph"/>
        <w:widowControl/>
        <w:numPr>
          <w:ilvl w:val="0"/>
          <w:numId w:val="13"/>
        </w:numPr>
        <w:autoSpaceDE/>
        <w:autoSpaceDN/>
        <w:spacing w:before="0" w:after="200" w:line="276" w:lineRule="auto"/>
        <w:contextualSpacing/>
        <w:rPr>
          <w:rFonts w:ascii="Arial" w:hAnsi="Arial" w:cs="Arial"/>
          <w:sz w:val="24"/>
          <w:szCs w:val="24"/>
        </w:rPr>
      </w:pPr>
      <w:r>
        <w:rPr>
          <w:rFonts w:ascii="Arial" w:hAnsi="Arial" w:cs="Arial"/>
          <w:sz w:val="24"/>
          <w:szCs w:val="24"/>
        </w:rPr>
        <w:t>35 school leavers completed enrolment during this initial process</w:t>
      </w:r>
    </w:p>
    <w:p w14:paraId="4C8D405B" w14:textId="77777777" w:rsidR="006A3E9D" w:rsidRDefault="006A3E9D" w:rsidP="006A3E9D">
      <w:pPr>
        <w:pStyle w:val="ListParagraph"/>
        <w:widowControl/>
        <w:numPr>
          <w:ilvl w:val="0"/>
          <w:numId w:val="13"/>
        </w:numPr>
        <w:autoSpaceDE/>
        <w:autoSpaceDN/>
        <w:spacing w:before="0" w:after="200" w:line="276" w:lineRule="auto"/>
        <w:contextualSpacing/>
        <w:rPr>
          <w:rFonts w:ascii="Arial" w:hAnsi="Arial" w:cs="Arial"/>
          <w:sz w:val="24"/>
          <w:szCs w:val="24"/>
        </w:rPr>
      </w:pPr>
      <w:r>
        <w:rPr>
          <w:rFonts w:ascii="Arial" w:hAnsi="Arial" w:cs="Arial"/>
          <w:sz w:val="24"/>
          <w:szCs w:val="24"/>
        </w:rPr>
        <w:t>Further appointments were made for those that didn’t attend. In total 59 school leavers completed enrolments before September.</w:t>
      </w:r>
    </w:p>
    <w:p w14:paraId="61EAC789" w14:textId="77777777" w:rsidR="006A3E9D" w:rsidRDefault="006A3E9D" w:rsidP="006A3E9D">
      <w:pPr>
        <w:rPr>
          <w:rFonts w:ascii="Arial" w:hAnsi="Arial" w:cs="Arial"/>
          <w:b/>
          <w:bCs/>
          <w:sz w:val="24"/>
          <w:szCs w:val="24"/>
        </w:rPr>
      </w:pPr>
      <w:r>
        <w:rPr>
          <w:rFonts w:ascii="Arial" w:hAnsi="Arial" w:cs="Arial"/>
          <w:b/>
          <w:bCs/>
          <w:sz w:val="24"/>
          <w:szCs w:val="24"/>
        </w:rPr>
        <w:t>Objectives Sept-Dec</w:t>
      </w:r>
    </w:p>
    <w:p w14:paraId="06F5C2DE" w14:textId="77777777" w:rsidR="006A3E9D" w:rsidRDefault="006A3E9D" w:rsidP="006A3E9D">
      <w:pPr>
        <w:pStyle w:val="ListParagraph"/>
        <w:rPr>
          <w:rFonts w:ascii="Arial" w:hAnsi="Arial" w:cs="Arial"/>
          <w:sz w:val="24"/>
          <w:szCs w:val="24"/>
        </w:rPr>
      </w:pPr>
    </w:p>
    <w:p w14:paraId="1D4167F0" w14:textId="77777777" w:rsidR="006A3E9D" w:rsidRDefault="006A3E9D" w:rsidP="006A3E9D">
      <w:pPr>
        <w:pStyle w:val="ListParagraph"/>
        <w:widowControl/>
        <w:numPr>
          <w:ilvl w:val="0"/>
          <w:numId w:val="10"/>
        </w:numPr>
        <w:autoSpaceDE/>
        <w:autoSpaceDN/>
        <w:spacing w:before="0" w:after="200" w:line="276" w:lineRule="auto"/>
        <w:contextualSpacing/>
        <w:rPr>
          <w:rFonts w:ascii="Arial" w:hAnsi="Arial" w:cs="Arial"/>
          <w:sz w:val="24"/>
          <w:szCs w:val="24"/>
        </w:rPr>
      </w:pPr>
      <w:r>
        <w:rPr>
          <w:rFonts w:ascii="Arial" w:hAnsi="Arial" w:cs="Arial"/>
          <w:color w:val="0B0C0C"/>
          <w:sz w:val="24"/>
          <w:szCs w:val="24"/>
        </w:rPr>
        <w:t>To provide on-site, needs-based interventions and off-site outreach to support learners to successfully sustain transition into post-16 provision.</w:t>
      </w:r>
    </w:p>
    <w:p w14:paraId="713D18E2" w14:textId="77777777" w:rsidR="006A3E9D" w:rsidRDefault="006A3E9D" w:rsidP="006A3E9D">
      <w:pPr>
        <w:pStyle w:val="ListParagraph"/>
        <w:widowControl/>
        <w:numPr>
          <w:ilvl w:val="0"/>
          <w:numId w:val="10"/>
        </w:numPr>
        <w:autoSpaceDE/>
        <w:autoSpaceDN/>
        <w:spacing w:before="0" w:after="200" w:line="276" w:lineRule="auto"/>
        <w:contextualSpacing/>
        <w:rPr>
          <w:rFonts w:ascii="Arial" w:hAnsi="Arial" w:cs="Arial"/>
          <w:sz w:val="24"/>
          <w:szCs w:val="24"/>
        </w:rPr>
      </w:pPr>
      <w:r>
        <w:rPr>
          <w:rFonts w:ascii="Arial" w:hAnsi="Arial" w:cs="Arial"/>
          <w:sz w:val="24"/>
          <w:szCs w:val="24"/>
        </w:rPr>
        <w:t>To monitor effectiveness of engagement in post-16 study programme throughout Autumn term.</w:t>
      </w:r>
    </w:p>
    <w:p w14:paraId="4FF086DE" w14:textId="77777777" w:rsidR="006A3E9D" w:rsidRDefault="006A3E9D" w:rsidP="006A3E9D">
      <w:pPr>
        <w:pStyle w:val="ListParagraph"/>
        <w:rPr>
          <w:rFonts w:ascii="Arial" w:hAnsi="Arial" w:cs="Arial"/>
          <w:sz w:val="24"/>
          <w:szCs w:val="24"/>
        </w:rPr>
      </w:pPr>
    </w:p>
    <w:p w14:paraId="5972DAB9" w14:textId="77777777" w:rsidR="006A3E9D" w:rsidRDefault="006A3E9D" w:rsidP="006A3E9D">
      <w:pPr>
        <w:rPr>
          <w:rFonts w:ascii="Arial" w:hAnsi="Arial" w:cs="Arial"/>
          <w:b/>
          <w:bCs/>
          <w:sz w:val="24"/>
          <w:szCs w:val="24"/>
        </w:rPr>
      </w:pPr>
      <w:r>
        <w:rPr>
          <w:rFonts w:ascii="Arial" w:hAnsi="Arial" w:cs="Arial"/>
          <w:b/>
          <w:bCs/>
          <w:sz w:val="24"/>
          <w:szCs w:val="24"/>
        </w:rPr>
        <w:t>Activity Sept-Dec</w:t>
      </w:r>
    </w:p>
    <w:p w14:paraId="263DD083" w14:textId="77777777" w:rsidR="006A3E9D" w:rsidRDefault="006A3E9D" w:rsidP="006A3E9D">
      <w:pPr>
        <w:rPr>
          <w:rFonts w:ascii="Arial" w:hAnsi="Arial" w:cs="Arial"/>
          <w:sz w:val="24"/>
          <w:szCs w:val="24"/>
        </w:rPr>
      </w:pPr>
      <w:r>
        <w:rPr>
          <w:rFonts w:ascii="Arial" w:hAnsi="Arial" w:cs="Arial"/>
          <w:sz w:val="24"/>
          <w:szCs w:val="24"/>
        </w:rPr>
        <w:t>Non-Starters</w:t>
      </w:r>
    </w:p>
    <w:p w14:paraId="2C74FB3F" w14:textId="77777777" w:rsidR="006A3E9D" w:rsidRDefault="006A3E9D" w:rsidP="006A3E9D">
      <w:pPr>
        <w:rPr>
          <w:rFonts w:ascii="Arial" w:hAnsi="Arial" w:cs="Arial"/>
          <w:sz w:val="24"/>
          <w:szCs w:val="24"/>
        </w:rPr>
      </w:pPr>
      <w:r>
        <w:rPr>
          <w:rFonts w:ascii="Arial" w:hAnsi="Arial" w:cs="Arial"/>
          <w:sz w:val="24"/>
          <w:szCs w:val="24"/>
        </w:rPr>
        <w:t>3 school leavers never attended any sessions</w:t>
      </w:r>
    </w:p>
    <w:p w14:paraId="1ED76892" w14:textId="77777777" w:rsidR="006A3E9D" w:rsidRDefault="006A3E9D" w:rsidP="006A3E9D">
      <w:pPr>
        <w:pStyle w:val="ListParagraph"/>
        <w:widowControl/>
        <w:numPr>
          <w:ilvl w:val="0"/>
          <w:numId w:val="14"/>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Historic non-attender Social work contact, Welfare check by GMP, referred to Career Connect. </w:t>
      </w:r>
    </w:p>
    <w:p w14:paraId="48D363DC" w14:textId="77777777" w:rsidR="006A3E9D" w:rsidRDefault="006A3E9D" w:rsidP="006A3E9D">
      <w:pPr>
        <w:pStyle w:val="ListParagraph"/>
        <w:widowControl/>
        <w:numPr>
          <w:ilvl w:val="0"/>
          <w:numId w:val="14"/>
        </w:numPr>
        <w:autoSpaceDE/>
        <w:autoSpaceDN/>
        <w:spacing w:before="0" w:after="200" w:line="276" w:lineRule="auto"/>
        <w:contextualSpacing/>
        <w:rPr>
          <w:rFonts w:ascii="Arial" w:hAnsi="Arial" w:cs="Arial"/>
          <w:sz w:val="24"/>
          <w:szCs w:val="24"/>
        </w:rPr>
      </w:pPr>
      <w:r>
        <w:rPr>
          <w:rFonts w:ascii="Arial" w:hAnsi="Arial" w:cs="Arial"/>
          <w:sz w:val="24"/>
          <w:szCs w:val="24"/>
        </w:rPr>
        <w:t>Moved out of area for own safety</w:t>
      </w:r>
    </w:p>
    <w:p w14:paraId="70AAB8F3" w14:textId="77777777" w:rsidR="006A3E9D" w:rsidRDefault="006A3E9D" w:rsidP="006A3E9D">
      <w:pPr>
        <w:pStyle w:val="ListParagraph"/>
        <w:widowControl/>
        <w:numPr>
          <w:ilvl w:val="0"/>
          <w:numId w:val="14"/>
        </w:numPr>
        <w:autoSpaceDE/>
        <w:autoSpaceDN/>
        <w:spacing w:before="0" w:after="200" w:line="276" w:lineRule="auto"/>
        <w:contextualSpacing/>
        <w:rPr>
          <w:rFonts w:ascii="Arial" w:hAnsi="Arial" w:cs="Arial"/>
          <w:sz w:val="24"/>
          <w:szCs w:val="24"/>
        </w:rPr>
      </w:pPr>
      <w:r>
        <w:rPr>
          <w:rFonts w:ascii="Arial" w:hAnsi="Arial" w:cs="Arial"/>
          <w:sz w:val="24"/>
          <w:szCs w:val="24"/>
        </w:rPr>
        <w:t>Went to another college where friends were</w:t>
      </w:r>
    </w:p>
    <w:p w14:paraId="60862DCC" w14:textId="77777777" w:rsidR="006A3E9D" w:rsidRDefault="006A3E9D" w:rsidP="006A3E9D">
      <w:pPr>
        <w:rPr>
          <w:rFonts w:ascii="Arial" w:hAnsi="Arial" w:cs="Arial"/>
          <w:b/>
          <w:bCs/>
          <w:sz w:val="24"/>
          <w:szCs w:val="24"/>
        </w:rPr>
      </w:pPr>
      <w:r>
        <w:rPr>
          <w:rFonts w:ascii="Arial" w:hAnsi="Arial" w:cs="Arial"/>
          <w:b/>
          <w:bCs/>
          <w:sz w:val="24"/>
          <w:szCs w:val="24"/>
        </w:rPr>
        <w:t>Autumn Term 1 Sept-Oct</w:t>
      </w:r>
    </w:p>
    <w:p w14:paraId="1697DE21" w14:textId="77777777" w:rsidR="006A3E9D" w:rsidRDefault="006A3E9D" w:rsidP="006A3E9D">
      <w:pPr>
        <w:rPr>
          <w:rFonts w:ascii="Arial" w:hAnsi="Arial" w:cs="Arial"/>
          <w:sz w:val="24"/>
          <w:szCs w:val="24"/>
        </w:rPr>
      </w:pPr>
      <w:bookmarkStart w:id="9" w:name="_Hlk63260343"/>
      <w:r>
        <w:rPr>
          <w:rFonts w:ascii="Arial" w:hAnsi="Arial" w:cs="Arial"/>
          <w:sz w:val="24"/>
          <w:szCs w:val="24"/>
        </w:rPr>
        <w:t xml:space="preserve">8 students withdrawn in Autumn term 1 </w:t>
      </w:r>
    </w:p>
    <w:bookmarkEnd w:id="9"/>
    <w:p w14:paraId="5B31447F" w14:textId="77777777" w:rsidR="006A3E9D" w:rsidRDefault="006A3E9D" w:rsidP="006A3E9D">
      <w:pPr>
        <w:pStyle w:val="ListParagraph"/>
        <w:widowControl/>
        <w:numPr>
          <w:ilvl w:val="0"/>
          <w:numId w:val="15"/>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3 withdrawn for poor attendance- </w:t>
      </w:r>
      <w:bookmarkStart w:id="10" w:name="_Hlk63261070"/>
      <w:r>
        <w:rPr>
          <w:rFonts w:ascii="Arial" w:hAnsi="Arial" w:cs="Arial"/>
          <w:sz w:val="24"/>
          <w:szCs w:val="24"/>
        </w:rPr>
        <w:t xml:space="preserve">Supported by achievement tutors, student experience team as well as single point of contact. </w:t>
      </w:r>
      <w:bookmarkEnd w:id="10"/>
      <w:r>
        <w:rPr>
          <w:rFonts w:ascii="Arial" w:hAnsi="Arial" w:cs="Arial"/>
          <w:sz w:val="24"/>
          <w:szCs w:val="24"/>
        </w:rPr>
        <w:t>Students invited to re-enrol in January if circumstances change. Referred to Career Connect.</w:t>
      </w:r>
    </w:p>
    <w:p w14:paraId="0C1D91EF" w14:textId="77777777" w:rsidR="006A3E9D" w:rsidRDefault="006A3E9D" w:rsidP="006A3E9D">
      <w:pPr>
        <w:pStyle w:val="ListParagraph"/>
        <w:widowControl/>
        <w:numPr>
          <w:ilvl w:val="0"/>
          <w:numId w:val="15"/>
        </w:numPr>
        <w:autoSpaceDE/>
        <w:autoSpaceDN/>
        <w:spacing w:before="0" w:after="200" w:line="276" w:lineRule="auto"/>
        <w:contextualSpacing/>
        <w:rPr>
          <w:rFonts w:ascii="Arial" w:hAnsi="Arial" w:cs="Arial"/>
          <w:sz w:val="24"/>
          <w:szCs w:val="24"/>
        </w:rPr>
      </w:pPr>
      <w:r>
        <w:rPr>
          <w:rFonts w:ascii="Arial" w:hAnsi="Arial" w:cs="Arial"/>
          <w:sz w:val="24"/>
          <w:szCs w:val="24"/>
        </w:rPr>
        <w:t>1 student left because of terminal illness within the family. Supported by single point of contact and Careers Connect.</w:t>
      </w:r>
    </w:p>
    <w:p w14:paraId="65743079" w14:textId="77777777" w:rsidR="006A3E9D" w:rsidRDefault="006A3E9D" w:rsidP="006A3E9D">
      <w:pPr>
        <w:pStyle w:val="ListParagraph"/>
        <w:widowControl/>
        <w:numPr>
          <w:ilvl w:val="0"/>
          <w:numId w:val="15"/>
        </w:numPr>
        <w:autoSpaceDE/>
        <w:autoSpaceDN/>
        <w:spacing w:before="0" w:after="200" w:line="276" w:lineRule="auto"/>
        <w:contextualSpacing/>
        <w:rPr>
          <w:rFonts w:ascii="Arial" w:hAnsi="Arial" w:cs="Arial"/>
          <w:sz w:val="24"/>
          <w:szCs w:val="24"/>
        </w:rPr>
      </w:pPr>
      <w:r>
        <w:rPr>
          <w:rFonts w:ascii="Arial" w:hAnsi="Arial" w:cs="Arial"/>
          <w:sz w:val="24"/>
          <w:szCs w:val="24"/>
        </w:rPr>
        <w:t>2 students with SEN needs were unable to maintain behaviour for learning and attendance dropped. SEN Transition Team, Student Experience and Achievement Tutor involvement. Referral made to college Go Learn team who are trying to re-engage.</w:t>
      </w:r>
    </w:p>
    <w:p w14:paraId="35748A11" w14:textId="77777777" w:rsidR="006A3E9D" w:rsidRDefault="006A3E9D" w:rsidP="006A3E9D">
      <w:pPr>
        <w:pStyle w:val="ListParagraph"/>
        <w:widowControl/>
        <w:numPr>
          <w:ilvl w:val="0"/>
          <w:numId w:val="15"/>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1 student transferred course because he didn’t like it. He didn’t settle with PEERS and was absent with bouts of self-isolation throughout September and October. Career Connect and Student Experience team working to re-engage him for a January start. </w:t>
      </w:r>
    </w:p>
    <w:p w14:paraId="52E18E88" w14:textId="77777777" w:rsidR="006A3E9D" w:rsidRDefault="006A3E9D" w:rsidP="006A3E9D">
      <w:pPr>
        <w:pStyle w:val="ListParagraph"/>
        <w:widowControl/>
        <w:numPr>
          <w:ilvl w:val="0"/>
          <w:numId w:val="15"/>
        </w:numPr>
        <w:autoSpaceDE/>
        <w:autoSpaceDN/>
        <w:spacing w:before="0" w:after="200" w:line="276" w:lineRule="auto"/>
        <w:contextualSpacing/>
        <w:rPr>
          <w:rFonts w:ascii="Arial" w:hAnsi="Arial" w:cs="Arial"/>
          <w:sz w:val="24"/>
          <w:szCs w:val="24"/>
        </w:rPr>
      </w:pPr>
      <w:r>
        <w:rPr>
          <w:rFonts w:ascii="Arial" w:hAnsi="Arial" w:cs="Arial"/>
          <w:sz w:val="24"/>
          <w:szCs w:val="24"/>
        </w:rPr>
        <w:t>1 Student moved out of the country.</w:t>
      </w:r>
    </w:p>
    <w:p w14:paraId="3225E7E0" w14:textId="77777777" w:rsidR="006A3E9D" w:rsidRDefault="006A3E9D" w:rsidP="006A3E9D">
      <w:pPr>
        <w:rPr>
          <w:rFonts w:ascii="Arial" w:hAnsi="Arial" w:cs="Arial"/>
          <w:b/>
          <w:bCs/>
          <w:sz w:val="24"/>
          <w:szCs w:val="24"/>
        </w:rPr>
      </w:pPr>
      <w:r>
        <w:rPr>
          <w:rFonts w:ascii="Arial" w:hAnsi="Arial" w:cs="Arial"/>
          <w:b/>
          <w:bCs/>
          <w:sz w:val="24"/>
          <w:szCs w:val="24"/>
        </w:rPr>
        <w:t>Autumn Term 2 Oct-Dec</w:t>
      </w:r>
    </w:p>
    <w:p w14:paraId="733D4880" w14:textId="77777777" w:rsidR="006A3E9D" w:rsidRDefault="006A3E9D" w:rsidP="006A3E9D">
      <w:pPr>
        <w:rPr>
          <w:rFonts w:ascii="Arial" w:hAnsi="Arial" w:cs="Arial"/>
          <w:sz w:val="24"/>
          <w:szCs w:val="24"/>
        </w:rPr>
      </w:pPr>
      <w:r>
        <w:rPr>
          <w:rFonts w:ascii="Arial" w:hAnsi="Arial" w:cs="Arial"/>
          <w:sz w:val="24"/>
          <w:szCs w:val="24"/>
        </w:rPr>
        <w:t>7 students withdrawn in Autumn term 2</w:t>
      </w:r>
    </w:p>
    <w:p w14:paraId="11134552" w14:textId="77777777" w:rsidR="006A3E9D" w:rsidRDefault="006A3E9D" w:rsidP="006A3E9D">
      <w:pPr>
        <w:pStyle w:val="ListParagraph"/>
        <w:widowControl/>
        <w:numPr>
          <w:ilvl w:val="0"/>
          <w:numId w:val="16"/>
        </w:numPr>
        <w:autoSpaceDE/>
        <w:autoSpaceDN/>
        <w:spacing w:before="0" w:after="200" w:line="276" w:lineRule="auto"/>
        <w:contextualSpacing/>
        <w:rPr>
          <w:rFonts w:ascii="Arial" w:hAnsi="Arial" w:cs="Arial"/>
          <w:sz w:val="24"/>
          <w:szCs w:val="24"/>
        </w:rPr>
      </w:pPr>
      <w:r>
        <w:rPr>
          <w:rFonts w:ascii="Arial" w:hAnsi="Arial" w:cs="Arial"/>
          <w:sz w:val="24"/>
          <w:szCs w:val="24"/>
        </w:rPr>
        <w:t>2 students with SEN needs were unable to maintain behaviour for learning and attendance dropped. SEN Transition Team, Student Experience and Achievement Tutor involvement. Referral made to college Go Learn Team and Career Connect who are trying to re-engage.</w:t>
      </w:r>
    </w:p>
    <w:p w14:paraId="2B572725" w14:textId="77777777" w:rsidR="006A3E9D" w:rsidRDefault="006A3E9D" w:rsidP="006A3E9D">
      <w:pPr>
        <w:pStyle w:val="ListParagraph"/>
        <w:widowControl/>
        <w:numPr>
          <w:ilvl w:val="0"/>
          <w:numId w:val="16"/>
        </w:numPr>
        <w:autoSpaceDE/>
        <w:autoSpaceDN/>
        <w:spacing w:before="0" w:after="200" w:line="276" w:lineRule="auto"/>
        <w:contextualSpacing/>
        <w:rPr>
          <w:rFonts w:ascii="Arial" w:hAnsi="Arial" w:cs="Arial"/>
          <w:sz w:val="24"/>
          <w:szCs w:val="24"/>
        </w:rPr>
      </w:pPr>
      <w:r>
        <w:rPr>
          <w:rFonts w:ascii="Arial" w:hAnsi="Arial" w:cs="Arial"/>
          <w:sz w:val="24"/>
          <w:szCs w:val="24"/>
        </w:rPr>
        <w:t>1 student withdrawn for violent behaviour. Offer made of place on different campus but declined. Has gone to training provider via Career Connect.</w:t>
      </w:r>
    </w:p>
    <w:p w14:paraId="49856D70" w14:textId="77777777" w:rsidR="006A3E9D" w:rsidRDefault="006A3E9D" w:rsidP="006A3E9D">
      <w:pPr>
        <w:pStyle w:val="ListParagraph"/>
        <w:widowControl/>
        <w:numPr>
          <w:ilvl w:val="0"/>
          <w:numId w:val="16"/>
        </w:numPr>
        <w:autoSpaceDE/>
        <w:autoSpaceDN/>
        <w:spacing w:before="0" w:after="200" w:line="276" w:lineRule="auto"/>
        <w:contextualSpacing/>
        <w:rPr>
          <w:rFonts w:ascii="Arial" w:hAnsi="Arial" w:cs="Arial"/>
          <w:sz w:val="24"/>
          <w:szCs w:val="24"/>
        </w:rPr>
      </w:pPr>
      <w:r>
        <w:rPr>
          <w:rFonts w:ascii="Arial" w:hAnsi="Arial" w:cs="Arial"/>
          <w:sz w:val="24"/>
          <w:szCs w:val="24"/>
        </w:rPr>
        <w:t xml:space="preserve">1 student left to take up the offer of an apprenticeship. </w:t>
      </w:r>
    </w:p>
    <w:p w14:paraId="1EC447F8" w14:textId="77777777" w:rsidR="006A3E9D" w:rsidRDefault="006A3E9D" w:rsidP="006A3E9D">
      <w:pPr>
        <w:pStyle w:val="ListParagraph"/>
        <w:widowControl/>
        <w:numPr>
          <w:ilvl w:val="0"/>
          <w:numId w:val="16"/>
        </w:numPr>
        <w:autoSpaceDE/>
        <w:autoSpaceDN/>
        <w:spacing w:before="0" w:after="200" w:line="276" w:lineRule="auto"/>
        <w:contextualSpacing/>
        <w:rPr>
          <w:rFonts w:ascii="Arial" w:hAnsi="Arial" w:cs="Arial"/>
          <w:sz w:val="24"/>
          <w:szCs w:val="24"/>
        </w:rPr>
      </w:pPr>
      <w:r>
        <w:rPr>
          <w:rFonts w:ascii="Arial" w:hAnsi="Arial" w:cs="Arial"/>
          <w:sz w:val="24"/>
          <w:szCs w:val="24"/>
        </w:rPr>
        <w:t>2 students withdrawn for poor attendance. Supported by achievement tutors, student experience team as well as single point of contact. Referred to Careers Connect.</w:t>
      </w:r>
    </w:p>
    <w:p w14:paraId="6B09A63F" w14:textId="77777777" w:rsidR="006A3E9D" w:rsidRDefault="006A3E9D" w:rsidP="006A3E9D">
      <w:pPr>
        <w:pStyle w:val="ListParagraph"/>
        <w:widowControl/>
        <w:numPr>
          <w:ilvl w:val="0"/>
          <w:numId w:val="16"/>
        </w:numPr>
        <w:autoSpaceDE/>
        <w:autoSpaceDN/>
        <w:spacing w:before="0" w:after="200" w:line="276" w:lineRule="auto"/>
        <w:contextualSpacing/>
        <w:rPr>
          <w:rFonts w:ascii="Arial" w:hAnsi="Arial" w:cs="Arial"/>
          <w:sz w:val="24"/>
          <w:szCs w:val="24"/>
        </w:rPr>
      </w:pPr>
      <w:r>
        <w:rPr>
          <w:rFonts w:ascii="Arial" w:hAnsi="Arial" w:cs="Arial"/>
          <w:sz w:val="24"/>
          <w:szCs w:val="24"/>
        </w:rPr>
        <w:t>1 student has moved away.</w:t>
      </w:r>
    </w:p>
    <w:p w14:paraId="6C3B9EB8" w14:textId="77777777" w:rsidR="006A3E9D" w:rsidRDefault="006A3E9D" w:rsidP="006A3E9D">
      <w:pPr>
        <w:rPr>
          <w:rFonts w:ascii="Arial" w:hAnsi="Arial" w:cs="Arial"/>
          <w:sz w:val="24"/>
          <w:szCs w:val="24"/>
        </w:rPr>
      </w:pPr>
    </w:p>
    <w:p w14:paraId="4644DEF9" w14:textId="77777777" w:rsidR="006A3E9D" w:rsidRDefault="006A3E9D" w:rsidP="006A3E9D">
      <w:pPr>
        <w:rPr>
          <w:rFonts w:ascii="Arial" w:hAnsi="Arial" w:cs="Arial"/>
          <w:b/>
          <w:bCs/>
          <w:sz w:val="24"/>
          <w:szCs w:val="24"/>
        </w:rPr>
      </w:pPr>
      <w:r>
        <w:rPr>
          <w:rFonts w:ascii="Arial" w:hAnsi="Arial" w:cs="Arial"/>
          <w:b/>
          <w:bCs/>
          <w:sz w:val="24"/>
          <w:szCs w:val="24"/>
        </w:rPr>
        <w:t>Impact</w:t>
      </w:r>
    </w:p>
    <w:p w14:paraId="5B2AC01C" w14:textId="77777777" w:rsidR="006A3E9D" w:rsidRDefault="006A3E9D" w:rsidP="006A3E9D">
      <w:pPr>
        <w:rPr>
          <w:rFonts w:ascii="Arial" w:hAnsi="Arial" w:cs="Arial"/>
          <w:sz w:val="24"/>
          <w:szCs w:val="24"/>
        </w:rPr>
      </w:pPr>
      <w:r>
        <w:rPr>
          <w:rFonts w:ascii="Arial" w:hAnsi="Arial" w:cs="Arial"/>
          <w:sz w:val="24"/>
          <w:szCs w:val="24"/>
        </w:rPr>
        <w:t xml:space="preserve">Out of the 59 students who enrolled at TMC in September 2020, 41 students are still with us. </w:t>
      </w:r>
    </w:p>
    <w:p w14:paraId="1218E138" w14:textId="77777777" w:rsidR="006A3E9D" w:rsidRDefault="006A3E9D" w:rsidP="006A3E9D">
      <w:pPr>
        <w:rPr>
          <w:rFonts w:ascii="Arial" w:hAnsi="Arial" w:cs="Arial"/>
          <w:sz w:val="24"/>
          <w:szCs w:val="24"/>
        </w:rPr>
      </w:pPr>
      <w:r>
        <w:rPr>
          <w:rFonts w:ascii="Arial" w:hAnsi="Arial" w:cs="Arial"/>
          <w:sz w:val="24"/>
          <w:szCs w:val="24"/>
        </w:rPr>
        <w:t>39 students have had interventions of some sort with Student Experience Team or Achievement Tutor.  Single point of contact has contacted learners/parents on average every two to three weeks and has liaised with Tutors/Student Experience/Managers weekly.</w:t>
      </w:r>
    </w:p>
    <w:p w14:paraId="5F84DC29" w14:textId="77777777" w:rsidR="006A3E9D" w:rsidRDefault="006A3E9D" w:rsidP="006A3E9D">
      <w:pPr>
        <w:rPr>
          <w:rFonts w:ascii="Arial" w:hAnsi="Arial" w:cs="Arial"/>
          <w:sz w:val="24"/>
          <w:szCs w:val="24"/>
        </w:rPr>
      </w:pPr>
      <w:r>
        <w:rPr>
          <w:rFonts w:ascii="Arial" w:hAnsi="Arial" w:cs="Arial"/>
          <w:sz w:val="24"/>
          <w:szCs w:val="24"/>
        </w:rPr>
        <w:t>Weekly panel meetings have been held with Career Connect and MSPRU Transition Lead.</w:t>
      </w:r>
    </w:p>
    <w:p w14:paraId="06FF014A" w14:textId="77777777" w:rsidR="006A3E9D" w:rsidRDefault="006A3E9D" w:rsidP="006A3E9D">
      <w:pPr>
        <w:rPr>
          <w:rFonts w:ascii="Arial" w:hAnsi="Arial" w:cs="Arial"/>
          <w:sz w:val="24"/>
          <w:szCs w:val="24"/>
        </w:rPr>
      </w:pPr>
      <w:r>
        <w:rPr>
          <w:rFonts w:ascii="Arial" w:hAnsi="Arial" w:cs="Arial"/>
          <w:sz w:val="24"/>
          <w:szCs w:val="24"/>
        </w:rPr>
        <w:t>Fortnightly panel meetings have been held with SEN Transition Team Specialist</w:t>
      </w:r>
    </w:p>
    <w:p w14:paraId="7FE1390A" w14:textId="77777777" w:rsidR="006A3E9D" w:rsidRDefault="006A3E9D" w:rsidP="006A3E9D">
      <w:pPr>
        <w:rPr>
          <w:rFonts w:ascii="Arial" w:hAnsi="Arial" w:cs="Arial"/>
          <w:sz w:val="24"/>
          <w:szCs w:val="24"/>
        </w:rPr>
      </w:pPr>
    </w:p>
    <w:p w14:paraId="7E562792" w14:textId="77777777" w:rsidR="006A3E9D" w:rsidRDefault="006A3E9D" w:rsidP="006A3E9D">
      <w:pPr>
        <w:rPr>
          <w:rFonts w:ascii="Arial" w:hAnsi="Arial" w:cs="Arial"/>
          <w:b/>
          <w:sz w:val="24"/>
          <w:szCs w:val="24"/>
        </w:rPr>
      </w:pPr>
      <w:r>
        <w:rPr>
          <w:rFonts w:ascii="Arial" w:hAnsi="Arial" w:cs="Arial"/>
          <w:b/>
          <w:sz w:val="24"/>
          <w:szCs w:val="24"/>
        </w:rPr>
        <w:t>Resource costs</w:t>
      </w:r>
    </w:p>
    <w:tbl>
      <w:tblPr>
        <w:tblStyle w:val="TableGrid"/>
        <w:tblW w:w="0" w:type="auto"/>
        <w:tblLook w:val="04A0" w:firstRow="1" w:lastRow="0" w:firstColumn="1" w:lastColumn="0" w:noHBand="0" w:noVBand="1"/>
      </w:tblPr>
      <w:tblGrid>
        <w:gridCol w:w="5637"/>
        <w:gridCol w:w="3605"/>
      </w:tblGrid>
      <w:tr w:rsidR="006A3E9D" w14:paraId="5051B38B" w14:textId="77777777" w:rsidTr="006A3E9D">
        <w:tc>
          <w:tcPr>
            <w:tcW w:w="5637" w:type="dxa"/>
            <w:tcBorders>
              <w:top w:val="single" w:sz="4" w:space="0" w:color="auto"/>
              <w:left w:val="single" w:sz="4" w:space="0" w:color="auto"/>
              <w:bottom w:val="single" w:sz="4" w:space="0" w:color="auto"/>
              <w:right w:val="single" w:sz="4" w:space="0" w:color="auto"/>
            </w:tcBorders>
            <w:hideMark/>
          </w:tcPr>
          <w:p w14:paraId="4A38FE74" w14:textId="77777777" w:rsidR="006A3E9D" w:rsidRDefault="006A3E9D">
            <w:pPr>
              <w:rPr>
                <w:rFonts w:ascii="Arial" w:hAnsi="Arial" w:cs="Arial"/>
                <w:sz w:val="24"/>
                <w:szCs w:val="24"/>
              </w:rPr>
            </w:pPr>
            <w:r>
              <w:rPr>
                <w:rFonts w:ascii="Arial" w:hAnsi="Arial" w:cs="Arial"/>
                <w:sz w:val="24"/>
                <w:szCs w:val="24"/>
              </w:rPr>
              <w:t>Backfill of 0.5 days per week management time Aug-Dec (20 weeks)</w:t>
            </w:r>
          </w:p>
        </w:tc>
        <w:tc>
          <w:tcPr>
            <w:tcW w:w="3605" w:type="dxa"/>
            <w:tcBorders>
              <w:top w:val="single" w:sz="4" w:space="0" w:color="auto"/>
              <w:left w:val="single" w:sz="4" w:space="0" w:color="auto"/>
              <w:bottom w:val="single" w:sz="4" w:space="0" w:color="auto"/>
              <w:right w:val="single" w:sz="4" w:space="0" w:color="auto"/>
            </w:tcBorders>
            <w:hideMark/>
          </w:tcPr>
          <w:p w14:paraId="07869012" w14:textId="77777777" w:rsidR="006A3E9D" w:rsidRDefault="006A3E9D">
            <w:pPr>
              <w:rPr>
                <w:rFonts w:ascii="Arial" w:hAnsi="Arial" w:cs="Arial"/>
                <w:sz w:val="24"/>
                <w:szCs w:val="24"/>
              </w:rPr>
            </w:pPr>
            <w:r>
              <w:rPr>
                <w:rFonts w:ascii="Arial" w:hAnsi="Arial" w:cs="Arial"/>
                <w:sz w:val="24"/>
                <w:szCs w:val="24"/>
              </w:rPr>
              <w:t>£2,519</w:t>
            </w:r>
          </w:p>
        </w:tc>
      </w:tr>
      <w:tr w:rsidR="006A3E9D" w14:paraId="066E92FE" w14:textId="77777777" w:rsidTr="006A3E9D">
        <w:tc>
          <w:tcPr>
            <w:tcW w:w="5637" w:type="dxa"/>
            <w:tcBorders>
              <w:top w:val="single" w:sz="4" w:space="0" w:color="auto"/>
              <w:left w:val="single" w:sz="4" w:space="0" w:color="auto"/>
              <w:bottom w:val="single" w:sz="4" w:space="0" w:color="auto"/>
              <w:right w:val="single" w:sz="4" w:space="0" w:color="auto"/>
            </w:tcBorders>
            <w:hideMark/>
          </w:tcPr>
          <w:p w14:paraId="6961AD64" w14:textId="77777777" w:rsidR="006A3E9D" w:rsidRDefault="006A3E9D">
            <w:pPr>
              <w:rPr>
                <w:rFonts w:ascii="Arial" w:hAnsi="Arial" w:cs="Arial"/>
                <w:sz w:val="24"/>
                <w:szCs w:val="24"/>
              </w:rPr>
            </w:pPr>
            <w:r>
              <w:rPr>
                <w:rFonts w:ascii="Arial" w:hAnsi="Arial" w:cs="Arial"/>
                <w:sz w:val="24"/>
                <w:szCs w:val="24"/>
              </w:rPr>
              <w:t>Backfill of 2.5 days per week Project Coordinator/Single point of contact (20 weeks)</w:t>
            </w:r>
          </w:p>
        </w:tc>
        <w:tc>
          <w:tcPr>
            <w:tcW w:w="3605" w:type="dxa"/>
            <w:tcBorders>
              <w:top w:val="single" w:sz="4" w:space="0" w:color="auto"/>
              <w:left w:val="single" w:sz="4" w:space="0" w:color="auto"/>
              <w:bottom w:val="single" w:sz="4" w:space="0" w:color="auto"/>
              <w:right w:val="single" w:sz="4" w:space="0" w:color="auto"/>
            </w:tcBorders>
            <w:hideMark/>
          </w:tcPr>
          <w:p w14:paraId="6345C39F" w14:textId="77777777" w:rsidR="006A3E9D" w:rsidRDefault="006A3E9D">
            <w:pPr>
              <w:rPr>
                <w:rFonts w:ascii="Arial" w:hAnsi="Arial" w:cs="Arial"/>
                <w:sz w:val="24"/>
                <w:szCs w:val="24"/>
              </w:rPr>
            </w:pPr>
            <w:r>
              <w:rPr>
                <w:rFonts w:ascii="Arial" w:hAnsi="Arial" w:cs="Arial"/>
                <w:sz w:val="24"/>
                <w:szCs w:val="24"/>
              </w:rPr>
              <w:t>£10,160</w:t>
            </w:r>
          </w:p>
        </w:tc>
      </w:tr>
      <w:tr w:rsidR="006A3E9D" w14:paraId="4A18498A" w14:textId="77777777" w:rsidTr="006A3E9D">
        <w:tc>
          <w:tcPr>
            <w:tcW w:w="5637" w:type="dxa"/>
            <w:tcBorders>
              <w:top w:val="single" w:sz="4" w:space="0" w:color="auto"/>
              <w:left w:val="single" w:sz="4" w:space="0" w:color="auto"/>
              <w:bottom w:val="single" w:sz="4" w:space="0" w:color="auto"/>
              <w:right w:val="single" w:sz="4" w:space="0" w:color="auto"/>
            </w:tcBorders>
            <w:hideMark/>
          </w:tcPr>
          <w:p w14:paraId="5B09C0C9" w14:textId="77777777" w:rsidR="006A3E9D" w:rsidRDefault="006A3E9D">
            <w:pPr>
              <w:rPr>
                <w:rFonts w:ascii="Arial" w:hAnsi="Arial" w:cs="Arial"/>
                <w:sz w:val="24"/>
                <w:szCs w:val="24"/>
              </w:rPr>
            </w:pPr>
            <w:r>
              <w:rPr>
                <w:rFonts w:ascii="Arial" w:hAnsi="Arial" w:cs="Arial"/>
                <w:sz w:val="24"/>
                <w:szCs w:val="24"/>
              </w:rPr>
              <w:t xml:space="preserve">Backfill of 2 day per week x3 YCWS Centre staff July-Sept (8 weeks) </w:t>
            </w:r>
            <w:r>
              <w:rPr>
                <w:rFonts w:ascii="Arial" w:hAnsi="Arial" w:cs="Arial"/>
                <w:sz w:val="24"/>
                <w:szCs w:val="24"/>
              </w:rPr>
              <w:tab/>
            </w:r>
          </w:p>
        </w:tc>
        <w:tc>
          <w:tcPr>
            <w:tcW w:w="3605" w:type="dxa"/>
            <w:tcBorders>
              <w:top w:val="single" w:sz="4" w:space="0" w:color="auto"/>
              <w:left w:val="single" w:sz="4" w:space="0" w:color="auto"/>
              <w:bottom w:val="single" w:sz="4" w:space="0" w:color="auto"/>
              <w:right w:val="single" w:sz="4" w:space="0" w:color="auto"/>
            </w:tcBorders>
            <w:hideMark/>
          </w:tcPr>
          <w:p w14:paraId="2035C6CC" w14:textId="77777777" w:rsidR="006A3E9D" w:rsidRDefault="006A3E9D">
            <w:pPr>
              <w:rPr>
                <w:rFonts w:ascii="Arial" w:hAnsi="Arial" w:cs="Arial"/>
                <w:sz w:val="24"/>
                <w:szCs w:val="24"/>
              </w:rPr>
            </w:pPr>
            <w:r>
              <w:rPr>
                <w:rFonts w:ascii="Arial" w:hAnsi="Arial" w:cs="Arial"/>
                <w:sz w:val="24"/>
                <w:szCs w:val="24"/>
              </w:rPr>
              <w:t>£6,144</w:t>
            </w:r>
          </w:p>
        </w:tc>
      </w:tr>
      <w:tr w:rsidR="006A3E9D" w14:paraId="03ED38F2" w14:textId="77777777" w:rsidTr="006A3E9D">
        <w:tc>
          <w:tcPr>
            <w:tcW w:w="5637" w:type="dxa"/>
            <w:tcBorders>
              <w:top w:val="single" w:sz="4" w:space="0" w:color="auto"/>
              <w:left w:val="single" w:sz="4" w:space="0" w:color="auto"/>
              <w:bottom w:val="single" w:sz="4" w:space="0" w:color="auto"/>
              <w:right w:val="single" w:sz="4" w:space="0" w:color="auto"/>
            </w:tcBorders>
            <w:hideMark/>
          </w:tcPr>
          <w:p w14:paraId="20CA0D46" w14:textId="77777777" w:rsidR="006A3E9D" w:rsidRDefault="006A3E9D">
            <w:pPr>
              <w:rPr>
                <w:rFonts w:ascii="Arial" w:hAnsi="Arial" w:cs="Arial"/>
                <w:sz w:val="24"/>
                <w:szCs w:val="24"/>
              </w:rPr>
            </w:pPr>
            <w:r>
              <w:rPr>
                <w:rFonts w:ascii="Arial" w:hAnsi="Arial" w:cs="Arial"/>
                <w:sz w:val="24"/>
                <w:szCs w:val="24"/>
              </w:rPr>
              <w:t>Staff Travel (6 sites)</w:t>
            </w:r>
          </w:p>
        </w:tc>
        <w:tc>
          <w:tcPr>
            <w:tcW w:w="3605" w:type="dxa"/>
            <w:tcBorders>
              <w:top w:val="single" w:sz="4" w:space="0" w:color="auto"/>
              <w:left w:val="single" w:sz="4" w:space="0" w:color="auto"/>
              <w:bottom w:val="single" w:sz="4" w:space="0" w:color="auto"/>
              <w:right w:val="single" w:sz="4" w:space="0" w:color="auto"/>
            </w:tcBorders>
            <w:hideMark/>
          </w:tcPr>
          <w:p w14:paraId="026BFD9E" w14:textId="77777777" w:rsidR="006A3E9D" w:rsidRDefault="006A3E9D">
            <w:pPr>
              <w:rPr>
                <w:rFonts w:ascii="Arial" w:hAnsi="Arial" w:cs="Arial"/>
                <w:sz w:val="24"/>
                <w:szCs w:val="24"/>
              </w:rPr>
            </w:pPr>
            <w:r>
              <w:rPr>
                <w:rFonts w:ascii="Arial" w:hAnsi="Arial" w:cs="Arial"/>
                <w:sz w:val="24"/>
                <w:szCs w:val="24"/>
              </w:rPr>
              <w:t>£275</w:t>
            </w:r>
          </w:p>
        </w:tc>
      </w:tr>
      <w:tr w:rsidR="006A3E9D" w14:paraId="4939FB6F" w14:textId="77777777" w:rsidTr="006A3E9D">
        <w:tc>
          <w:tcPr>
            <w:tcW w:w="5637" w:type="dxa"/>
            <w:tcBorders>
              <w:top w:val="single" w:sz="4" w:space="0" w:color="auto"/>
              <w:left w:val="single" w:sz="4" w:space="0" w:color="auto"/>
              <w:bottom w:val="single" w:sz="4" w:space="0" w:color="auto"/>
              <w:right w:val="single" w:sz="4" w:space="0" w:color="auto"/>
            </w:tcBorders>
            <w:hideMark/>
          </w:tcPr>
          <w:p w14:paraId="3EAE4547" w14:textId="77777777" w:rsidR="006A3E9D" w:rsidRDefault="006A3E9D">
            <w:pPr>
              <w:rPr>
                <w:rFonts w:ascii="Arial" w:hAnsi="Arial" w:cs="Arial"/>
                <w:sz w:val="24"/>
                <w:szCs w:val="24"/>
              </w:rPr>
            </w:pPr>
            <w:r>
              <w:rPr>
                <w:rFonts w:ascii="Arial" w:hAnsi="Arial" w:cs="Arial"/>
                <w:sz w:val="24"/>
                <w:szCs w:val="24"/>
              </w:rPr>
              <w:t xml:space="preserve">Equipment (laptop/Mobile Phone) Estimate </w:t>
            </w:r>
          </w:p>
        </w:tc>
        <w:tc>
          <w:tcPr>
            <w:tcW w:w="3605" w:type="dxa"/>
            <w:tcBorders>
              <w:top w:val="single" w:sz="4" w:space="0" w:color="auto"/>
              <w:left w:val="single" w:sz="4" w:space="0" w:color="auto"/>
              <w:bottom w:val="single" w:sz="4" w:space="0" w:color="auto"/>
              <w:right w:val="single" w:sz="4" w:space="0" w:color="auto"/>
            </w:tcBorders>
            <w:hideMark/>
          </w:tcPr>
          <w:p w14:paraId="3EA48974" w14:textId="77777777" w:rsidR="006A3E9D" w:rsidRDefault="006A3E9D">
            <w:pPr>
              <w:rPr>
                <w:rFonts w:ascii="Arial" w:hAnsi="Arial" w:cs="Arial"/>
                <w:sz w:val="24"/>
                <w:szCs w:val="24"/>
              </w:rPr>
            </w:pPr>
            <w:r>
              <w:rPr>
                <w:rFonts w:ascii="Arial" w:hAnsi="Arial" w:cs="Arial"/>
                <w:sz w:val="24"/>
                <w:szCs w:val="24"/>
              </w:rPr>
              <w:t>£800</w:t>
            </w:r>
          </w:p>
        </w:tc>
      </w:tr>
      <w:tr w:rsidR="006A3E9D" w14:paraId="33E52980" w14:textId="77777777" w:rsidTr="006A3E9D">
        <w:tc>
          <w:tcPr>
            <w:tcW w:w="5637" w:type="dxa"/>
            <w:tcBorders>
              <w:top w:val="single" w:sz="4" w:space="0" w:color="auto"/>
              <w:left w:val="single" w:sz="4" w:space="0" w:color="auto"/>
              <w:bottom w:val="single" w:sz="4" w:space="0" w:color="auto"/>
              <w:right w:val="single" w:sz="4" w:space="0" w:color="auto"/>
            </w:tcBorders>
          </w:tcPr>
          <w:p w14:paraId="506FB86D" w14:textId="77777777" w:rsidR="006A3E9D" w:rsidRDefault="006A3E9D">
            <w:pPr>
              <w:rPr>
                <w:rFonts w:ascii="Arial" w:hAnsi="Arial" w:cs="Arial"/>
                <w:b/>
                <w:sz w:val="24"/>
                <w:szCs w:val="24"/>
              </w:rPr>
            </w:pPr>
          </w:p>
        </w:tc>
        <w:tc>
          <w:tcPr>
            <w:tcW w:w="3605" w:type="dxa"/>
            <w:tcBorders>
              <w:top w:val="single" w:sz="4" w:space="0" w:color="auto"/>
              <w:left w:val="single" w:sz="4" w:space="0" w:color="auto"/>
              <w:bottom w:val="single" w:sz="4" w:space="0" w:color="auto"/>
              <w:right w:val="single" w:sz="4" w:space="0" w:color="auto"/>
            </w:tcBorders>
            <w:hideMark/>
          </w:tcPr>
          <w:p w14:paraId="69030509" w14:textId="77777777" w:rsidR="006A3E9D" w:rsidRDefault="006A3E9D">
            <w:pPr>
              <w:rPr>
                <w:rFonts w:ascii="Arial" w:hAnsi="Arial" w:cs="Arial"/>
                <w:b/>
                <w:sz w:val="24"/>
                <w:szCs w:val="24"/>
              </w:rPr>
            </w:pPr>
            <w:r>
              <w:rPr>
                <w:rFonts w:ascii="Arial" w:hAnsi="Arial" w:cs="Arial"/>
                <w:b/>
                <w:sz w:val="24"/>
                <w:szCs w:val="24"/>
              </w:rPr>
              <w:t>£19,898</w:t>
            </w:r>
          </w:p>
        </w:tc>
      </w:tr>
      <w:tr w:rsidR="006A3E9D" w14:paraId="662F0C62" w14:textId="77777777" w:rsidTr="006A3E9D">
        <w:tc>
          <w:tcPr>
            <w:tcW w:w="5637" w:type="dxa"/>
            <w:tcBorders>
              <w:top w:val="single" w:sz="4" w:space="0" w:color="auto"/>
              <w:left w:val="single" w:sz="4" w:space="0" w:color="auto"/>
              <w:bottom w:val="single" w:sz="4" w:space="0" w:color="auto"/>
              <w:right w:val="single" w:sz="4" w:space="0" w:color="auto"/>
            </w:tcBorders>
          </w:tcPr>
          <w:p w14:paraId="1B59E727" w14:textId="77777777" w:rsidR="006A3E9D" w:rsidRDefault="006A3E9D">
            <w:pPr>
              <w:rPr>
                <w:rFonts w:ascii="Arial" w:hAnsi="Arial" w:cs="Arial"/>
                <w:b/>
                <w:sz w:val="24"/>
                <w:szCs w:val="24"/>
              </w:rPr>
            </w:pPr>
          </w:p>
        </w:tc>
        <w:tc>
          <w:tcPr>
            <w:tcW w:w="3605" w:type="dxa"/>
            <w:tcBorders>
              <w:top w:val="single" w:sz="4" w:space="0" w:color="auto"/>
              <w:left w:val="single" w:sz="4" w:space="0" w:color="auto"/>
              <w:bottom w:val="single" w:sz="4" w:space="0" w:color="auto"/>
              <w:right w:val="single" w:sz="4" w:space="0" w:color="auto"/>
            </w:tcBorders>
          </w:tcPr>
          <w:p w14:paraId="63058793" w14:textId="77777777" w:rsidR="006A3E9D" w:rsidRDefault="006A3E9D">
            <w:pPr>
              <w:rPr>
                <w:rFonts w:ascii="Arial" w:hAnsi="Arial" w:cs="Arial"/>
                <w:b/>
                <w:sz w:val="24"/>
                <w:szCs w:val="24"/>
              </w:rPr>
            </w:pPr>
          </w:p>
        </w:tc>
      </w:tr>
    </w:tbl>
    <w:p w14:paraId="7975D74F" w14:textId="35FB00B7" w:rsidR="006A3E9D" w:rsidRDefault="006A3E9D" w:rsidP="006A3E9D">
      <w:pPr>
        <w:rPr>
          <w:rFonts w:ascii="Arial" w:hAnsi="Arial" w:cs="Arial"/>
          <w:sz w:val="24"/>
          <w:szCs w:val="24"/>
        </w:rPr>
      </w:pPr>
    </w:p>
    <w:p w14:paraId="795742A5" w14:textId="23A4AFCD" w:rsidR="006A3E9D" w:rsidRDefault="006A3E9D" w:rsidP="006A3E9D">
      <w:pPr>
        <w:rPr>
          <w:rFonts w:ascii="Arial" w:hAnsi="Arial" w:cs="Arial"/>
          <w:sz w:val="24"/>
          <w:szCs w:val="24"/>
        </w:rPr>
      </w:pPr>
    </w:p>
    <w:p w14:paraId="7FF908AF" w14:textId="0FCF3124" w:rsidR="006A3E9D" w:rsidRDefault="006A3E9D" w:rsidP="006A3E9D">
      <w:pPr>
        <w:rPr>
          <w:rFonts w:ascii="Arial" w:hAnsi="Arial" w:cs="Arial"/>
          <w:sz w:val="24"/>
          <w:szCs w:val="24"/>
        </w:rPr>
      </w:pPr>
    </w:p>
    <w:p w14:paraId="1A9CE675" w14:textId="1041C8B6" w:rsidR="006A3E9D" w:rsidRDefault="006A3E9D" w:rsidP="006A3E9D">
      <w:pPr>
        <w:rPr>
          <w:rFonts w:ascii="Arial" w:hAnsi="Arial" w:cs="Arial"/>
          <w:sz w:val="24"/>
          <w:szCs w:val="24"/>
        </w:rPr>
      </w:pPr>
    </w:p>
    <w:p w14:paraId="46BD960E" w14:textId="723269CE" w:rsidR="006A3E9D" w:rsidRDefault="006A3E9D" w:rsidP="006A3E9D">
      <w:pPr>
        <w:rPr>
          <w:rFonts w:ascii="Arial" w:hAnsi="Arial" w:cs="Arial"/>
          <w:sz w:val="24"/>
          <w:szCs w:val="24"/>
        </w:rPr>
      </w:pPr>
    </w:p>
    <w:p w14:paraId="1311F20F" w14:textId="327FE46B" w:rsidR="006A3E9D" w:rsidRDefault="006A3E9D" w:rsidP="006A3E9D">
      <w:pPr>
        <w:rPr>
          <w:rFonts w:ascii="Arial" w:hAnsi="Arial" w:cs="Arial"/>
          <w:sz w:val="24"/>
          <w:szCs w:val="24"/>
        </w:rPr>
      </w:pPr>
    </w:p>
    <w:p w14:paraId="6F6AB4D6" w14:textId="6BA85905" w:rsidR="006A3E9D" w:rsidRDefault="006A3E9D" w:rsidP="006A3E9D">
      <w:pPr>
        <w:rPr>
          <w:rFonts w:ascii="Arial" w:hAnsi="Arial" w:cs="Arial"/>
          <w:sz w:val="24"/>
          <w:szCs w:val="24"/>
        </w:rPr>
      </w:pPr>
    </w:p>
    <w:p w14:paraId="346C0895" w14:textId="2F920808" w:rsidR="006A3E9D" w:rsidRDefault="006A3E9D" w:rsidP="006A3E9D">
      <w:pPr>
        <w:rPr>
          <w:rFonts w:ascii="Arial" w:hAnsi="Arial" w:cs="Arial"/>
          <w:sz w:val="24"/>
          <w:szCs w:val="24"/>
        </w:rPr>
      </w:pPr>
    </w:p>
    <w:p w14:paraId="104AF4D3" w14:textId="269EF4EE" w:rsidR="006A3E9D" w:rsidRDefault="006A3E9D" w:rsidP="006A3E9D">
      <w:pPr>
        <w:rPr>
          <w:rFonts w:ascii="Arial" w:hAnsi="Arial" w:cs="Arial"/>
          <w:sz w:val="24"/>
          <w:szCs w:val="24"/>
        </w:rPr>
      </w:pPr>
    </w:p>
    <w:p w14:paraId="3B2723BB" w14:textId="67928B88" w:rsidR="006A3E9D" w:rsidRDefault="006A3E9D" w:rsidP="006A3E9D">
      <w:pPr>
        <w:rPr>
          <w:rFonts w:ascii="Arial" w:hAnsi="Arial" w:cs="Arial"/>
          <w:sz w:val="24"/>
          <w:szCs w:val="24"/>
        </w:rPr>
      </w:pPr>
    </w:p>
    <w:p w14:paraId="7BFFCEFF" w14:textId="1FB510BD" w:rsidR="006A3E9D" w:rsidRDefault="006A3E9D" w:rsidP="006A3E9D">
      <w:pPr>
        <w:rPr>
          <w:rFonts w:ascii="Arial" w:hAnsi="Arial" w:cs="Arial"/>
          <w:sz w:val="24"/>
          <w:szCs w:val="24"/>
        </w:rPr>
      </w:pPr>
    </w:p>
    <w:p w14:paraId="004FDF22" w14:textId="132FBEDF" w:rsidR="006A3E9D" w:rsidRDefault="006A3E9D" w:rsidP="006A3E9D">
      <w:pPr>
        <w:rPr>
          <w:rFonts w:ascii="Arial" w:hAnsi="Arial" w:cs="Arial"/>
          <w:sz w:val="24"/>
          <w:szCs w:val="24"/>
        </w:rPr>
      </w:pPr>
    </w:p>
    <w:p w14:paraId="29BA283D" w14:textId="65A668FB" w:rsidR="006A3E9D" w:rsidRDefault="006A3E9D" w:rsidP="006A3E9D">
      <w:pPr>
        <w:rPr>
          <w:rFonts w:ascii="Arial" w:hAnsi="Arial" w:cs="Arial"/>
          <w:sz w:val="24"/>
          <w:szCs w:val="24"/>
        </w:rPr>
      </w:pPr>
    </w:p>
    <w:p w14:paraId="3C1659C6" w14:textId="407ECCAF" w:rsidR="006A3E9D" w:rsidRDefault="006A3E9D" w:rsidP="006A3E9D">
      <w:pPr>
        <w:rPr>
          <w:rFonts w:ascii="Arial" w:hAnsi="Arial" w:cs="Arial"/>
          <w:sz w:val="24"/>
          <w:szCs w:val="24"/>
        </w:rPr>
      </w:pPr>
    </w:p>
    <w:p w14:paraId="5B7F218D" w14:textId="3736FF1B" w:rsidR="006A3E9D" w:rsidRDefault="006A3E9D" w:rsidP="006A3E9D">
      <w:pPr>
        <w:rPr>
          <w:rFonts w:ascii="Arial" w:hAnsi="Arial" w:cs="Arial"/>
          <w:sz w:val="24"/>
          <w:szCs w:val="24"/>
        </w:rPr>
      </w:pPr>
    </w:p>
    <w:p w14:paraId="53E58354" w14:textId="26EC0329" w:rsidR="006A3E9D" w:rsidRDefault="006A3E9D" w:rsidP="006A3E9D">
      <w:pPr>
        <w:rPr>
          <w:rFonts w:ascii="Arial" w:hAnsi="Arial" w:cs="Arial"/>
          <w:sz w:val="24"/>
          <w:szCs w:val="24"/>
        </w:rPr>
      </w:pPr>
    </w:p>
    <w:p w14:paraId="474206F9" w14:textId="4B125872" w:rsidR="006A3E9D" w:rsidRDefault="006A3E9D" w:rsidP="006A3E9D">
      <w:pPr>
        <w:rPr>
          <w:rFonts w:ascii="Arial" w:hAnsi="Arial" w:cs="Arial"/>
          <w:sz w:val="24"/>
          <w:szCs w:val="24"/>
        </w:rPr>
      </w:pPr>
    </w:p>
    <w:p w14:paraId="19D7ED06" w14:textId="0BACD055" w:rsidR="006A3E9D" w:rsidRDefault="006A3E9D" w:rsidP="006A3E9D">
      <w:pPr>
        <w:rPr>
          <w:rFonts w:ascii="Arial" w:hAnsi="Arial" w:cs="Arial"/>
          <w:sz w:val="24"/>
          <w:szCs w:val="24"/>
        </w:rPr>
      </w:pPr>
    </w:p>
    <w:p w14:paraId="7FC0F57D" w14:textId="2896A77C" w:rsidR="006A3E9D" w:rsidRDefault="006A3E9D" w:rsidP="006A3E9D">
      <w:pPr>
        <w:rPr>
          <w:rFonts w:ascii="Arial" w:hAnsi="Arial" w:cs="Arial"/>
          <w:sz w:val="24"/>
          <w:szCs w:val="24"/>
        </w:rPr>
      </w:pPr>
    </w:p>
    <w:p w14:paraId="4293B39F" w14:textId="77777777" w:rsidR="006A3E9D" w:rsidRDefault="006A3E9D" w:rsidP="006A3E9D">
      <w:pPr>
        <w:pStyle w:val="NormalWeb"/>
        <w:rPr>
          <w:color w:val="000000"/>
          <w:sz w:val="27"/>
          <w:szCs w:val="27"/>
        </w:rPr>
      </w:pPr>
      <w:r>
        <w:rPr>
          <w:color w:val="000000"/>
          <w:sz w:val="27"/>
          <w:szCs w:val="27"/>
        </w:rPr>
        <w:t>MYL Summary of Transitions Work</w:t>
      </w:r>
    </w:p>
    <w:p w14:paraId="375EA338" w14:textId="77777777" w:rsidR="006A3E9D" w:rsidRDefault="006A3E9D" w:rsidP="006A3E9D">
      <w:pPr>
        <w:pStyle w:val="NormalWeb"/>
        <w:rPr>
          <w:color w:val="000000"/>
          <w:sz w:val="27"/>
          <w:szCs w:val="27"/>
        </w:rPr>
      </w:pPr>
      <w:r>
        <w:rPr>
          <w:color w:val="000000"/>
          <w:sz w:val="27"/>
          <w:szCs w:val="27"/>
        </w:rPr>
        <w:t>As part of our work to support students to transition successfully to a post-16 destination, we planned and delivered a tiered approach to the Year 11’s of 2019-20 of extra support. This work started in June 2020 as lockdown was easing, continued over summer 2020, and through the autumn term up until January 2021.</w:t>
      </w:r>
    </w:p>
    <w:p w14:paraId="44A8679F" w14:textId="77777777" w:rsidR="006A3E9D" w:rsidRDefault="006A3E9D" w:rsidP="006A3E9D">
      <w:pPr>
        <w:pStyle w:val="NormalWeb"/>
        <w:rPr>
          <w:color w:val="000000"/>
          <w:sz w:val="27"/>
          <w:szCs w:val="27"/>
        </w:rPr>
      </w:pPr>
      <w:r>
        <w:rPr>
          <w:color w:val="000000"/>
          <w:sz w:val="27"/>
          <w:szCs w:val="27"/>
        </w:rPr>
        <w:t>We undertook an analysis of each of our cohort of 17 Year 11’s to determine a likelihood of NEET based on factors such as attendance, attainment, negative behaviour in the community, agencies involved etc. We decided that our own staff team were best placed to do most of the work, as they already have a trusted relationship with the young person and their family.</w:t>
      </w:r>
    </w:p>
    <w:p w14:paraId="0B9C1528" w14:textId="77777777" w:rsidR="006A3E9D" w:rsidRDefault="006A3E9D" w:rsidP="006A3E9D">
      <w:pPr>
        <w:pStyle w:val="NormalWeb"/>
        <w:rPr>
          <w:color w:val="000000"/>
          <w:sz w:val="27"/>
          <w:szCs w:val="27"/>
        </w:rPr>
      </w:pPr>
      <w:r>
        <w:rPr>
          <w:color w:val="000000"/>
          <w:sz w:val="27"/>
          <w:szCs w:val="27"/>
        </w:rPr>
        <w:t>Tiers of need</w:t>
      </w:r>
    </w:p>
    <w:p w14:paraId="7DE46390" w14:textId="77777777" w:rsidR="006A3E9D" w:rsidRDefault="006A3E9D" w:rsidP="006A3E9D">
      <w:pPr>
        <w:pStyle w:val="NormalWeb"/>
        <w:rPr>
          <w:color w:val="000000"/>
          <w:sz w:val="27"/>
          <w:szCs w:val="27"/>
        </w:rPr>
      </w:pPr>
      <w:r>
        <w:rPr>
          <w:color w:val="000000"/>
          <w:sz w:val="27"/>
          <w:szCs w:val="27"/>
        </w:rPr>
        <w:t>LOW - All 17 young people at least accessed our low tier of support. This involved keep in touch calls, from a member of staff that they trust, to check on how they were settling in and to give IAG or signpost where necessary. If they are settled on to a course (EET), the calls reduced to approximately once per month. All young people engaged with this level of support except for one (BC) who engaged until he temporarily left the country for Romania, however he did re-engage on his return and was last contacted in January 2021.</w:t>
      </w:r>
    </w:p>
    <w:p w14:paraId="3DCC88D1" w14:textId="77777777" w:rsidR="006A3E9D" w:rsidRDefault="006A3E9D" w:rsidP="006A3E9D">
      <w:pPr>
        <w:pStyle w:val="NormalWeb"/>
        <w:rPr>
          <w:color w:val="000000"/>
          <w:sz w:val="27"/>
          <w:szCs w:val="27"/>
        </w:rPr>
      </w:pPr>
      <w:r>
        <w:rPr>
          <w:color w:val="000000"/>
          <w:sz w:val="27"/>
          <w:szCs w:val="27"/>
        </w:rPr>
        <w:t>MEDIUM – Some of our students who were undecided or unsettled on a course were invited in for a dedicated 1:1 appointment on Friday afternoons or in some cases after 3pm during the week. Out of the 17, eight accessed face to face or telephone sessions regularly over summer, and as they enrolled on to courses this reduced to five who accessed further support in autumn term. The eight students received approximately 6-8 hours of additional support.</w:t>
      </w:r>
    </w:p>
    <w:p w14:paraId="6AA99D5A" w14:textId="77777777" w:rsidR="006A3E9D" w:rsidRDefault="006A3E9D" w:rsidP="006A3E9D">
      <w:pPr>
        <w:pStyle w:val="NormalWeb"/>
        <w:rPr>
          <w:color w:val="000000"/>
          <w:sz w:val="27"/>
          <w:szCs w:val="27"/>
        </w:rPr>
      </w:pPr>
      <w:r>
        <w:rPr>
          <w:color w:val="000000"/>
          <w:sz w:val="27"/>
          <w:szCs w:val="27"/>
        </w:rPr>
        <w:t>HIGH – If the young person is uncontactable and we believe they may be NEET and isn’t responding to our regular contact, then we were able to signpost them to other agencies for help, including our own Youth Engagement team. Of the 17 students two were identified, who both received extra contact but ended up moving out of area. Details were passed on to Career Connect after that to signpost them further.</w:t>
      </w:r>
    </w:p>
    <w:p w14:paraId="08068753" w14:textId="77777777" w:rsidR="006A3E9D" w:rsidRDefault="006A3E9D" w:rsidP="006A3E9D">
      <w:pPr>
        <w:pStyle w:val="NormalWeb"/>
        <w:rPr>
          <w:color w:val="000000"/>
          <w:sz w:val="27"/>
          <w:szCs w:val="27"/>
        </w:rPr>
      </w:pPr>
      <w:r>
        <w:rPr>
          <w:color w:val="000000"/>
          <w:sz w:val="27"/>
          <w:szCs w:val="27"/>
        </w:rPr>
        <w:t>Summary</w:t>
      </w:r>
    </w:p>
    <w:p w14:paraId="7D8237C4" w14:textId="77777777" w:rsidR="006A3E9D" w:rsidRDefault="006A3E9D" w:rsidP="006A3E9D">
      <w:pPr>
        <w:pStyle w:val="NormalWeb"/>
        <w:rPr>
          <w:color w:val="000000"/>
          <w:sz w:val="27"/>
          <w:szCs w:val="27"/>
        </w:rPr>
      </w:pPr>
      <w:r>
        <w:rPr>
          <w:color w:val="000000"/>
          <w:sz w:val="27"/>
          <w:szCs w:val="27"/>
        </w:rPr>
        <w:t>Overall, the project went well and students were all able to access a higher level of transitional support than had been offered before. Some students are still in touch as per their request as they feel uncertain about their course or have had personal problems, and feel they trust us to talk to. All 17 students received at least three hours of extra support in the lower tier by way of keep in touch phone calls, and the eight who access up to eight additional hours of support have been listed in the attached transitions record.</w:t>
      </w:r>
    </w:p>
    <w:p w14:paraId="170FC460" w14:textId="035E970B" w:rsidR="00A71D6C" w:rsidRDefault="006A3E9D" w:rsidP="006A3E9D">
      <w:pPr>
        <w:pStyle w:val="NormalWeb"/>
        <w:rPr>
          <w:color w:val="000000"/>
          <w:sz w:val="27"/>
          <w:szCs w:val="27"/>
        </w:rPr>
      </w:pPr>
      <w:r>
        <w:rPr>
          <w:color w:val="000000"/>
          <w:sz w:val="27"/>
          <w:szCs w:val="27"/>
        </w:rPr>
        <w:t xml:space="preserve">Outcomes for each young person were recorded, reviewed and support was delivered and made available accordingly. In the instance where a young person did not take up the 1:1 appointments the support was outlined clearly and parents and carers also knew where to go for support. Career Connect were also contacted regularly to provide wrap around support and transparency of information for the FE </w:t>
      </w:r>
      <w:r w:rsidR="003830A1">
        <w:rPr>
          <w:color w:val="000000"/>
          <w:sz w:val="27"/>
          <w:szCs w:val="27"/>
        </w:rPr>
        <w:t>intuitions.</w:t>
      </w:r>
    </w:p>
    <w:p w14:paraId="5ED531C6" w14:textId="7BEA812C" w:rsidR="003830A1" w:rsidRDefault="003830A1" w:rsidP="006A3E9D">
      <w:pPr>
        <w:pStyle w:val="NormalWeb"/>
        <w:rPr>
          <w:color w:val="000000"/>
          <w:sz w:val="27"/>
          <w:szCs w:val="27"/>
        </w:rPr>
      </w:pPr>
    </w:p>
    <w:p w14:paraId="6E6A6BAB" w14:textId="0CB4FDB1" w:rsidR="003830A1" w:rsidRDefault="003830A1" w:rsidP="006A3E9D">
      <w:pPr>
        <w:pStyle w:val="NormalWeb"/>
        <w:rPr>
          <w:color w:val="000000"/>
          <w:sz w:val="27"/>
          <w:szCs w:val="27"/>
        </w:rPr>
      </w:pPr>
    </w:p>
    <w:p w14:paraId="16751405" w14:textId="6636A924" w:rsidR="003830A1" w:rsidRDefault="003830A1" w:rsidP="006A3E9D">
      <w:pPr>
        <w:pStyle w:val="NormalWeb"/>
        <w:rPr>
          <w:color w:val="000000"/>
          <w:sz w:val="27"/>
          <w:szCs w:val="27"/>
        </w:rPr>
      </w:pPr>
    </w:p>
    <w:p w14:paraId="5A03AF15" w14:textId="7B87D135" w:rsidR="003830A1" w:rsidRDefault="003830A1" w:rsidP="006A3E9D">
      <w:pPr>
        <w:pStyle w:val="NormalWeb"/>
        <w:rPr>
          <w:color w:val="000000"/>
          <w:sz w:val="27"/>
          <w:szCs w:val="27"/>
        </w:rPr>
      </w:pPr>
    </w:p>
    <w:p w14:paraId="2471CA3A" w14:textId="7543D4C3" w:rsidR="003830A1" w:rsidRDefault="003830A1" w:rsidP="006A3E9D">
      <w:pPr>
        <w:pStyle w:val="NormalWeb"/>
        <w:rPr>
          <w:color w:val="000000"/>
          <w:sz w:val="27"/>
          <w:szCs w:val="27"/>
        </w:rPr>
      </w:pPr>
    </w:p>
    <w:p w14:paraId="4646371F" w14:textId="1997A21F" w:rsidR="003830A1" w:rsidRDefault="003830A1" w:rsidP="006A3E9D">
      <w:pPr>
        <w:pStyle w:val="NormalWeb"/>
        <w:rPr>
          <w:color w:val="000000"/>
          <w:sz w:val="27"/>
          <w:szCs w:val="27"/>
        </w:rPr>
      </w:pPr>
    </w:p>
    <w:p w14:paraId="69333788" w14:textId="4BB9E6CA" w:rsidR="003830A1" w:rsidRDefault="003830A1" w:rsidP="006A3E9D">
      <w:pPr>
        <w:pStyle w:val="NormalWeb"/>
        <w:rPr>
          <w:color w:val="000000"/>
          <w:sz w:val="27"/>
          <w:szCs w:val="27"/>
        </w:rPr>
      </w:pPr>
    </w:p>
    <w:p w14:paraId="35D7BC5C" w14:textId="33A0C1E2" w:rsidR="003830A1" w:rsidRDefault="003830A1" w:rsidP="006A3E9D">
      <w:pPr>
        <w:pStyle w:val="NormalWeb"/>
        <w:rPr>
          <w:color w:val="000000"/>
          <w:sz w:val="27"/>
          <w:szCs w:val="27"/>
        </w:rPr>
      </w:pPr>
    </w:p>
    <w:p w14:paraId="393AD671" w14:textId="5A6C86BD" w:rsidR="003830A1" w:rsidRDefault="003830A1" w:rsidP="006A3E9D">
      <w:pPr>
        <w:pStyle w:val="NormalWeb"/>
        <w:rPr>
          <w:color w:val="000000"/>
          <w:sz w:val="27"/>
          <w:szCs w:val="27"/>
        </w:rPr>
      </w:pPr>
    </w:p>
    <w:p w14:paraId="1079F088" w14:textId="27960C28" w:rsidR="003830A1" w:rsidRDefault="003830A1" w:rsidP="006A3E9D">
      <w:pPr>
        <w:pStyle w:val="NormalWeb"/>
        <w:rPr>
          <w:color w:val="000000"/>
          <w:sz w:val="27"/>
          <w:szCs w:val="27"/>
        </w:rPr>
      </w:pPr>
    </w:p>
    <w:p w14:paraId="425D314C" w14:textId="14828F31" w:rsidR="003830A1" w:rsidRDefault="003830A1" w:rsidP="006A3E9D">
      <w:pPr>
        <w:pStyle w:val="NormalWeb"/>
        <w:rPr>
          <w:color w:val="000000"/>
          <w:sz w:val="27"/>
          <w:szCs w:val="27"/>
        </w:rPr>
      </w:pPr>
    </w:p>
    <w:p w14:paraId="6FBC1859" w14:textId="602271AB" w:rsidR="003830A1" w:rsidRDefault="003830A1" w:rsidP="006A3E9D">
      <w:pPr>
        <w:pStyle w:val="NormalWeb"/>
        <w:rPr>
          <w:color w:val="000000"/>
          <w:sz w:val="27"/>
          <w:szCs w:val="27"/>
        </w:rPr>
      </w:pPr>
    </w:p>
    <w:p w14:paraId="246F8949" w14:textId="65B05B21" w:rsidR="003830A1" w:rsidRDefault="003830A1" w:rsidP="006A3E9D">
      <w:pPr>
        <w:pStyle w:val="NormalWeb"/>
        <w:rPr>
          <w:color w:val="000000"/>
          <w:sz w:val="27"/>
          <w:szCs w:val="27"/>
        </w:rPr>
      </w:pPr>
    </w:p>
    <w:p w14:paraId="39A4FA26" w14:textId="56C14775" w:rsidR="003830A1" w:rsidRDefault="003830A1" w:rsidP="006A3E9D">
      <w:pPr>
        <w:pStyle w:val="NormalWeb"/>
        <w:rPr>
          <w:color w:val="000000"/>
          <w:sz w:val="27"/>
          <w:szCs w:val="27"/>
        </w:rPr>
      </w:pPr>
    </w:p>
    <w:p w14:paraId="4FDF306A" w14:textId="3280BC2C" w:rsidR="003830A1" w:rsidRDefault="003830A1" w:rsidP="006A3E9D">
      <w:pPr>
        <w:pStyle w:val="NormalWeb"/>
        <w:rPr>
          <w:color w:val="000000"/>
          <w:sz w:val="27"/>
          <w:szCs w:val="27"/>
        </w:rPr>
      </w:pPr>
    </w:p>
    <w:p w14:paraId="79B881E7" w14:textId="510447C6" w:rsidR="00A71D6C" w:rsidRDefault="003830A1" w:rsidP="003830A1">
      <w:pPr>
        <w:pStyle w:val="NormalWeb"/>
        <w:tabs>
          <w:tab w:val="left" w:pos="1070"/>
        </w:tabs>
        <w:rPr>
          <w:sz w:val="20"/>
        </w:rPr>
      </w:pPr>
      <w:r>
        <w:rPr>
          <w:color w:val="000000"/>
          <w:sz w:val="27"/>
          <w:szCs w:val="27"/>
        </w:rPr>
        <w:tab/>
      </w:r>
    </w:p>
    <w:sectPr w:rsidR="00A71D6C" w:rsidSect="00E768FF">
      <w:headerReference w:type="default" r:id="rId18"/>
      <w:footerReference w:type="default" r:id="rId19"/>
      <w:pgSz w:w="12240" w:h="15840"/>
      <w:pgMar w:top="180" w:right="1460" w:bottom="280" w:left="134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F611C6" w14:textId="77777777" w:rsidR="0040427E" w:rsidRDefault="0040427E">
      <w:r>
        <w:separator/>
      </w:r>
    </w:p>
  </w:endnote>
  <w:endnote w:type="continuationSeparator" w:id="0">
    <w:p w14:paraId="10BAC994" w14:textId="77777777" w:rsidR="0040427E" w:rsidRDefault="004042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23448235"/>
      <w:docPartObj>
        <w:docPartGallery w:val="Page Numbers (Bottom of Page)"/>
        <w:docPartUnique/>
      </w:docPartObj>
    </w:sdtPr>
    <w:sdtEndPr>
      <w:rPr>
        <w:color w:val="7F7F7F" w:themeColor="background1" w:themeShade="7F"/>
        <w:spacing w:val="60"/>
      </w:rPr>
    </w:sdtEndPr>
    <w:sdtContent>
      <w:p w14:paraId="3617F150" w14:textId="04664C93" w:rsidR="003830A1" w:rsidRDefault="003830A1">
        <w:pPr>
          <w:pStyle w:val="Footer"/>
          <w:pBdr>
            <w:top w:val="single" w:sz="4" w:space="1" w:color="D9D9D9" w:themeColor="background1" w:themeShade="D9"/>
          </w:pBdr>
          <w:jc w:val="right"/>
        </w:pPr>
        <w:r>
          <w:fldChar w:fldCharType="begin"/>
        </w:r>
        <w:r>
          <w:instrText xml:space="preserve"> PAGE   \* MERGEFORMAT </w:instrText>
        </w:r>
        <w:r>
          <w:fldChar w:fldCharType="separate"/>
        </w:r>
        <w:r w:rsidR="003E7464">
          <w:rPr>
            <w:noProof/>
          </w:rPr>
          <w:t>1</w:t>
        </w:r>
        <w:r>
          <w:rPr>
            <w:noProof/>
          </w:rPr>
          <w:fldChar w:fldCharType="end"/>
        </w:r>
        <w:r>
          <w:t xml:space="preserve"> | </w:t>
        </w:r>
        <w:r>
          <w:rPr>
            <w:color w:val="7F7F7F" w:themeColor="background1" w:themeShade="7F"/>
            <w:spacing w:val="60"/>
          </w:rPr>
          <w:t>Page</w:t>
        </w:r>
      </w:p>
    </w:sdtContent>
  </w:sdt>
  <w:p w14:paraId="27DE6521" w14:textId="68E86282" w:rsidR="00673587" w:rsidRDefault="00673587">
    <w:pPr>
      <w:pStyle w:val="BodyText"/>
      <w:spacing w:line="14" w:lineRule="auto"/>
      <w:rPr>
        <w:sz w:val="2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C893C" w14:textId="19EF5687" w:rsidR="00673587" w:rsidRDefault="00673587">
    <w:pPr>
      <w:pStyle w:val="BodyText"/>
      <w:spacing w:line="14" w:lineRule="auto"/>
      <w:rPr>
        <w:sz w:val="2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14877500"/>
      <w:docPartObj>
        <w:docPartGallery w:val="Page Numbers (Bottom of Page)"/>
        <w:docPartUnique/>
      </w:docPartObj>
    </w:sdtPr>
    <w:sdtEndPr>
      <w:rPr>
        <w:noProof/>
      </w:rPr>
    </w:sdtEndPr>
    <w:sdtContent>
      <w:p w14:paraId="6204D690" w14:textId="2D015159" w:rsidR="003830A1" w:rsidRDefault="003830A1">
        <w:pPr>
          <w:pStyle w:val="Footer"/>
        </w:pPr>
        <w:r>
          <w:t xml:space="preserve">Page | </w:t>
        </w:r>
        <w:r>
          <w:fldChar w:fldCharType="begin"/>
        </w:r>
        <w:r>
          <w:instrText xml:space="preserve"> PAGE   \* MERGEFORMAT </w:instrText>
        </w:r>
        <w:r>
          <w:fldChar w:fldCharType="separate"/>
        </w:r>
        <w:r w:rsidR="00F16F25">
          <w:rPr>
            <w:noProof/>
          </w:rPr>
          <w:t>19</w:t>
        </w:r>
        <w:r>
          <w:rPr>
            <w:noProof/>
          </w:rPr>
          <w:fldChar w:fldCharType="end"/>
        </w:r>
      </w:p>
    </w:sdtContent>
  </w:sdt>
  <w:p w14:paraId="174C4805" w14:textId="77777777" w:rsidR="00673587" w:rsidRDefault="00673587">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AFD1C3" w14:textId="77777777" w:rsidR="0040427E" w:rsidRDefault="0040427E">
      <w:r>
        <w:separator/>
      </w:r>
    </w:p>
  </w:footnote>
  <w:footnote w:type="continuationSeparator" w:id="0">
    <w:p w14:paraId="78E0C2F7" w14:textId="77777777" w:rsidR="0040427E" w:rsidRDefault="0040427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5689D2" w14:textId="77777777" w:rsidR="00673587" w:rsidRPr="00BD645D" w:rsidRDefault="00673587" w:rsidP="002379EE">
    <w:pPr>
      <w:pStyle w:val="Header"/>
      <w:jc w:val="right"/>
    </w:pPr>
    <w:r>
      <w:rPr>
        <w:noProof/>
        <w:lang w:eastAsia="en-GB"/>
      </w:rPr>
      <w:drawing>
        <wp:inline distT="0" distB="0" distL="0" distR="0" wp14:anchorId="4BD3AFC6" wp14:editId="130B29EE">
          <wp:extent cx="1619250" cy="8426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659209" cy="86343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44CD1B" w14:textId="30DDA9E6" w:rsidR="00673587" w:rsidRDefault="00E768FF" w:rsidP="00E768FF">
    <w:pPr>
      <w:pStyle w:val="BodyText"/>
      <w:spacing w:line="14" w:lineRule="auto"/>
      <w:jc w:val="right"/>
      <w:rPr>
        <w:sz w:val="20"/>
      </w:rPr>
    </w:pPr>
    <w:r>
      <w:rPr>
        <w:noProof/>
        <w:lang w:eastAsia="en-GB"/>
      </w:rPr>
      <w:drawing>
        <wp:inline distT="0" distB="0" distL="0" distR="0" wp14:anchorId="42CBAA1B" wp14:editId="1A49A793">
          <wp:extent cx="1619250" cy="84264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659209" cy="863439"/>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5F7BF6" w14:textId="57C780BE" w:rsidR="00673587" w:rsidRDefault="00E768FF" w:rsidP="00E768FF">
    <w:pPr>
      <w:pStyle w:val="BodyText"/>
      <w:spacing w:line="14" w:lineRule="auto"/>
      <w:jc w:val="right"/>
      <w:rPr>
        <w:sz w:val="20"/>
      </w:rPr>
    </w:pPr>
    <w:r>
      <w:rPr>
        <w:noProof/>
        <w:lang w:eastAsia="en-GB"/>
      </w:rPr>
      <w:drawing>
        <wp:inline distT="0" distB="0" distL="0" distR="0" wp14:anchorId="1BA2E6F2" wp14:editId="5382974C">
          <wp:extent cx="1619250" cy="842645"/>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ransparent-background.png"/>
                  <pic:cNvPicPr/>
                </pic:nvPicPr>
                <pic:blipFill>
                  <a:blip r:embed="rId1">
                    <a:extLst>
                      <a:ext uri="{28A0092B-C50C-407E-A947-70E740481C1C}">
                        <a14:useLocalDpi xmlns:a14="http://schemas.microsoft.com/office/drawing/2010/main" val="0"/>
                      </a:ext>
                    </a:extLst>
                  </a:blip>
                  <a:stretch>
                    <a:fillRect/>
                  </a:stretch>
                </pic:blipFill>
                <pic:spPr>
                  <a:xfrm>
                    <a:off x="0" y="0"/>
                    <a:ext cx="1659209" cy="86343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DF0F1D"/>
    <w:multiLevelType w:val="hybridMultilevel"/>
    <w:tmpl w:val="09A4531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 w15:restartNumberingAfterBreak="0">
    <w:nsid w:val="1D15631F"/>
    <w:multiLevelType w:val="hybridMultilevel"/>
    <w:tmpl w:val="47588E44"/>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29C35DAE"/>
    <w:multiLevelType w:val="hybridMultilevel"/>
    <w:tmpl w:val="FE8CF30C"/>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2CF26FBA"/>
    <w:multiLevelType w:val="multilevel"/>
    <w:tmpl w:val="96ACE36A"/>
    <w:lvl w:ilvl="0">
      <w:start w:val="4"/>
      <w:numFmt w:val="decimal"/>
      <w:lvlText w:val="%1"/>
      <w:lvlJc w:val="left"/>
      <w:pPr>
        <w:ind w:left="1584" w:hanging="360"/>
      </w:pPr>
      <w:rPr>
        <w:rFonts w:hint="default"/>
        <w:color w:val="1F4D78"/>
      </w:rPr>
    </w:lvl>
    <w:lvl w:ilvl="1">
      <w:start w:val="1"/>
      <w:numFmt w:val="decimal"/>
      <w:isLgl/>
      <w:lvlText w:val="%1.%2"/>
      <w:lvlJc w:val="left"/>
      <w:pPr>
        <w:ind w:left="1944" w:hanging="720"/>
      </w:pPr>
      <w:rPr>
        <w:rFonts w:hint="default"/>
      </w:rPr>
    </w:lvl>
    <w:lvl w:ilvl="2">
      <w:start w:val="1"/>
      <w:numFmt w:val="decimal"/>
      <w:isLgl/>
      <w:lvlText w:val="%1.%2.%3"/>
      <w:lvlJc w:val="left"/>
      <w:pPr>
        <w:ind w:left="1944" w:hanging="720"/>
      </w:pPr>
      <w:rPr>
        <w:rFonts w:hint="default"/>
      </w:rPr>
    </w:lvl>
    <w:lvl w:ilvl="3">
      <w:start w:val="1"/>
      <w:numFmt w:val="decimal"/>
      <w:isLgl/>
      <w:lvlText w:val="%1.%2.%3.%4"/>
      <w:lvlJc w:val="left"/>
      <w:pPr>
        <w:ind w:left="2304" w:hanging="1080"/>
      </w:pPr>
      <w:rPr>
        <w:rFonts w:hint="default"/>
      </w:rPr>
    </w:lvl>
    <w:lvl w:ilvl="4">
      <w:start w:val="1"/>
      <w:numFmt w:val="decimal"/>
      <w:isLgl/>
      <w:lvlText w:val="%1.%2.%3.%4.%5"/>
      <w:lvlJc w:val="left"/>
      <w:pPr>
        <w:ind w:left="2664" w:hanging="1440"/>
      </w:pPr>
      <w:rPr>
        <w:rFonts w:hint="default"/>
      </w:rPr>
    </w:lvl>
    <w:lvl w:ilvl="5">
      <w:start w:val="1"/>
      <w:numFmt w:val="decimal"/>
      <w:isLgl/>
      <w:lvlText w:val="%1.%2.%3.%4.%5.%6"/>
      <w:lvlJc w:val="left"/>
      <w:pPr>
        <w:ind w:left="2664" w:hanging="1440"/>
      </w:pPr>
      <w:rPr>
        <w:rFonts w:hint="default"/>
      </w:rPr>
    </w:lvl>
    <w:lvl w:ilvl="6">
      <w:start w:val="1"/>
      <w:numFmt w:val="decimal"/>
      <w:isLgl/>
      <w:lvlText w:val="%1.%2.%3.%4.%5.%6.%7"/>
      <w:lvlJc w:val="left"/>
      <w:pPr>
        <w:ind w:left="3024" w:hanging="1800"/>
      </w:pPr>
      <w:rPr>
        <w:rFonts w:hint="default"/>
      </w:rPr>
    </w:lvl>
    <w:lvl w:ilvl="7">
      <w:start w:val="1"/>
      <w:numFmt w:val="decimal"/>
      <w:isLgl/>
      <w:lvlText w:val="%1.%2.%3.%4.%5.%6.%7.%8"/>
      <w:lvlJc w:val="left"/>
      <w:pPr>
        <w:ind w:left="3024" w:hanging="1800"/>
      </w:pPr>
      <w:rPr>
        <w:rFonts w:hint="default"/>
      </w:rPr>
    </w:lvl>
    <w:lvl w:ilvl="8">
      <w:start w:val="1"/>
      <w:numFmt w:val="decimal"/>
      <w:isLgl/>
      <w:lvlText w:val="%1.%2.%3.%4.%5.%6.%7.%8.%9"/>
      <w:lvlJc w:val="left"/>
      <w:pPr>
        <w:ind w:left="3384" w:hanging="2160"/>
      </w:pPr>
      <w:rPr>
        <w:rFonts w:hint="default"/>
      </w:rPr>
    </w:lvl>
  </w:abstractNum>
  <w:abstractNum w:abstractNumId="4" w15:restartNumberingAfterBreak="0">
    <w:nsid w:val="39037944"/>
    <w:multiLevelType w:val="hybridMultilevel"/>
    <w:tmpl w:val="CFD0E7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C40320F"/>
    <w:multiLevelType w:val="hybridMultilevel"/>
    <w:tmpl w:val="3A2E4540"/>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3DDB2A05"/>
    <w:multiLevelType w:val="multilevel"/>
    <w:tmpl w:val="8C866424"/>
    <w:lvl w:ilvl="0">
      <w:start w:val="1"/>
      <w:numFmt w:val="bullet"/>
      <w:lvlText w:val=""/>
      <w:lvlJc w:val="left"/>
      <w:pPr>
        <w:tabs>
          <w:tab w:val="num" w:pos="-945"/>
        </w:tabs>
        <w:ind w:left="-945" w:hanging="360"/>
      </w:pPr>
      <w:rPr>
        <w:rFonts w:ascii="Symbol" w:hAnsi="Symbol" w:hint="default"/>
        <w:sz w:val="20"/>
      </w:rPr>
    </w:lvl>
    <w:lvl w:ilvl="1">
      <w:start w:val="1"/>
      <w:numFmt w:val="bullet"/>
      <w:lvlText w:val="o"/>
      <w:lvlJc w:val="left"/>
      <w:pPr>
        <w:tabs>
          <w:tab w:val="num" w:pos="-225"/>
        </w:tabs>
        <w:ind w:left="-225" w:hanging="360"/>
      </w:pPr>
      <w:rPr>
        <w:rFonts w:ascii="Courier New" w:hAnsi="Courier New" w:cs="Times New Roman" w:hint="default"/>
        <w:sz w:val="20"/>
      </w:rPr>
    </w:lvl>
    <w:lvl w:ilvl="2">
      <w:start w:val="1"/>
      <w:numFmt w:val="bullet"/>
      <w:lvlText w:val=""/>
      <w:lvlJc w:val="left"/>
      <w:pPr>
        <w:tabs>
          <w:tab w:val="num" w:pos="495"/>
        </w:tabs>
        <w:ind w:left="495" w:hanging="360"/>
      </w:pPr>
      <w:rPr>
        <w:rFonts w:ascii="Wingdings" w:hAnsi="Wingdings" w:hint="default"/>
        <w:sz w:val="20"/>
      </w:rPr>
    </w:lvl>
    <w:lvl w:ilvl="3">
      <w:start w:val="1"/>
      <w:numFmt w:val="bullet"/>
      <w:lvlText w:val=""/>
      <w:lvlJc w:val="left"/>
      <w:pPr>
        <w:tabs>
          <w:tab w:val="num" w:pos="1215"/>
        </w:tabs>
        <w:ind w:left="1215" w:hanging="360"/>
      </w:pPr>
      <w:rPr>
        <w:rFonts w:ascii="Wingdings" w:hAnsi="Wingdings" w:hint="default"/>
        <w:sz w:val="20"/>
      </w:rPr>
    </w:lvl>
    <w:lvl w:ilvl="4">
      <w:start w:val="1"/>
      <w:numFmt w:val="bullet"/>
      <w:lvlText w:val=""/>
      <w:lvlJc w:val="left"/>
      <w:pPr>
        <w:tabs>
          <w:tab w:val="num" w:pos="1935"/>
        </w:tabs>
        <w:ind w:left="1935" w:hanging="360"/>
      </w:pPr>
      <w:rPr>
        <w:rFonts w:ascii="Wingdings" w:hAnsi="Wingdings" w:hint="default"/>
        <w:sz w:val="20"/>
      </w:rPr>
    </w:lvl>
    <w:lvl w:ilvl="5">
      <w:start w:val="1"/>
      <w:numFmt w:val="bullet"/>
      <w:lvlText w:val=""/>
      <w:lvlJc w:val="left"/>
      <w:pPr>
        <w:tabs>
          <w:tab w:val="num" w:pos="2655"/>
        </w:tabs>
        <w:ind w:left="2655" w:hanging="360"/>
      </w:pPr>
      <w:rPr>
        <w:rFonts w:ascii="Wingdings" w:hAnsi="Wingdings" w:hint="default"/>
        <w:sz w:val="20"/>
      </w:rPr>
    </w:lvl>
    <w:lvl w:ilvl="6">
      <w:start w:val="1"/>
      <w:numFmt w:val="bullet"/>
      <w:lvlText w:val=""/>
      <w:lvlJc w:val="left"/>
      <w:pPr>
        <w:tabs>
          <w:tab w:val="num" w:pos="3375"/>
        </w:tabs>
        <w:ind w:left="3375" w:hanging="360"/>
      </w:pPr>
      <w:rPr>
        <w:rFonts w:ascii="Wingdings" w:hAnsi="Wingdings" w:hint="default"/>
        <w:sz w:val="20"/>
      </w:rPr>
    </w:lvl>
    <w:lvl w:ilvl="7">
      <w:start w:val="1"/>
      <w:numFmt w:val="bullet"/>
      <w:lvlText w:val=""/>
      <w:lvlJc w:val="left"/>
      <w:pPr>
        <w:tabs>
          <w:tab w:val="num" w:pos="4095"/>
        </w:tabs>
        <w:ind w:left="4095" w:hanging="360"/>
      </w:pPr>
      <w:rPr>
        <w:rFonts w:ascii="Wingdings" w:hAnsi="Wingdings" w:hint="default"/>
        <w:sz w:val="20"/>
      </w:rPr>
    </w:lvl>
    <w:lvl w:ilvl="8">
      <w:start w:val="1"/>
      <w:numFmt w:val="bullet"/>
      <w:lvlText w:val=""/>
      <w:lvlJc w:val="left"/>
      <w:pPr>
        <w:tabs>
          <w:tab w:val="num" w:pos="4815"/>
        </w:tabs>
        <w:ind w:left="4815" w:hanging="360"/>
      </w:pPr>
      <w:rPr>
        <w:rFonts w:ascii="Wingdings" w:hAnsi="Wingdings" w:hint="default"/>
        <w:sz w:val="20"/>
      </w:rPr>
    </w:lvl>
  </w:abstractNum>
  <w:abstractNum w:abstractNumId="7" w15:restartNumberingAfterBreak="0">
    <w:nsid w:val="3E480FC4"/>
    <w:multiLevelType w:val="hybridMultilevel"/>
    <w:tmpl w:val="FD0AEB20"/>
    <w:lvl w:ilvl="0" w:tplc="C9D44A44">
      <w:numFmt w:val="bullet"/>
      <w:lvlText w:val=""/>
      <w:lvlJc w:val="left"/>
      <w:pPr>
        <w:ind w:left="900" w:hanging="360"/>
      </w:pPr>
      <w:rPr>
        <w:rFonts w:ascii="Symbol" w:eastAsia="Symbol" w:hAnsi="Symbol" w:cs="Symbol" w:hint="default"/>
        <w:w w:val="100"/>
        <w:sz w:val="22"/>
        <w:szCs w:val="22"/>
        <w:lang w:val="en-GB" w:eastAsia="en-US" w:bidi="ar-SA"/>
      </w:rPr>
    </w:lvl>
    <w:lvl w:ilvl="1" w:tplc="9F806072">
      <w:numFmt w:val="bullet"/>
      <w:lvlText w:val="•"/>
      <w:lvlJc w:val="left"/>
      <w:pPr>
        <w:ind w:left="1772" w:hanging="360"/>
      </w:pPr>
      <w:rPr>
        <w:rFonts w:hint="default"/>
        <w:lang w:val="en-GB" w:eastAsia="en-US" w:bidi="ar-SA"/>
      </w:rPr>
    </w:lvl>
    <w:lvl w:ilvl="2" w:tplc="7F10F01E">
      <w:numFmt w:val="bullet"/>
      <w:lvlText w:val="•"/>
      <w:lvlJc w:val="left"/>
      <w:pPr>
        <w:ind w:left="2644" w:hanging="360"/>
      </w:pPr>
      <w:rPr>
        <w:rFonts w:hint="default"/>
        <w:lang w:val="en-GB" w:eastAsia="en-US" w:bidi="ar-SA"/>
      </w:rPr>
    </w:lvl>
    <w:lvl w:ilvl="3" w:tplc="5EC04C78">
      <w:numFmt w:val="bullet"/>
      <w:lvlText w:val="•"/>
      <w:lvlJc w:val="left"/>
      <w:pPr>
        <w:ind w:left="3516" w:hanging="360"/>
      </w:pPr>
      <w:rPr>
        <w:rFonts w:hint="default"/>
        <w:lang w:val="en-GB" w:eastAsia="en-US" w:bidi="ar-SA"/>
      </w:rPr>
    </w:lvl>
    <w:lvl w:ilvl="4" w:tplc="E9FAABD6">
      <w:numFmt w:val="bullet"/>
      <w:lvlText w:val="•"/>
      <w:lvlJc w:val="left"/>
      <w:pPr>
        <w:ind w:left="4388" w:hanging="360"/>
      </w:pPr>
      <w:rPr>
        <w:rFonts w:hint="default"/>
        <w:lang w:val="en-GB" w:eastAsia="en-US" w:bidi="ar-SA"/>
      </w:rPr>
    </w:lvl>
    <w:lvl w:ilvl="5" w:tplc="E2824628">
      <w:numFmt w:val="bullet"/>
      <w:lvlText w:val="•"/>
      <w:lvlJc w:val="left"/>
      <w:pPr>
        <w:ind w:left="5260" w:hanging="360"/>
      </w:pPr>
      <w:rPr>
        <w:rFonts w:hint="default"/>
        <w:lang w:val="en-GB" w:eastAsia="en-US" w:bidi="ar-SA"/>
      </w:rPr>
    </w:lvl>
    <w:lvl w:ilvl="6" w:tplc="E18678E8">
      <w:numFmt w:val="bullet"/>
      <w:lvlText w:val="•"/>
      <w:lvlJc w:val="left"/>
      <w:pPr>
        <w:ind w:left="6132" w:hanging="360"/>
      </w:pPr>
      <w:rPr>
        <w:rFonts w:hint="default"/>
        <w:lang w:val="en-GB" w:eastAsia="en-US" w:bidi="ar-SA"/>
      </w:rPr>
    </w:lvl>
    <w:lvl w:ilvl="7" w:tplc="F68CE144">
      <w:numFmt w:val="bullet"/>
      <w:lvlText w:val="•"/>
      <w:lvlJc w:val="left"/>
      <w:pPr>
        <w:ind w:left="7004" w:hanging="360"/>
      </w:pPr>
      <w:rPr>
        <w:rFonts w:hint="default"/>
        <w:lang w:val="en-GB" w:eastAsia="en-US" w:bidi="ar-SA"/>
      </w:rPr>
    </w:lvl>
    <w:lvl w:ilvl="8" w:tplc="AC00F08A">
      <w:numFmt w:val="bullet"/>
      <w:lvlText w:val="•"/>
      <w:lvlJc w:val="left"/>
      <w:pPr>
        <w:ind w:left="7876" w:hanging="360"/>
      </w:pPr>
      <w:rPr>
        <w:rFonts w:hint="default"/>
        <w:lang w:val="en-GB" w:eastAsia="en-US" w:bidi="ar-SA"/>
      </w:rPr>
    </w:lvl>
  </w:abstractNum>
  <w:abstractNum w:abstractNumId="8" w15:restartNumberingAfterBreak="0">
    <w:nsid w:val="410D509F"/>
    <w:multiLevelType w:val="multilevel"/>
    <w:tmpl w:val="974E219E"/>
    <w:lvl w:ilvl="0">
      <w:start w:val="1"/>
      <w:numFmt w:val="upperLetter"/>
      <w:lvlText w:val="%1)"/>
      <w:lvlJc w:val="left"/>
      <w:pPr>
        <w:ind w:left="389" w:hanging="269"/>
      </w:pPr>
      <w:rPr>
        <w:rFonts w:ascii="Segoe UI" w:eastAsia="Segoe UI" w:hAnsi="Segoe UI" w:cs="Segoe UI" w:hint="default"/>
        <w:spacing w:val="-1"/>
        <w:w w:val="100"/>
        <w:sz w:val="22"/>
        <w:szCs w:val="22"/>
        <w:lang w:val="en-GB" w:eastAsia="en-US" w:bidi="ar-SA"/>
      </w:rPr>
    </w:lvl>
    <w:lvl w:ilvl="1">
      <w:start w:val="1"/>
      <w:numFmt w:val="decimal"/>
      <w:lvlText w:val="%2."/>
      <w:lvlJc w:val="left"/>
      <w:pPr>
        <w:ind w:left="840" w:hanging="360"/>
        <w:jc w:val="right"/>
      </w:pPr>
      <w:rPr>
        <w:rFonts w:hint="default"/>
        <w:w w:val="100"/>
        <w:lang w:val="en-GB" w:eastAsia="en-US" w:bidi="ar-SA"/>
      </w:rPr>
    </w:lvl>
    <w:lvl w:ilvl="2">
      <w:start w:val="1"/>
      <w:numFmt w:val="decimal"/>
      <w:lvlText w:val="%2.%3"/>
      <w:lvlJc w:val="left"/>
      <w:pPr>
        <w:ind w:left="1224" w:hanging="384"/>
      </w:pPr>
      <w:rPr>
        <w:rFonts w:ascii="Segoe UI Light" w:eastAsia="Segoe UI Light" w:hAnsi="Segoe UI Light" w:cs="Segoe UI Light" w:hint="default"/>
        <w:color w:val="1F4D78"/>
        <w:spacing w:val="-1"/>
        <w:w w:val="100"/>
        <w:sz w:val="28"/>
        <w:szCs w:val="28"/>
        <w:lang w:val="en-GB" w:eastAsia="en-US" w:bidi="ar-SA"/>
      </w:rPr>
    </w:lvl>
    <w:lvl w:ilvl="3">
      <w:numFmt w:val="bullet"/>
      <w:lvlText w:val="•"/>
      <w:lvlJc w:val="left"/>
      <w:pPr>
        <w:ind w:left="2270" w:hanging="384"/>
      </w:pPr>
      <w:rPr>
        <w:rFonts w:hint="default"/>
        <w:lang w:val="en-GB" w:eastAsia="en-US" w:bidi="ar-SA"/>
      </w:rPr>
    </w:lvl>
    <w:lvl w:ilvl="4">
      <w:numFmt w:val="bullet"/>
      <w:lvlText w:val="•"/>
      <w:lvlJc w:val="left"/>
      <w:pPr>
        <w:ind w:left="3320" w:hanging="384"/>
      </w:pPr>
      <w:rPr>
        <w:rFonts w:hint="default"/>
        <w:lang w:val="en-GB" w:eastAsia="en-US" w:bidi="ar-SA"/>
      </w:rPr>
    </w:lvl>
    <w:lvl w:ilvl="5">
      <w:numFmt w:val="bullet"/>
      <w:lvlText w:val="•"/>
      <w:lvlJc w:val="left"/>
      <w:pPr>
        <w:ind w:left="4370" w:hanging="384"/>
      </w:pPr>
      <w:rPr>
        <w:rFonts w:hint="default"/>
        <w:lang w:val="en-GB" w:eastAsia="en-US" w:bidi="ar-SA"/>
      </w:rPr>
    </w:lvl>
    <w:lvl w:ilvl="6">
      <w:numFmt w:val="bullet"/>
      <w:lvlText w:val="•"/>
      <w:lvlJc w:val="left"/>
      <w:pPr>
        <w:ind w:left="5420" w:hanging="384"/>
      </w:pPr>
      <w:rPr>
        <w:rFonts w:hint="default"/>
        <w:lang w:val="en-GB" w:eastAsia="en-US" w:bidi="ar-SA"/>
      </w:rPr>
    </w:lvl>
    <w:lvl w:ilvl="7">
      <w:numFmt w:val="bullet"/>
      <w:lvlText w:val="•"/>
      <w:lvlJc w:val="left"/>
      <w:pPr>
        <w:ind w:left="6470" w:hanging="384"/>
      </w:pPr>
      <w:rPr>
        <w:rFonts w:hint="default"/>
        <w:lang w:val="en-GB" w:eastAsia="en-US" w:bidi="ar-SA"/>
      </w:rPr>
    </w:lvl>
    <w:lvl w:ilvl="8">
      <w:numFmt w:val="bullet"/>
      <w:lvlText w:val="•"/>
      <w:lvlJc w:val="left"/>
      <w:pPr>
        <w:ind w:left="7520" w:hanging="384"/>
      </w:pPr>
      <w:rPr>
        <w:rFonts w:hint="default"/>
        <w:lang w:val="en-GB" w:eastAsia="en-US" w:bidi="ar-SA"/>
      </w:rPr>
    </w:lvl>
  </w:abstractNum>
  <w:abstractNum w:abstractNumId="9" w15:restartNumberingAfterBreak="0">
    <w:nsid w:val="44960310"/>
    <w:multiLevelType w:val="multilevel"/>
    <w:tmpl w:val="974E219E"/>
    <w:lvl w:ilvl="0">
      <w:start w:val="1"/>
      <w:numFmt w:val="upperLetter"/>
      <w:lvlText w:val="%1)"/>
      <w:lvlJc w:val="left"/>
      <w:pPr>
        <w:ind w:left="389" w:hanging="269"/>
      </w:pPr>
      <w:rPr>
        <w:rFonts w:ascii="Segoe UI" w:eastAsia="Segoe UI" w:hAnsi="Segoe UI" w:cs="Segoe UI" w:hint="default"/>
        <w:spacing w:val="-1"/>
        <w:w w:val="100"/>
        <w:sz w:val="22"/>
        <w:szCs w:val="22"/>
        <w:lang w:val="en-GB" w:eastAsia="en-US" w:bidi="ar-SA"/>
      </w:rPr>
    </w:lvl>
    <w:lvl w:ilvl="1">
      <w:start w:val="1"/>
      <w:numFmt w:val="decimal"/>
      <w:lvlText w:val="%2."/>
      <w:lvlJc w:val="left"/>
      <w:pPr>
        <w:ind w:left="840" w:hanging="360"/>
        <w:jc w:val="right"/>
      </w:pPr>
      <w:rPr>
        <w:rFonts w:hint="default"/>
        <w:w w:val="100"/>
        <w:lang w:val="en-GB" w:eastAsia="en-US" w:bidi="ar-SA"/>
      </w:rPr>
    </w:lvl>
    <w:lvl w:ilvl="2">
      <w:start w:val="1"/>
      <w:numFmt w:val="decimal"/>
      <w:lvlText w:val="%2.%3"/>
      <w:lvlJc w:val="left"/>
      <w:pPr>
        <w:ind w:left="1224" w:hanging="384"/>
      </w:pPr>
      <w:rPr>
        <w:rFonts w:ascii="Segoe UI Light" w:eastAsia="Segoe UI Light" w:hAnsi="Segoe UI Light" w:cs="Segoe UI Light" w:hint="default"/>
        <w:color w:val="1F4D78"/>
        <w:spacing w:val="-1"/>
        <w:w w:val="100"/>
        <w:sz w:val="28"/>
        <w:szCs w:val="28"/>
        <w:lang w:val="en-GB" w:eastAsia="en-US" w:bidi="ar-SA"/>
      </w:rPr>
    </w:lvl>
    <w:lvl w:ilvl="3">
      <w:numFmt w:val="bullet"/>
      <w:lvlText w:val="•"/>
      <w:lvlJc w:val="left"/>
      <w:pPr>
        <w:ind w:left="2270" w:hanging="384"/>
      </w:pPr>
      <w:rPr>
        <w:rFonts w:hint="default"/>
        <w:lang w:val="en-GB" w:eastAsia="en-US" w:bidi="ar-SA"/>
      </w:rPr>
    </w:lvl>
    <w:lvl w:ilvl="4">
      <w:numFmt w:val="bullet"/>
      <w:lvlText w:val="•"/>
      <w:lvlJc w:val="left"/>
      <w:pPr>
        <w:ind w:left="3320" w:hanging="384"/>
      </w:pPr>
      <w:rPr>
        <w:rFonts w:hint="default"/>
        <w:lang w:val="en-GB" w:eastAsia="en-US" w:bidi="ar-SA"/>
      </w:rPr>
    </w:lvl>
    <w:lvl w:ilvl="5">
      <w:numFmt w:val="bullet"/>
      <w:lvlText w:val="•"/>
      <w:lvlJc w:val="left"/>
      <w:pPr>
        <w:ind w:left="4370" w:hanging="384"/>
      </w:pPr>
      <w:rPr>
        <w:rFonts w:hint="default"/>
        <w:lang w:val="en-GB" w:eastAsia="en-US" w:bidi="ar-SA"/>
      </w:rPr>
    </w:lvl>
    <w:lvl w:ilvl="6">
      <w:numFmt w:val="bullet"/>
      <w:lvlText w:val="•"/>
      <w:lvlJc w:val="left"/>
      <w:pPr>
        <w:ind w:left="5420" w:hanging="384"/>
      </w:pPr>
      <w:rPr>
        <w:rFonts w:hint="default"/>
        <w:lang w:val="en-GB" w:eastAsia="en-US" w:bidi="ar-SA"/>
      </w:rPr>
    </w:lvl>
    <w:lvl w:ilvl="7">
      <w:numFmt w:val="bullet"/>
      <w:lvlText w:val="•"/>
      <w:lvlJc w:val="left"/>
      <w:pPr>
        <w:ind w:left="6470" w:hanging="384"/>
      </w:pPr>
      <w:rPr>
        <w:rFonts w:hint="default"/>
        <w:lang w:val="en-GB" w:eastAsia="en-US" w:bidi="ar-SA"/>
      </w:rPr>
    </w:lvl>
    <w:lvl w:ilvl="8">
      <w:numFmt w:val="bullet"/>
      <w:lvlText w:val="•"/>
      <w:lvlJc w:val="left"/>
      <w:pPr>
        <w:ind w:left="7520" w:hanging="384"/>
      </w:pPr>
      <w:rPr>
        <w:rFonts w:hint="default"/>
        <w:lang w:val="en-GB" w:eastAsia="en-US" w:bidi="ar-SA"/>
      </w:rPr>
    </w:lvl>
  </w:abstractNum>
  <w:abstractNum w:abstractNumId="10" w15:restartNumberingAfterBreak="0">
    <w:nsid w:val="45FF1779"/>
    <w:multiLevelType w:val="hybridMultilevel"/>
    <w:tmpl w:val="2E6AFE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6195561D"/>
    <w:multiLevelType w:val="hybridMultilevel"/>
    <w:tmpl w:val="E22E7D6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67DE75F2"/>
    <w:multiLevelType w:val="hybridMultilevel"/>
    <w:tmpl w:val="1D046A98"/>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6CE1436A"/>
    <w:multiLevelType w:val="hybridMultilevel"/>
    <w:tmpl w:val="8626F0C0"/>
    <w:lvl w:ilvl="0" w:tplc="B09AA1CC">
      <w:start w:val="65"/>
      <w:numFmt w:val="bullet"/>
      <w:lvlText w:val="-"/>
      <w:lvlJc w:val="left"/>
      <w:pPr>
        <w:ind w:left="630" w:hanging="360"/>
      </w:pPr>
      <w:rPr>
        <w:rFonts w:ascii="Calibri" w:eastAsia="Times New Roman" w:hAnsi="Calibri" w:cs="Times New Roman" w:hint="default"/>
      </w:rPr>
    </w:lvl>
    <w:lvl w:ilvl="1" w:tplc="08090003" w:tentative="1">
      <w:start w:val="1"/>
      <w:numFmt w:val="bullet"/>
      <w:lvlText w:val="o"/>
      <w:lvlJc w:val="left"/>
      <w:pPr>
        <w:ind w:left="1350" w:hanging="360"/>
      </w:pPr>
      <w:rPr>
        <w:rFonts w:ascii="Courier New" w:hAnsi="Courier New" w:cs="Courier New" w:hint="default"/>
      </w:rPr>
    </w:lvl>
    <w:lvl w:ilvl="2" w:tplc="08090005" w:tentative="1">
      <w:start w:val="1"/>
      <w:numFmt w:val="bullet"/>
      <w:lvlText w:val=""/>
      <w:lvlJc w:val="left"/>
      <w:pPr>
        <w:ind w:left="2070" w:hanging="360"/>
      </w:pPr>
      <w:rPr>
        <w:rFonts w:ascii="Wingdings" w:hAnsi="Wingdings" w:hint="default"/>
      </w:rPr>
    </w:lvl>
    <w:lvl w:ilvl="3" w:tplc="08090001" w:tentative="1">
      <w:start w:val="1"/>
      <w:numFmt w:val="bullet"/>
      <w:lvlText w:val=""/>
      <w:lvlJc w:val="left"/>
      <w:pPr>
        <w:ind w:left="2790" w:hanging="360"/>
      </w:pPr>
      <w:rPr>
        <w:rFonts w:ascii="Symbol" w:hAnsi="Symbol" w:hint="default"/>
      </w:rPr>
    </w:lvl>
    <w:lvl w:ilvl="4" w:tplc="08090003" w:tentative="1">
      <w:start w:val="1"/>
      <w:numFmt w:val="bullet"/>
      <w:lvlText w:val="o"/>
      <w:lvlJc w:val="left"/>
      <w:pPr>
        <w:ind w:left="3510" w:hanging="360"/>
      </w:pPr>
      <w:rPr>
        <w:rFonts w:ascii="Courier New" w:hAnsi="Courier New" w:cs="Courier New" w:hint="default"/>
      </w:rPr>
    </w:lvl>
    <w:lvl w:ilvl="5" w:tplc="08090005" w:tentative="1">
      <w:start w:val="1"/>
      <w:numFmt w:val="bullet"/>
      <w:lvlText w:val=""/>
      <w:lvlJc w:val="left"/>
      <w:pPr>
        <w:ind w:left="4230" w:hanging="360"/>
      </w:pPr>
      <w:rPr>
        <w:rFonts w:ascii="Wingdings" w:hAnsi="Wingdings" w:hint="default"/>
      </w:rPr>
    </w:lvl>
    <w:lvl w:ilvl="6" w:tplc="08090001" w:tentative="1">
      <w:start w:val="1"/>
      <w:numFmt w:val="bullet"/>
      <w:lvlText w:val=""/>
      <w:lvlJc w:val="left"/>
      <w:pPr>
        <w:ind w:left="4950" w:hanging="360"/>
      </w:pPr>
      <w:rPr>
        <w:rFonts w:ascii="Symbol" w:hAnsi="Symbol" w:hint="default"/>
      </w:rPr>
    </w:lvl>
    <w:lvl w:ilvl="7" w:tplc="08090003" w:tentative="1">
      <w:start w:val="1"/>
      <w:numFmt w:val="bullet"/>
      <w:lvlText w:val="o"/>
      <w:lvlJc w:val="left"/>
      <w:pPr>
        <w:ind w:left="5670" w:hanging="360"/>
      </w:pPr>
      <w:rPr>
        <w:rFonts w:ascii="Courier New" w:hAnsi="Courier New" w:cs="Courier New" w:hint="default"/>
      </w:rPr>
    </w:lvl>
    <w:lvl w:ilvl="8" w:tplc="08090005" w:tentative="1">
      <w:start w:val="1"/>
      <w:numFmt w:val="bullet"/>
      <w:lvlText w:val=""/>
      <w:lvlJc w:val="left"/>
      <w:pPr>
        <w:ind w:left="6390" w:hanging="360"/>
      </w:pPr>
      <w:rPr>
        <w:rFonts w:ascii="Wingdings" w:hAnsi="Wingdings" w:hint="default"/>
      </w:rPr>
    </w:lvl>
  </w:abstractNum>
  <w:abstractNum w:abstractNumId="14" w15:restartNumberingAfterBreak="0">
    <w:nsid w:val="6D522F90"/>
    <w:multiLevelType w:val="multilevel"/>
    <w:tmpl w:val="1932EE66"/>
    <w:lvl w:ilvl="0">
      <w:start w:val="1"/>
      <w:numFmt w:val="decimal"/>
      <w:lvlText w:val="%1)"/>
      <w:lvlJc w:val="left"/>
      <w:pPr>
        <w:ind w:left="701" w:hanging="360"/>
      </w:pPr>
      <w:rPr>
        <w:rFonts w:ascii="Segoe UI" w:eastAsia="Segoe UI" w:hAnsi="Segoe UI" w:cs="Segoe UI" w:hint="default"/>
        <w:w w:val="100"/>
        <w:sz w:val="22"/>
        <w:szCs w:val="22"/>
        <w:lang w:val="en-GB" w:eastAsia="en-US" w:bidi="ar-SA"/>
      </w:rPr>
    </w:lvl>
    <w:lvl w:ilvl="1">
      <w:start w:val="1"/>
      <w:numFmt w:val="decimal"/>
      <w:lvlText w:val="%1.%2)"/>
      <w:lvlJc w:val="left"/>
      <w:pPr>
        <w:ind w:left="1262" w:hanging="413"/>
      </w:pPr>
      <w:rPr>
        <w:rFonts w:ascii="Segoe UI" w:eastAsia="Segoe UI" w:hAnsi="Segoe UI" w:cs="Segoe UI" w:hint="default"/>
        <w:spacing w:val="-2"/>
        <w:w w:val="100"/>
        <w:sz w:val="22"/>
        <w:szCs w:val="22"/>
        <w:lang w:val="en-GB" w:eastAsia="en-US" w:bidi="ar-SA"/>
      </w:rPr>
    </w:lvl>
    <w:lvl w:ilvl="2">
      <w:numFmt w:val="bullet"/>
      <w:lvlText w:val="•"/>
      <w:lvlJc w:val="left"/>
      <w:pPr>
        <w:ind w:left="2188" w:hanging="413"/>
      </w:pPr>
      <w:rPr>
        <w:rFonts w:hint="default"/>
        <w:lang w:val="en-GB" w:eastAsia="en-US" w:bidi="ar-SA"/>
      </w:rPr>
    </w:lvl>
    <w:lvl w:ilvl="3">
      <w:numFmt w:val="bullet"/>
      <w:lvlText w:val="•"/>
      <w:lvlJc w:val="left"/>
      <w:pPr>
        <w:ind w:left="3117" w:hanging="413"/>
      </w:pPr>
      <w:rPr>
        <w:rFonts w:hint="default"/>
        <w:lang w:val="en-GB" w:eastAsia="en-US" w:bidi="ar-SA"/>
      </w:rPr>
    </w:lvl>
    <w:lvl w:ilvl="4">
      <w:numFmt w:val="bullet"/>
      <w:lvlText w:val="•"/>
      <w:lvlJc w:val="left"/>
      <w:pPr>
        <w:ind w:left="4046" w:hanging="413"/>
      </w:pPr>
      <w:rPr>
        <w:rFonts w:hint="default"/>
        <w:lang w:val="en-GB" w:eastAsia="en-US" w:bidi="ar-SA"/>
      </w:rPr>
    </w:lvl>
    <w:lvl w:ilvl="5">
      <w:numFmt w:val="bullet"/>
      <w:lvlText w:val="•"/>
      <w:lvlJc w:val="left"/>
      <w:pPr>
        <w:ind w:left="4975" w:hanging="413"/>
      </w:pPr>
      <w:rPr>
        <w:rFonts w:hint="default"/>
        <w:lang w:val="en-GB" w:eastAsia="en-US" w:bidi="ar-SA"/>
      </w:rPr>
    </w:lvl>
    <w:lvl w:ilvl="6">
      <w:numFmt w:val="bullet"/>
      <w:lvlText w:val="•"/>
      <w:lvlJc w:val="left"/>
      <w:pPr>
        <w:ind w:left="5904" w:hanging="413"/>
      </w:pPr>
      <w:rPr>
        <w:rFonts w:hint="default"/>
        <w:lang w:val="en-GB" w:eastAsia="en-US" w:bidi="ar-SA"/>
      </w:rPr>
    </w:lvl>
    <w:lvl w:ilvl="7">
      <w:numFmt w:val="bullet"/>
      <w:lvlText w:val="•"/>
      <w:lvlJc w:val="left"/>
      <w:pPr>
        <w:ind w:left="6833" w:hanging="413"/>
      </w:pPr>
      <w:rPr>
        <w:rFonts w:hint="default"/>
        <w:lang w:val="en-GB" w:eastAsia="en-US" w:bidi="ar-SA"/>
      </w:rPr>
    </w:lvl>
    <w:lvl w:ilvl="8">
      <w:numFmt w:val="bullet"/>
      <w:lvlText w:val="•"/>
      <w:lvlJc w:val="left"/>
      <w:pPr>
        <w:ind w:left="7762" w:hanging="413"/>
      </w:pPr>
      <w:rPr>
        <w:rFonts w:hint="default"/>
        <w:lang w:val="en-GB" w:eastAsia="en-US" w:bidi="ar-SA"/>
      </w:rPr>
    </w:lvl>
  </w:abstractNum>
  <w:abstractNum w:abstractNumId="15" w15:restartNumberingAfterBreak="0">
    <w:nsid w:val="75FB7972"/>
    <w:multiLevelType w:val="hybridMultilevel"/>
    <w:tmpl w:val="8A2AE5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7"/>
  </w:num>
  <w:num w:numId="2">
    <w:abstractNumId w:val="8"/>
  </w:num>
  <w:num w:numId="3">
    <w:abstractNumId w:val="14"/>
  </w:num>
  <w:num w:numId="4">
    <w:abstractNumId w:val="15"/>
  </w:num>
  <w:num w:numId="5">
    <w:abstractNumId w:val="4"/>
  </w:num>
  <w:num w:numId="6">
    <w:abstractNumId w:val="9"/>
  </w:num>
  <w:num w:numId="7">
    <w:abstractNumId w:val="3"/>
  </w:num>
  <w:num w:numId="8">
    <w:abstractNumId w:val="13"/>
  </w:num>
  <w:num w:numId="9">
    <w:abstractNumId w:val="6"/>
  </w:num>
  <w:num w:numId="10">
    <w:abstractNumId w:val="10"/>
  </w:num>
  <w:num w:numId="11">
    <w:abstractNumId w:val="1"/>
  </w:num>
  <w:num w:numId="12">
    <w:abstractNumId w:val="2"/>
  </w:num>
  <w:num w:numId="13">
    <w:abstractNumId w:val="12"/>
  </w:num>
  <w:num w:numId="14">
    <w:abstractNumId w:val="11"/>
  </w:num>
  <w:num w:numId="15">
    <w:abstractNumId w:val="0"/>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D6C"/>
    <w:rsid w:val="00063B00"/>
    <w:rsid w:val="000F17D5"/>
    <w:rsid w:val="000F2E4F"/>
    <w:rsid w:val="001E44B0"/>
    <w:rsid w:val="0022044A"/>
    <w:rsid w:val="002379EE"/>
    <w:rsid w:val="002414A1"/>
    <w:rsid w:val="00257A1D"/>
    <w:rsid w:val="00297B7C"/>
    <w:rsid w:val="003830A1"/>
    <w:rsid w:val="003A5BB4"/>
    <w:rsid w:val="003B188E"/>
    <w:rsid w:val="003E1E15"/>
    <w:rsid w:val="003E7464"/>
    <w:rsid w:val="0040427E"/>
    <w:rsid w:val="004170F7"/>
    <w:rsid w:val="0048185E"/>
    <w:rsid w:val="004D5003"/>
    <w:rsid w:val="004F332C"/>
    <w:rsid w:val="0050269E"/>
    <w:rsid w:val="005069B6"/>
    <w:rsid w:val="00515D18"/>
    <w:rsid w:val="005E1C3C"/>
    <w:rsid w:val="00603359"/>
    <w:rsid w:val="00650546"/>
    <w:rsid w:val="0066550A"/>
    <w:rsid w:val="00673587"/>
    <w:rsid w:val="006A3E9D"/>
    <w:rsid w:val="0070273C"/>
    <w:rsid w:val="00722BF1"/>
    <w:rsid w:val="00732683"/>
    <w:rsid w:val="007D664D"/>
    <w:rsid w:val="007F2DF4"/>
    <w:rsid w:val="008140A7"/>
    <w:rsid w:val="00866E81"/>
    <w:rsid w:val="008771DF"/>
    <w:rsid w:val="008E0299"/>
    <w:rsid w:val="008F0CB9"/>
    <w:rsid w:val="009E7C66"/>
    <w:rsid w:val="009F6767"/>
    <w:rsid w:val="00A106D7"/>
    <w:rsid w:val="00A53397"/>
    <w:rsid w:val="00A71D6C"/>
    <w:rsid w:val="00A96C30"/>
    <w:rsid w:val="00B01773"/>
    <w:rsid w:val="00BD59CD"/>
    <w:rsid w:val="00BD645D"/>
    <w:rsid w:val="00BF3224"/>
    <w:rsid w:val="00C83177"/>
    <w:rsid w:val="00C927AE"/>
    <w:rsid w:val="00D707B6"/>
    <w:rsid w:val="00D872B1"/>
    <w:rsid w:val="00DC0D25"/>
    <w:rsid w:val="00DC31BA"/>
    <w:rsid w:val="00E0046F"/>
    <w:rsid w:val="00E768FF"/>
    <w:rsid w:val="00EF7F8D"/>
    <w:rsid w:val="00F07B02"/>
    <w:rsid w:val="00F16F25"/>
    <w:rsid w:val="00F44970"/>
    <w:rsid w:val="00F779CD"/>
    <w:rsid w:val="00FF6B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5DD644"/>
  <w15:docId w15:val="{260A8163-64D6-4B9F-820E-B3426DBF03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Segoe UI" w:eastAsia="Segoe UI" w:hAnsi="Segoe UI" w:cs="Segoe UI"/>
      <w:lang w:val="en-GB"/>
    </w:rPr>
  </w:style>
  <w:style w:type="paragraph" w:styleId="Heading1">
    <w:name w:val="heading 1"/>
    <w:basedOn w:val="Normal"/>
    <w:uiPriority w:val="1"/>
    <w:qFormat/>
    <w:pPr>
      <w:ind w:left="286"/>
      <w:outlineLvl w:val="0"/>
    </w:pPr>
    <w:rPr>
      <w:sz w:val="36"/>
      <w:szCs w:val="36"/>
    </w:rPr>
  </w:style>
  <w:style w:type="paragraph" w:styleId="Heading2">
    <w:name w:val="heading 2"/>
    <w:basedOn w:val="Normal"/>
    <w:uiPriority w:val="1"/>
    <w:qFormat/>
    <w:pPr>
      <w:spacing w:before="91"/>
      <w:ind w:left="840" w:hanging="361"/>
      <w:outlineLvl w:val="1"/>
    </w:pPr>
    <w:rPr>
      <w:rFonts w:ascii="Segoe UI Light" w:eastAsia="Segoe UI Light" w:hAnsi="Segoe UI Light" w:cs="Segoe UI Light"/>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83"/>
      <w:ind w:left="120" w:hanging="270"/>
    </w:pPr>
  </w:style>
  <w:style w:type="paragraph" w:styleId="TOC2">
    <w:name w:val="toc 2"/>
    <w:basedOn w:val="Normal"/>
    <w:uiPriority w:val="1"/>
    <w:qFormat/>
    <w:pPr>
      <w:spacing w:before="101"/>
      <w:ind w:left="701" w:hanging="361"/>
    </w:pPr>
  </w:style>
  <w:style w:type="paragraph" w:styleId="TOC3">
    <w:name w:val="toc 3"/>
    <w:basedOn w:val="Normal"/>
    <w:uiPriority w:val="1"/>
    <w:qFormat/>
    <w:pPr>
      <w:spacing w:before="183"/>
      <w:ind w:left="1262" w:hanging="413"/>
    </w:pPr>
  </w:style>
  <w:style w:type="paragraph" w:styleId="BodyText">
    <w:name w:val="Body Text"/>
    <w:basedOn w:val="Normal"/>
    <w:uiPriority w:val="1"/>
    <w:qFormat/>
  </w:style>
  <w:style w:type="paragraph" w:styleId="Title">
    <w:name w:val="Title"/>
    <w:basedOn w:val="Normal"/>
    <w:uiPriority w:val="1"/>
    <w:qFormat/>
    <w:pPr>
      <w:spacing w:line="744" w:lineRule="exact"/>
      <w:ind w:left="592" w:right="462"/>
      <w:jc w:val="center"/>
    </w:pPr>
    <w:rPr>
      <w:rFonts w:ascii="Segoe UI Light" w:eastAsia="Segoe UI Light" w:hAnsi="Segoe UI Light" w:cs="Segoe UI Light"/>
      <w:sz w:val="56"/>
      <w:szCs w:val="56"/>
    </w:rPr>
  </w:style>
  <w:style w:type="paragraph" w:styleId="ListParagraph">
    <w:name w:val="List Paragraph"/>
    <w:basedOn w:val="Normal"/>
    <w:uiPriority w:val="34"/>
    <w:qFormat/>
    <w:pPr>
      <w:spacing w:before="183"/>
      <w:ind w:left="900" w:hanging="361"/>
    </w:pPr>
  </w:style>
  <w:style w:type="paragraph" w:customStyle="1" w:styleId="TableParagraph">
    <w:name w:val="Table Paragraph"/>
    <w:basedOn w:val="Normal"/>
    <w:uiPriority w:val="1"/>
    <w:qFormat/>
    <w:pPr>
      <w:ind w:left="232"/>
      <w:jc w:val="center"/>
    </w:pPr>
    <w:rPr>
      <w:rFonts w:ascii="Segoe UI Light" w:eastAsia="Segoe UI Light" w:hAnsi="Segoe UI Light" w:cs="Segoe UI Light"/>
    </w:rPr>
  </w:style>
  <w:style w:type="paragraph" w:styleId="Header">
    <w:name w:val="header"/>
    <w:basedOn w:val="Normal"/>
    <w:link w:val="HeaderChar"/>
    <w:uiPriority w:val="99"/>
    <w:unhideWhenUsed/>
    <w:rsid w:val="00BD645D"/>
    <w:pPr>
      <w:tabs>
        <w:tab w:val="center" w:pos="4513"/>
        <w:tab w:val="right" w:pos="9026"/>
      </w:tabs>
    </w:pPr>
  </w:style>
  <w:style w:type="character" w:customStyle="1" w:styleId="HeaderChar">
    <w:name w:val="Header Char"/>
    <w:basedOn w:val="DefaultParagraphFont"/>
    <w:link w:val="Header"/>
    <w:uiPriority w:val="99"/>
    <w:rsid w:val="00BD645D"/>
    <w:rPr>
      <w:rFonts w:ascii="Segoe UI" w:eastAsia="Segoe UI" w:hAnsi="Segoe UI" w:cs="Segoe UI"/>
      <w:lang w:val="en-GB"/>
    </w:rPr>
  </w:style>
  <w:style w:type="paragraph" w:styleId="Footer">
    <w:name w:val="footer"/>
    <w:basedOn w:val="Normal"/>
    <w:link w:val="FooterChar"/>
    <w:uiPriority w:val="99"/>
    <w:unhideWhenUsed/>
    <w:rsid w:val="00BD645D"/>
    <w:pPr>
      <w:tabs>
        <w:tab w:val="center" w:pos="4513"/>
        <w:tab w:val="right" w:pos="9026"/>
      </w:tabs>
    </w:pPr>
  </w:style>
  <w:style w:type="character" w:customStyle="1" w:styleId="FooterChar">
    <w:name w:val="Footer Char"/>
    <w:basedOn w:val="DefaultParagraphFont"/>
    <w:link w:val="Footer"/>
    <w:uiPriority w:val="99"/>
    <w:rsid w:val="00BD645D"/>
    <w:rPr>
      <w:rFonts w:ascii="Segoe UI" w:eastAsia="Segoe UI" w:hAnsi="Segoe UI" w:cs="Segoe UI"/>
      <w:lang w:val="en-GB"/>
    </w:rPr>
  </w:style>
  <w:style w:type="table" w:styleId="TableGrid">
    <w:name w:val="Table Grid"/>
    <w:basedOn w:val="TableNormal"/>
    <w:uiPriority w:val="59"/>
    <w:rsid w:val="0022044A"/>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EF7F8D"/>
    <w:pPr>
      <w:widowControl/>
      <w:autoSpaceDE/>
      <w:autoSpaceDN/>
      <w:spacing w:before="100" w:beforeAutospacing="1" w:after="100" w:afterAutospacing="1"/>
    </w:pPr>
    <w:rPr>
      <w:rFonts w:ascii="Times New Roman" w:eastAsia="Times New Roman" w:hAnsi="Times New Roman" w:cs="Times New Roman"/>
      <w:sz w:val="24"/>
      <w:szCs w:val="24"/>
      <w:lang w:eastAsia="en-GB"/>
    </w:rPr>
  </w:style>
  <w:style w:type="paragraph" w:customStyle="1" w:styleId="DefaultText">
    <w:name w:val="Default Text"/>
    <w:basedOn w:val="Normal"/>
    <w:rsid w:val="00F07B02"/>
    <w:pPr>
      <w:widowControl/>
      <w:overflowPunct w:val="0"/>
      <w:adjustRightInd w:val="0"/>
      <w:textAlignment w:val="baseline"/>
    </w:pPr>
    <w:rPr>
      <w:rFonts w:ascii="Arial" w:eastAsia="Times New Roman" w:hAnsi="Arial" w:cs="Times New Roman"/>
      <w:color w:val="000000"/>
      <w:sz w:val="24"/>
      <w:szCs w:val="20"/>
      <w:lang w:val="en-US"/>
    </w:rPr>
  </w:style>
  <w:style w:type="character" w:styleId="Hyperlink">
    <w:name w:val="Hyperlink"/>
    <w:basedOn w:val="DefaultParagraphFont"/>
    <w:uiPriority w:val="99"/>
    <w:semiHidden/>
    <w:unhideWhenUsed/>
    <w:rsid w:val="006A3E9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352207">
      <w:bodyDiv w:val="1"/>
      <w:marLeft w:val="0"/>
      <w:marRight w:val="0"/>
      <w:marTop w:val="0"/>
      <w:marBottom w:val="0"/>
      <w:divBdr>
        <w:top w:val="none" w:sz="0" w:space="0" w:color="auto"/>
        <w:left w:val="none" w:sz="0" w:space="0" w:color="auto"/>
        <w:bottom w:val="none" w:sz="0" w:space="0" w:color="auto"/>
        <w:right w:val="none" w:sz="0" w:space="0" w:color="auto"/>
      </w:divBdr>
    </w:div>
    <w:div w:id="246156417">
      <w:bodyDiv w:val="1"/>
      <w:marLeft w:val="0"/>
      <w:marRight w:val="0"/>
      <w:marTop w:val="0"/>
      <w:marBottom w:val="0"/>
      <w:divBdr>
        <w:top w:val="none" w:sz="0" w:space="0" w:color="auto"/>
        <w:left w:val="none" w:sz="0" w:space="0" w:color="auto"/>
        <w:bottom w:val="none" w:sz="0" w:space="0" w:color="auto"/>
        <w:right w:val="none" w:sz="0" w:space="0" w:color="auto"/>
      </w:divBdr>
    </w:div>
    <w:div w:id="291442439">
      <w:bodyDiv w:val="1"/>
      <w:marLeft w:val="0"/>
      <w:marRight w:val="0"/>
      <w:marTop w:val="0"/>
      <w:marBottom w:val="0"/>
      <w:divBdr>
        <w:top w:val="none" w:sz="0" w:space="0" w:color="auto"/>
        <w:left w:val="none" w:sz="0" w:space="0" w:color="auto"/>
        <w:bottom w:val="none" w:sz="0" w:space="0" w:color="auto"/>
        <w:right w:val="none" w:sz="0" w:space="0" w:color="auto"/>
      </w:divBdr>
    </w:div>
    <w:div w:id="311838359">
      <w:bodyDiv w:val="1"/>
      <w:marLeft w:val="0"/>
      <w:marRight w:val="0"/>
      <w:marTop w:val="0"/>
      <w:marBottom w:val="0"/>
      <w:divBdr>
        <w:top w:val="none" w:sz="0" w:space="0" w:color="auto"/>
        <w:left w:val="none" w:sz="0" w:space="0" w:color="auto"/>
        <w:bottom w:val="none" w:sz="0" w:space="0" w:color="auto"/>
        <w:right w:val="none" w:sz="0" w:space="0" w:color="auto"/>
      </w:divBdr>
    </w:div>
    <w:div w:id="539903120">
      <w:bodyDiv w:val="1"/>
      <w:marLeft w:val="0"/>
      <w:marRight w:val="0"/>
      <w:marTop w:val="0"/>
      <w:marBottom w:val="0"/>
      <w:divBdr>
        <w:top w:val="none" w:sz="0" w:space="0" w:color="auto"/>
        <w:left w:val="none" w:sz="0" w:space="0" w:color="auto"/>
        <w:bottom w:val="none" w:sz="0" w:space="0" w:color="auto"/>
        <w:right w:val="none" w:sz="0" w:space="0" w:color="auto"/>
      </w:divBdr>
    </w:div>
    <w:div w:id="1106077544">
      <w:bodyDiv w:val="1"/>
      <w:marLeft w:val="0"/>
      <w:marRight w:val="0"/>
      <w:marTop w:val="0"/>
      <w:marBottom w:val="0"/>
      <w:divBdr>
        <w:top w:val="none" w:sz="0" w:space="0" w:color="auto"/>
        <w:left w:val="none" w:sz="0" w:space="0" w:color="auto"/>
        <w:bottom w:val="none" w:sz="0" w:space="0" w:color="auto"/>
        <w:right w:val="none" w:sz="0" w:space="0" w:color="auto"/>
      </w:divBdr>
    </w:div>
    <w:div w:id="1106197041">
      <w:bodyDiv w:val="1"/>
      <w:marLeft w:val="0"/>
      <w:marRight w:val="0"/>
      <w:marTop w:val="0"/>
      <w:marBottom w:val="0"/>
      <w:divBdr>
        <w:top w:val="none" w:sz="0" w:space="0" w:color="auto"/>
        <w:left w:val="none" w:sz="0" w:space="0" w:color="auto"/>
        <w:bottom w:val="none" w:sz="0" w:space="0" w:color="auto"/>
        <w:right w:val="none" w:sz="0" w:space="0" w:color="auto"/>
      </w:divBdr>
    </w:div>
    <w:div w:id="1211916098">
      <w:bodyDiv w:val="1"/>
      <w:marLeft w:val="0"/>
      <w:marRight w:val="0"/>
      <w:marTop w:val="0"/>
      <w:marBottom w:val="0"/>
      <w:divBdr>
        <w:top w:val="none" w:sz="0" w:space="0" w:color="auto"/>
        <w:left w:val="none" w:sz="0" w:space="0" w:color="auto"/>
        <w:bottom w:val="none" w:sz="0" w:space="0" w:color="auto"/>
        <w:right w:val="none" w:sz="0" w:space="0" w:color="auto"/>
      </w:divBdr>
    </w:div>
    <w:div w:id="1307857107">
      <w:bodyDiv w:val="1"/>
      <w:marLeft w:val="0"/>
      <w:marRight w:val="0"/>
      <w:marTop w:val="0"/>
      <w:marBottom w:val="0"/>
      <w:divBdr>
        <w:top w:val="none" w:sz="0" w:space="0" w:color="auto"/>
        <w:left w:val="none" w:sz="0" w:space="0" w:color="auto"/>
        <w:bottom w:val="none" w:sz="0" w:space="0" w:color="auto"/>
        <w:right w:val="none" w:sz="0" w:space="0" w:color="auto"/>
      </w:divBdr>
    </w:div>
    <w:div w:id="1950501217">
      <w:bodyDiv w:val="1"/>
      <w:marLeft w:val="0"/>
      <w:marRight w:val="0"/>
      <w:marTop w:val="0"/>
      <w:marBottom w:val="0"/>
      <w:divBdr>
        <w:top w:val="none" w:sz="0" w:space="0" w:color="auto"/>
        <w:left w:val="none" w:sz="0" w:space="0" w:color="auto"/>
        <w:bottom w:val="none" w:sz="0" w:space="0" w:color="auto"/>
        <w:right w:val="none" w:sz="0" w:space="0" w:color="auto"/>
      </w:divBdr>
    </w:div>
    <w:div w:id="19673530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tmc.ac.uk/news/get-ready-couch-college"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F247BE088186047B464C92139CE367B" ma:contentTypeVersion="14" ma:contentTypeDescription="Create a new document." ma:contentTypeScope="" ma:versionID="3b569bfc90227b4582803b7c0dd8ec9b">
  <xsd:schema xmlns:xsd="http://www.w3.org/2001/XMLSchema" xmlns:xs="http://www.w3.org/2001/XMLSchema" xmlns:p="http://schemas.microsoft.com/office/2006/metadata/properties" xmlns:ns3="4f3c19b7-fcbd-4c73-ba2a-70eaf1936da6" xmlns:ns4="8b55aa46-2eb4-4ab3-a17d-29a0480addbd" targetNamespace="http://schemas.microsoft.com/office/2006/metadata/properties" ma:root="true" ma:fieldsID="058b8c32211dd557fda6a6e010aeb779" ns3:_="" ns4:_="">
    <xsd:import namespace="4f3c19b7-fcbd-4c73-ba2a-70eaf1936da6"/>
    <xsd:import namespace="8b55aa46-2eb4-4ab3-a17d-29a0480addbd"/>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3c19b7-fcbd-4c73-ba2a-70eaf1936da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8b55aa46-2eb4-4ab3-a17d-29a0480addbd"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EA1A10-021F-4757-9829-5D1847F099B0}">
  <ds:schemaRefs>
    <ds:schemaRef ds:uri="http://schemas.microsoft.com/sharepoint/v3/contenttype/forms"/>
  </ds:schemaRefs>
</ds:datastoreItem>
</file>

<file path=customXml/itemProps2.xml><?xml version="1.0" encoding="utf-8"?>
<ds:datastoreItem xmlns:ds="http://schemas.openxmlformats.org/officeDocument/2006/customXml" ds:itemID="{42A53312-9255-4563-8B4D-D352F0CDE1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3c19b7-fcbd-4c73-ba2a-70eaf1936da6"/>
    <ds:schemaRef ds:uri="8b55aa46-2eb4-4ab3-a17d-29a0480add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7FD81B9-E384-41E7-B46D-72B197CE1E0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9495C9F-D85D-4699-A62B-31CF03E9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4029</Words>
  <Characters>22968</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Harris Karen</dc:creator>
  <cp:keywords/>
  <dc:description/>
  <cp:lastModifiedBy>Rigby Colin</cp:lastModifiedBy>
  <cp:revision>2</cp:revision>
  <dcterms:created xsi:type="dcterms:W3CDTF">2021-09-20T11:32:00Z</dcterms:created>
  <dcterms:modified xsi:type="dcterms:W3CDTF">2021-09-20T11:32:00Z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2020-06-26T00:00:00Z</vt:filetime>
  </property>
  <property fmtid="{D5CDD505-2E9C-101B-9397-08002B2CF9AE}" pid="3" name="Creator">
    <vt:lpwstr>Microsoft® Word for Microsoft 365</vt:lpwstr>
  </property>
  <property fmtid="{D5CDD505-2E9C-101B-9397-08002B2CF9AE}" pid="4" name="LastSaved">
    <vt:filetime>2021-02-03T00:00:00Z</vt:filetime>
  </property>
  <property fmtid="{D5CDD505-2E9C-101B-9397-08002B2CF9AE}" pid="5" name="ContentTypeId">
    <vt:lpwstr>0x0101000F247BE088186047B464C92139CE367B</vt:lpwstr>
  </property>
</Properties>
</file>