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5F" w:rsidRDefault="00C35E5F" w:rsidP="00C35E5F">
      <w:pPr>
        <w:shd w:val="clear" w:color="auto" w:fill="FFFFFF"/>
        <w:spacing w:after="150" w:line="240" w:lineRule="auto"/>
        <w:jc w:val="right"/>
        <w:outlineLvl w:val="0"/>
        <w:rPr>
          <w:rFonts w:ascii="inherit" w:eastAsia="Times New Roman" w:hAnsi="inherit" w:cs="Helvetica"/>
          <w:color w:val="183B69"/>
          <w:kern w:val="36"/>
          <w:sz w:val="36"/>
          <w:szCs w:val="36"/>
          <w:lang w:eastAsia="en-GB"/>
        </w:rPr>
      </w:pPr>
      <w:r>
        <w:rPr>
          <w:rFonts w:ascii="inherit" w:eastAsia="Times New Roman" w:hAnsi="inherit" w:cs="Helvetica"/>
          <w:color w:val="183B69"/>
          <w:kern w:val="36"/>
          <w:sz w:val="36"/>
          <w:szCs w:val="36"/>
          <w:lang w:eastAsia="en-GB"/>
        </w:rPr>
        <w:tab/>
      </w:r>
      <w:r>
        <w:rPr>
          <w:rFonts w:ascii="inherit" w:eastAsia="Times New Roman" w:hAnsi="inherit" w:cs="Helvetica"/>
          <w:color w:val="183B69"/>
          <w:kern w:val="36"/>
          <w:sz w:val="36"/>
          <w:szCs w:val="36"/>
          <w:lang w:eastAsia="en-GB"/>
        </w:rPr>
        <w:tab/>
      </w:r>
      <w:r>
        <w:rPr>
          <w:rFonts w:ascii="inherit" w:eastAsia="Times New Roman" w:hAnsi="inherit" w:cs="Helvetica"/>
          <w:color w:val="183B69"/>
          <w:kern w:val="36"/>
          <w:sz w:val="36"/>
          <w:szCs w:val="36"/>
          <w:lang w:eastAsia="en-GB"/>
        </w:rPr>
        <w:tab/>
      </w:r>
      <w:r>
        <w:rPr>
          <w:rFonts w:ascii="inherit" w:eastAsia="Times New Roman" w:hAnsi="inherit" w:cs="Helvetica"/>
          <w:color w:val="183B69"/>
          <w:kern w:val="36"/>
          <w:sz w:val="36"/>
          <w:szCs w:val="36"/>
          <w:lang w:eastAsia="en-GB"/>
        </w:rPr>
        <w:tab/>
      </w:r>
      <w:r>
        <w:rPr>
          <w:rFonts w:ascii="inherit" w:eastAsia="Times New Roman" w:hAnsi="inherit" w:cs="Helvetica"/>
          <w:color w:val="183B69"/>
          <w:kern w:val="36"/>
          <w:sz w:val="36"/>
          <w:szCs w:val="36"/>
          <w:lang w:eastAsia="en-GB"/>
        </w:rPr>
        <w:tab/>
      </w:r>
      <w:r>
        <w:rPr>
          <w:rFonts w:ascii="inherit" w:eastAsia="Times New Roman" w:hAnsi="inherit" w:cs="Helvetica"/>
          <w:color w:val="183B69"/>
          <w:kern w:val="36"/>
          <w:sz w:val="36"/>
          <w:szCs w:val="36"/>
          <w:lang w:eastAsia="en-GB"/>
        </w:rPr>
        <w:tab/>
      </w:r>
      <w:r>
        <w:rPr>
          <w:rFonts w:ascii="inherit" w:eastAsia="Times New Roman" w:hAnsi="inherit" w:cs="Helvetica"/>
          <w:color w:val="183B69"/>
          <w:kern w:val="36"/>
          <w:sz w:val="36"/>
          <w:szCs w:val="36"/>
          <w:lang w:eastAsia="en-GB"/>
        </w:rPr>
        <w:tab/>
      </w:r>
      <w:r>
        <w:rPr>
          <w:rFonts w:ascii="inherit" w:eastAsia="Times New Roman" w:hAnsi="inherit" w:cs="Helvetica"/>
          <w:color w:val="183B69"/>
          <w:kern w:val="36"/>
          <w:sz w:val="36"/>
          <w:szCs w:val="36"/>
          <w:lang w:eastAsia="en-GB"/>
        </w:rPr>
        <w:tab/>
        <w:t xml:space="preserve"> </w:t>
      </w:r>
      <w:r>
        <w:rPr>
          <w:rFonts w:ascii="inherit" w:eastAsia="Times New Roman" w:hAnsi="inherit" w:cs="Helvetica"/>
          <w:noProof/>
          <w:color w:val="183B69"/>
          <w:kern w:val="36"/>
          <w:sz w:val="36"/>
          <w:szCs w:val="36"/>
          <w:lang w:eastAsia="en-GB"/>
        </w:rPr>
        <w:drawing>
          <wp:inline distT="0" distB="0" distL="0" distR="0">
            <wp:extent cx="2247900"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hite-background.png"/>
                    <pic:cNvPicPr/>
                  </pic:nvPicPr>
                  <pic:blipFill>
                    <a:blip r:embed="rId5">
                      <a:extLst>
                        <a:ext uri="{28A0092B-C50C-407E-A947-70E740481C1C}">
                          <a14:useLocalDpi xmlns:a14="http://schemas.microsoft.com/office/drawing/2010/main" val="0"/>
                        </a:ext>
                      </a:extLst>
                    </a:blip>
                    <a:stretch>
                      <a:fillRect/>
                    </a:stretch>
                  </pic:blipFill>
                  <pic:spPr>
                    <a:xfrm>
                      <a:off x="0" y="0"/>
                      <a:ext cx="2247900" cy="1695450"/>
                    </a:xfrm>
                    <a:prstGeom prst="rect">
                      <a:avLst/>
                    </a:prstGeom>
                  </pic:spPr>
                </pic:pic>
              </a:graphicData>
            </a:graphic>
          </wp:inline>
        </w:drawing>
      </w:r>
    </w:p>
    <w:p w:rsidR="00C35E5F" w:rsidRDefault="00C35E5F" w:rsidP="007E06F5">
      <w:pPr>
        <w:shd w:val="clear" w:color="auto" w:fill="FFFFFF"/>
        <w:spacing w:after="150" w:line="240" w:lineRule="auto"/>
        <w:outlineLvl w:val="0"/>
        <w:rPr>
          <w:rFonts w:ascii="inherit" w:eastAsia="Times New Roman" w:hAnsi="inherit" w:cs="Helvetica"/>
          <w:color w:val="183B69"/>
          <w:kern w:val="36"/>
          <w:sz w:val="36"/>
          <w:szCs w:val="36"/>
          <w:lang w:eastAsia="en-GB"/>
        </w:rPr>
      </w:pPr>
    </w:p>
    <w:p w:rsidR="007E06F5" w:rsidRPr="007E06F5" w:rsidRDefault="007E06F5" w:rsidP="007E06F5">
      <w:pPr>
        <w:shd w:val="clear" w:color="auto" w:fill="FFFFFF"/>
        <w:spacing w:after="150" w:line="240" w:lineRule="auto"/>
        <w:outlineLvl w:val="0"/>
        <w:rPr>
          <w:rFonts w:ascii="inherit" w:eastAsia="Times New Roman" w:hAnsi="inherit" w:cs="Helvetica"/>
          <w:color w:val="183B69"/>
          <w:kern w:val="36"/>
          <w:sz w:val="36"/>
          <w:szCs w:val="36"/>
          <w:lang w:eastAsia="en-GB"/>
        </w:rPr>
      </w:pPr>
      <w:r w:rsidRPr="007E06F5">
        <w:rPr>
          <w:rFonts w:ascii="inherit" w:eastAsia="Times New Roman" w:hAnsi="inherit" w:cs="Helvetica"/>
          <w:color w:val="183B69"/>
          <w:kern w:val="36"/>
          <w:sz w:val="36"/>
          <w:szCs w:val="36"/>
          <w:lang w:eastAsia="en-GB"/>
        </w:rPr>
        <w:t>COVID-19 Catch-up Premium</w:t>
      </w: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sidRPr="007E06F5">
        <w:rPr>
          <w:rFonts w:ascii="Helvetica" w:eastAsia="Times New Roman" w:hAnsi="Helvetica" w:cs="Helvetica"/>
          <w:b/>
          <w:bCs/>
          <w:color w:val="183B69"/>
          <w:sz w:val="21"/>
          <w:szCs w:val="21"/>
          <w:lang w:eastAsia="en-GB"/>
        </w:rPr>
        <w:t>What is Catch-up Funding?</w:t>
      </w:r>
    </w:p>
    <w:p w:rsid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sidRPr="007E06F5">
        <w:rPr>
          <w:rFonts w:ascii="Helvetica" w:eastAsia="Times New Roman" w:hAnsi="Helvetica" w:cs="Helvetica"/>
          <w:color w:val="183B69"/>
          <w:sz w:val="21"/>
          <w:szCs w:val="21"/>
          <w:lang w:eastAsia="en-GB"/>
        </w:rPr>
        <w:t>Children and young people across the country have experienced unprecedented disruption to their education as a result of coronavirus (COVID-19). Those from the most vulnerable and d</w:t>
      </w:r>
      <w:r>
        <w:rPr>
          <w:rFonts w:ascii="Helvetica" w:eastAsia="Times New Roman" w:hAnsi="Helvetica" w:cs="Helvetica"/>
          <w:color w:val="183B69"/>
          <w:sz w:val="21"/>
          <w:szCs w:val="21"/>
          <w:lang w:eastAsia="en-GB"/>
        </w:rPr>
        <w:t>isadvantaged backgrounds are</w:t>
      </w:r>
      <w:r w:rsidRPr="007E06F5">
        <w:rPr>
          <w:rFonts w:ascii="Helvetica" w:eastAsia="Times New Roman" w:hAnsi="Helvetica" w:cs="Helvetica"/>
          <w:color w:val="183B69"/>
          <w:sz w:val="21"/>
          <w:szCs w:val="21"/>
          <w:lang w:eastAsia="en-GB"/>
        </w:rPr>
        <w:t xml:space="preserve"> among those hardest hit.</w:t>
      </w: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sidRPr="007E06F5">
        <w:rPr>
          <w:rFonts w:ascii="Helvetica" w:eastAsia="Times New Roman" w:hAnsi="Helvetica" w:cs="Helvetica"/>
          <w:color w:val="183B69"/>
          <w:sz w:val="21"/>
          <w:szCs w:val="21"/>
          <w:lang w:eastAsia="en-GB"/>
        </w:rPr>
        <w:t>We know that we have the professional knowledge and expertise in the education system to ensure that children and young people recover and get back on track. Returning to normal educational routines as quickly as possible will be critical to our national recovery.</w:t>
      </w: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Pr>
          <w:rFonts w:ascii="Helvetica" w:eastAsia="Times New Roman" w:hAnsi="Helvetica" w:cs="Helvetica"/>
          <w:color w:val="183B69"/>
          <w:sz w:val="21"/>
          <w:szCs w:val="21"/>
          <w:lang w:eastAsia="en-GB"/>
        </w:rPr>
        <w:t>The government</w:t>
      </w:r>
      <w:r w:rsidRPr="007E06F5">
        <w:rPr>
          <w:rFonts w:ascii="Helvetica" w:eastAsia="Times New Roman" w:hAnsi="Helvetica" w:cs="Helvetica"/>
          <w:color w:val="183B69"/>
          <w:sz w:val="21"/>
          <w:szCs w:val="21"/>
          <w:lang w:eastAsia="en-GB"/>
        </w:rPr>
        <w:t xml:space="preserve"> announced £1 billion of funding to support children and young people to catch up. This includes a one-off universal £650 million catch-up premium for the 2020 to 2021 academic year to ensure that schools have the support they need to help all pupils make up for lost teaching time.</w:t>
      </w: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sidRPr="007E06F5">
        <w:rPr>
          <w:rFonts w:ascii="Helvetica" w:eastAsia="Times New Roman" w:hAnsi="Helvetica" w:cs="Helvetica"/>
          <w:b/>
          <w:bCs/>
          <w:color w:val="183B69"/>
          <w:sz w:val="21"/>
          <w:szCs w:val="21"/>
          <w:lang w:eastAsia="en-GB"/>
        </w:rPr>
        <w:t>Allocation</w:t>
      </w: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sidRPr="007E06F5">
        <w:rPr>
          <w:rFonts w:ascii="Helvetica" w:eastAsia="Times New Roman" w:hAnsi="Helvetica" w:cs="Helvetica"/>
          <w:color w:val="183B69"/>
          <w:sz w:val="21"/>
          <w:szCs w:val="21"/>
          <w:lang w:eastAsia="en-GB"/>
        </w:rPr>
        <w:t>School allocations will be calculated on a per pupil basis, providing each mainstream school with a tota</w:t>
      </w:r>
      <w:r>
        <w:rPr>
          <w:rFonts w:ascii="Helvetica" w:eastAsia="Times New Roman" w:hAnsi="Helvetica" w:cs="Helvetica"/>
          <w:color w:val="183B69"/>
          <w:sz w:val="21"/>
          <w:szCs w:val="21"/>
          <w:lang w:eastAsia="en-GB"/>
        </w:rPr>
        <w:t>l of £80 for each pupil from</w:t>
      </w:r>
      <w:r w:rsidRPr="007E06F5">
        <w:rPr>
          <w:rFonts w:ascii="Helvetica" w:eastAsia="Times New Roman" w:hAnsi="Helvetica" w:cs="Helvetica"/>
          <w:color w:val="183B69"/>
          <w:sz w:val="21"/>
          <w:szCs w:val="21"/>
          <w:lang w:eastAsia="en-GB"/>
        </w:rPr>
        <w:t xml:space="preserve"> reception through to </w:t>
      </w:r>
      <w:r>
        <w:rPr>
          <w:rFonts w:ascii="Helvetica" w:eastAsia="Times New Roman" w:hAnsi="Helvetica" w:cs="Helvetica"/>
          <w:color w:val="183B69"/>
          <w:sz w:val="21"/>
          <w:szCs w:val="21"/>
          <w:lang w:eastAsia="en-GB"/>
        </w:rPr>
        <w:t xml:space="preserve">year </w:t>
      </w:r>
      <w:r w:rsidRPr="007E06F5">
        <w:rPr>
          <w:rFonts w:ascii="Helvetica" w:eastAsia="Times New Roman" w:hAnsi="Helvetica" w:cs="Helvetica"/>
          <w:color w:val="183B69"/>
          <w:sz w:val="21"/>
          <w:szCs w:val="21"/>
          <w:lang w:eastAsia="en-GB"/>
        </w:rPr>
        <w:t>11.</w:t>
      </w: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Pr>
          <w:rFonts w:ascii="Helvetica" w:eastAsia="Times New Roman" w:hAnsi="Helvetica" w:cs="Helvetica"/>
          <w:color w:val="183B69"/>
          <w:sz w:val="21"/>
          <w:szCs w:val="21"/>
          <w:lang w:eastAsia="en-GB"/>
        </w:rPr>
        <w:t xml:space="preserve">MSPRU received </w:t>
      </w:r>
      <w:r w:rsidR="007D75EF">
        <w:rPr>
          <w:rFonts w:ascii="Helvetica" w:eastAsia="Times New Roman" w:hAnsi="Helvetica" w:cs="Helvetica"/>
          <w:color w:val="183B69"/>
          <w:sz w:val="21"/>
          <w:szCs w:val="21"/>
          <w:lang w:eastAsia="en-GB"/>
        </w:rPr>
        <w:t>a total of £75,240</w:t>
      </w:r>
      <w:bookmarkStart w:id="0" w:name="_GoBack"/>
      <w:bookmarkEnd w:id="0"/>
      <w:r w:rsidRPr="007E06F5">
        <w:rPr>
          <w:rFonts w:ascii="Helvetica" w:eastAsia="Times New Roman" w:hAnsi="Helvetica" w:cs="Helvetica"/>
          <w:color w:val="183B69"/>
          <w:sz w:val="21"/>
          <w:szCs w:val="21"/>
          <w:lang w:eastAsia="en-GB"/>
        </w:rPr>
        <w:t xml:space="preserve"> for the 2020/21 academic year.</w:t>
      </w: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sidRPr="007E06F5">
        <w:rPr>
          <w:rFonts w:ascii="Helvetica" w:eastAsia="Times New Roman" w:hAnsi="Helvetica" w:cs="Helvetica"/>
          <w:b/>
          <w:bCs/>
          <w:color w:val="183B69"/>
          <w:sz w:val="21"/>
          <w:szCs w:val="21"/>
          <w:lang w:eastAsia="en-GB"/>
        </w:rPr>
        <w:t>Utilisation</w:t>
      </w: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sidRPr="007E06F5">
        <w:rPr>
          <w:rFonts w:ascii="Helvetica" w:eastAsia="Times New Roman" w:hAnsi="Helvetica" w:cs="Helvetica"/>
          <w:color w:val="183B69"/>
          <w:sz w:val="21"/>
          <w:szCs w:val="21"/>
          <w:lang w:eastAsia="en-GB"/>
        </w:rPr>
        <w:t>Schools should use this funding for specific activities to support their pupils to catch up for lost teaching over the previous months, in line with the guidance on curriculum expectations for the next academic year. Schools have the flexibility to spend their funding in the best way for their cohort and circumstances.</w:t>
      </w:r>
    </w:p>
    <w:p w:rsid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Pr>
          <w:rFonts w:ascii="Helvetica" w:eastAsia="Times New Roman" w:hAnsi="Helvetica" w:cs="Helvetica"/>
          <w:color w:val="183B69"/>
          <w:sz w:val="21"/>
          <w:szCs w:val="21"/>
          <w:lang w:eastAsia="en-GB"/>
        </w:rPr>
        <w:t>At MSPRU</w:t>
      </w:r>
      <w:r w:rsidRPr="007E06F5">
        <w:rPr>
          <w:rFonts w:ascii="Helvetica" w:eastAsia="Times New Roman" w:hAnsi="Helvetica" w:cs="Helvetica"/>
          <w:color w:val="183B69"/>
          <w:sz w:val="21"/>
          <w:szCs w:val="21"/>
          <w:lang w:eastAsia="en-GB"/>
        </w:rPr>
        <w:t xml:space="preserve"> we have carefully considered the areas that would most benefit from this additional funding. The key areas of focus are:</w:t>
      </w:r>
    </w:p>
    <w:tbl>
      <w:tblPr>
        <w:tblStyle w:val="TableGrid"/>
        <w:tblW w:w="0" w:type="auto"/>
        <w:tblInd w:w="720" w:type="dxa"/>
        <w:tblLook w:val="04A0" w:firstRow="1" w:lastRow="0" w:firstColumn="1" w:lastColumn="0" w:noHBand="0" w:noVBand="1"/>
      </w:tblPr>
      <w:tblGrid>
        <w:gridCol w:w="559"/>
        <w:gridCol w:w="7737"/>
      </w:tblGrid>
      <w:tr w:rsidR="007E06F5" w:rsidTr="00301BA9">
        <w:tc>
          <w:tcPr>
            <w:tcW w:w="8296" w:type="dxa"/>
            <w:gridSpan w:val="2"/>
            <w:shd w:val="clear" w:color="auto" w:fill="5B9BD5" w:themeFill="accent1"/>
          </w:tcPr>
          <w:p w:rsidR="007E06F5" w:rsidRDefault="007E06F5" w:rsidP="00301BA9">
            <w:r>
              <w:lastRenderedPageBreak/>
              <w:t>Issues Identified from September 2020 as Barriers to Learning (</w:t>
            </w:r>
            <w:proofErr w:type="spellStart"/>
            <w:r>
              <w:t>eg</w:t>
            </w:r>
            <w:proofErr w:type="spellEnd"/>
            <w:r>
              <w:t xml:space="preserve"> Curriculum gaps/attendance / literacy / mental health and wellbeing)</w:t>
            </w:r>
          </w:p>
        </w:tc>
      </w:tr>
      <w:tr w:rsidR="007E06F5" w:rsidTr="00301BA9">
        <w:tc>
          <w:tcPr>
            <w:tcW w:w="559" w:type="dxa"/>
          </w:tcPr>
          <w:p w:rsidR="007E06F5" w:rsidRDefault="007E06F5" w:rsidP="00301BA9">
            <w:r>
              <w:t>B1</w:t>
            </w:r>
          </w:p>
        </w:tc>
        <w:tc>
          <w:tcPr>
            <w:tcW w:w="7737" w:type="dxa"/>
          </w:tcPr>
          <w:p w:rsidR="007E06F5" w:rsidRDefault="007E06F5" w:rsidP="00301BA9">
            <w:r>
              <w:t xml:space="preserve">Literacy Skills </w:t>
            </w:r>
          </w:p>
        </w:tc>
      </w:tr>
      <w:tr w:rsidR="007E06F5" w:rsidTr="00301BA9">
        <w:tc>
          <w:tcPr>
            <w:tcW w:w="559" w:type="dxa"/>
          </w:tcPr>
          <w:p w:rsidR="007E06F5" w:rsidRDefault="007E06F5" w:rsidP="00301BA9">
            <w:r>
              <w:t>B2</w:t>
            </w:r>
          </w:p>
        </w:tc>
        <w:tc>
          <w:tcPr>
            <w:tcW w:w="7737" w:type="dxa"/>
          </w:tcPr>
          <w:p w:rsidR="007E06F5" w:rsidRDefault="007E06F5" w:rsidP="00301BA9">
            <w:r>
              <w:t>Gaps in Curriculum Knowledge</w:t>
            </w:r>
          </w:p>
        </w:tc>
      </w:tr>
      <w:tr w:rsidR="007E06F5" w:rsidTr="00301BA9">
        <w:tc>
          <w:tcPr>
            <w:tcW w:w="559" w:type="dxa"/>
          </w:tcPr>
          <w:p w:rsidR="007E06F5" w:rsidRDefault="007E06F5" w:rsidP="00301BA9">
            <w:r>
              <w:t>B3</w:t>
            </w:r>
          </w:p>
        </w:tc>
        <w:tc>
          <w:tcPr>
            <w:tcW w:w="7737" w:type="dxa"/>
          </w:tcPr>
          <w:p w:rsidR="007E06F5" w:rsidRDefault="007E06F5" w:rsidP="00301BA9">
            <w:r>
              <w:t>School readiness for further lockdown</w:t>
            </w:r>
          </w:p>
        </w:tc>
      </w:tr>
      <w:tr w:rsidR="007E06F5" w:rsidTr="00301BA9">
        <w:tc>
          <w:tcPr>
            <w:tcW w:w="559" w:type="dxa"/>
          </w:tcPr>
          <w:p w:rsidR="007E06F5" w:rsidRDefault="007E06F5" w:rsidP="00301BA9">
            <w:r>
              <w:t>B4</w:t>
            </w:r>
          </w:p>
        </w:tc>
        <w:tc>
          <w:tcPr>
            <w:tcW w:w="7737" w:type="dxa"/>
          </w:tcPr>
          <w:p w:rsidR="007E06F5" w:rsidRDefault="007E06F5" w:rsidP="00301BA9">
            <w:r>
              <w:t>Student access to on line learning</w:t>
            </w:r>
          </w:p>
        </w:tc>
      </w:tr>
      <w:tr w:rsidR="007E06F5" w:rsidTr="00301BA9">
        <w:tc>
          <w:tcPr>
            <w:tcW w:w="559" w:type="dxa"/>
          </w:tcPr>
          <w:p w:rsidR="007E06F5" w:rsidRDefault="007E06F5" w:rsidP="00301BA9">
            <w:r>
              <w:t>B5</w:t>
            </w:r>
          </w:p>
        </w:tc>
        <w:tc>
          <w:tcPr>
            <w:tcW w:w="7737" w:type="dxa"/>
          </w:tcPr>
          <w:p w:rsidR="007E06F5" w:rsidRDefault="007E06F5" w:rsidP="00301BA9">
            <w:r>
              <w:t xml:space="preserve">SEMH students impact of lockdown on </w:t>
            </w:r>
            <w:proofErr w:type="spellStart"/>
            <w:r>
              <w:t>well being</w:t>
            </w:r>
            <w:proofErr w:type="spellEnd"/>
            <w:r>
              <w:t xml:space="preserve"> and reintegration</w:t>
            </w:r>
          </w:p>
        </w:tc>
      </w:tr>
      <w:tr w:rsidR="007E06F5" w:rsidTr="00301BA9">
        <w:tc>
          <w:tcPr>
            <w:tcW w:w="559" w:type="dxa"/>
          </w:tcPr>
          <w:p w:rsidR="007E06F5" w:rsidRDefault="007E06F5" w:rsidP="00301BA9">
            <w:r>
              <w:t>B6</w:t>
            </w:r>
          </w:p>
        </w:tc>
        <w:tc>
          <w:tcPr>
            <w:tcW w:w="7737" w:type="dxa"/>
          </w:tcPr>
          <w:p w:rsidR="007E06F5" w:rsidRDefault="007E06F5" w:rsidP="00301BA9">
            <w:r>
              <w:t xml:space="preserve">New Teaching and learning arrangements to maintain </w:t>
            </w:r>
            <w:proofErr w:type="spellStart"/>
            <w:r>
              <w:t>Covid</w:t>
            </w:r>
            <w:proofErr w:type="spellEnd"/>
            <w:r>
              <w:t xml:space="preserve"> security</w:t>
            </w:r>
          </w:p>
        </w:tc>
      </w:tr>
      <w:tr w:rsidR="007E06F5" w:rsidTr="00301BA9">
        <w:tc>
          <w:tcPr>
            <w:tcW w:w="559" w:type="dxa"/>
          </w:tcPr>
          <w:p w:rsidR="007E06F5" w:rsidRDefault="007E06F5" w:rsidP="00301BA9">
            <w:r>
              <w:t>B7</w:t>
            </w:r>
          </w:p>
        </w:tc>
        <w:tc>
          <w:tcPr>
            <w:tcW w:w="7737" w:type="dxa"/>
          </w:tcPr>
          <w:p w:rsidR="007E06F5" w:rsidRDefault="007E06F5" w:rsidP="00301BA9">
            <w:r>
              <w:t>Gaps in CEIAG support</w:t>
            </w:r>
          </w:p>
        </w:tc>
      </w:tr>
      <w:tr w:rsidR="007E06F5" w:rsidTr="00301BA9">
        <w:tc>
          <w:tcPr>
            <w:tcW w:w="559" w:type="dxa"/>
          </w:tcPr>
          <w:p w:rsidR="007E06F5" w:rsidRDefault="007E06F5" w:rsidP="00301BA9">
            <w:r>
              <w:t>B8</w:t>
            </w:r>
          </w:p>
        </w:tc>
        <w:tc>
          <w:tcPr>
            <w:tcW w:w="7737" w:type="dxa"/>
          </w:tcPr>
          <w:p w:rsidR="007E06F5" w:rsidRDefault="007E06F5" w:rsidP="00301BA9">
            <w:r>
              <w:t xml:space="preserve">Assessment of students </w:t>
            </w:r>
          </w:p>
        </w:tc>
      </w:tr>
      <w:tr w:rsidR="007E06F5" w:rsidTr="00301BA9">
        <w:tc>
          <w:tcPr>
            <w:tcW w:w="559" w:type="dxa"/>
          </w:tcPr>
          <w:p w:rsidR="007E06F5" w:rsidRDefault="007E06F5" w:rsidP="00301BA9">
            <w:r>
              <w:t>B9</w:t>
            </w:r>
          </w:p>
        </w:tc>
        <w:tc>
          <w:tcPr>
            <w:tcW w:w="7737" w:type="dxa"/>
          </w:tcPr>
          <w:p w:rsidR="007E06F5" w:rsidRDefault="007E06F5" w:rsidP="00301BA9">
            <w:r>
              <w:t>Maintaining High Attendance</w:t>
            </w:r>
          </w:p>
        </w:tc>
      </w:tr>
      <w:tr w:rsidR="007E06F5" w:rsidTr="00301BA9">
        <w:tc>
          <w:tcPr>
            <w:tcW w:w="559" w:type="dxa"/>
          </w:tcPr>
          <w:p w:rsidR="007E06F5" w:rsidRDefault="007E06F5" w:rsidP="00301BA9">
            <w:r>
              <w:t>B10</w:t>
            </w:r>
          </w:p>
        </w:tc>
        <w:tc>
          <w:tcPr>
            <w:tcW w:w="7737" w:type="dxa"/>
          </w:tcPr>
          <w:p w:rsidR="007E06F5" w:rsidRDefault="007E06F5" w:rsidP="00301BA9">
            <w:r>
              <w:t>Students adjusting to new arrangements in school</w:t>
            </w:r>
          </w:p>
        </w:tc>
      </w:tr>
      <w:tr w:rsidR="007E06F5" w:rsidTr="00301BA9">
        <w:tc>
          <w:tcPr>
            <w:tcW w:w="559" w:type="dxa"/>
          </w:tcPr>
          <w:p w:rsidR="007E06F5" w:rsidRDefault="007E06F5" w:rsidP="00301BA9">
            <w:r>
              <w:t>B11</w:t>
            </w:r>
          </w:p>
        </w:tc>
        <w:tc>
          <w:tcPr>
            <w:tcW w:w="7737" w:type="dxa"/>
          </w:tcPr>
          <w:p w:rsidR="007E06F5" w:rsidRDefault="007E06F5" w:rsidP="00301BA9">
            <w:r>
              <w:t>Impact on pupils</w:t>
            </w:r>
            <w:r w:rsidR="006C6EEC">
              <w:t>’</w:t>
            </w:r>
            <w:r>
              <w:t xml:space="preserve"> safeguarding and anxiety issues</w:t>
            </w:r>
          </w:p>
        </w:tc>
      </w:tr>
      <w:tr w:rsidR="007E06F5" w:rsidTr="00301BA9">
        <w:tc>
          <w:tcPr>
            <w:tcW w:w="559" w:type="dxa"/>
          </w:tcPr>
          <w:p w:rsidR="007E06F5" w:rsidRDefault="007E06F5" w:rsidP="00301BA9">
            <w:r>
              <w:t>B12</w:t>
            </w:r>
          </w:p>
        </w:tc>
        <w:tc>
          <w:tcPr>
            <w:tcW w:w="7737" w:type="dxa"/>
          </w:tcPr>
          <w:p w:rsidR="007E06F5" w:rsidRDefault="007E06F5" w:rsidP="00301BA9">
            <w:r>
              <w:t>Ensuring and Maintaining Parental engagement in school processes</w:t>
            </w:r>
          </w:p>
        </w:tc>
      </w:tr>
    </w:tbl>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sidRPr="007E06F5">
        <w:rPr>
          <w:rFonts w:ascii="Helvetica" w:eastAsia="Times New Roman" w:hAnsi="Helvetica" w:cs="Helvetica"/>
          <w:b/>
          <w:bCs/>
          <w:color w:val="183B69"/>
          <w:sz w:val="21"/>
          <w:szCs w:val="21"/>
          <w:lang w:eastAsia="en-GB"/>
        </w:rPr>
        <w:t>Accountability and Monitoring</w:t>
      </w: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sidRPr="007E06F5">
        <w:rPr>
          <w:rFonts w:ascii="Helvetica" w:eastAsia="Times New Roman" w:hAnsi="Helvetica" w:cs="Helvetica"/>
          <w:color w:val="183B69"/>
          <w:sz w:val="21"/>
          <w:szCs w:val="21"/>
          <w:lang w:eastAsia="en-GB"/>
        </w:rPr>
        <w:t>As with all government funding, school leaders must be able to account for how this money is being used to achieve the goal of schools getting back on track and teaching a normal curriculum as quickly as possible.</w:t>
      </w:r>
    </w:p>
    <w:p w:rsidR="007E06F5" w:rsidRPr="007E06F5" w:rsidRDefault="007E06F5" w:rsidP="007E06F5">
      <w:pPr>
        <w:shd w:val="clear" w:color="auto" w:fill="FFFFFF"/>
        <w:spacing w:after="450" w:line="240" w:lineRule="auto"/>
        <w:rPr>
          <w:rFonts w:ascii="Helvetica" w:eastAsia="Times New Roman" w:hAnsi="Helvetica" w:cs="Helvetica"/>
          <w:color w:val="183B69"/>
          <w:sz w:val="21"/>
          <w:szCs w:val="21"/>
          <w:lang w:eastAsia="en-GB"/>
        </w:rPr>
      </w:pPr>
      <w:r>
        <w:rPr>
          <w:rFonts w:ascii="Helvetica" w:eastAsia="Times New Roman" w:hAnsi="Helvetica" w:cs="Helvetica"/>
          <w:color w:val="183B69"/>
          <w:sz w:val="21"/>
          <w:szCs w:val="21"/>
          <w:lang w:eastAsia="en-GB"/>
        </w:rPr>
        <w:t>MSPRU</w:t>
      </w:r>
      <w:r w:rsidRPr="007E06F5">
        <w:rPr>
          <w:rFonts w:ascii="Helvetica" w:eastAsia="Times New Roman" w:hAnsi="Helvetica" w:cs="Helvetica"/>
          <w:color w:val="183B69"/>
          <w:sz w:val="21"/>
          <w:szCs w:val="21"/>
          <w:lang w:eastAsia="en-GB"/>
        </w:rPr>
        <w:t xml:space="preserve"> will be transparent in tracking and accounting for the funding</w:t>
      </w:r>
      <w:r>
        <w:rPr>
          <w:rFonts w:ascii="Helvetica" w:eastAsia="Times New Roman" w:hAnsi="Helvetica" w:cs="Helvetica"/>
          <w:color w:val="183B69"/>
          <w:sz w:val="21"/>
          <w:szCs w:val="21"/>
          <w:lang w:eastAsia="en-GB"/>
        </w:rPr>
        <w:t xml:space="preserve">; Leaders provide regular updates to </w:t>
      </w:r>
      <w:proofErr w:type="spellStart"/>
      <w:r>
        <w:rPr>
          <w:rFonts w:ascii="Helvetica" w:eastAsia="Times New Roman" w:hAnsi="Helvetica" w:cs="Helvetica"/>
          <w:color w:val="183B69"/>
          <w:sz w:val="21"/>
          <w:szCs w:val="21"/>
          <w:lang w:eastAsia="en-GB"/>
        </w:rPr>
        <w:t>CoMLP</w:t>
      </w:r>
      <w:proofErr w:type="spellEnd"/>
      <w:r>
        <w:rPr>
          <w:rFonts w:ascii="Helvetica" w:eastAsia="Times New Roman" w:hAnsi="Helvetica" w:cs="Helvetica"/>
          <w:color w:val="183B69"/>
          <w:sz w:val="21"/>
          <w:szCs w:val="21"/>
          <w:lang w:eastAsia="en-GB"/>
        </w:rPr>
        <w:t xml:space="preserve"> Governing Body</w:t>
      </w:r>
      <w:r w:rsidRPr="007E06F5">
        <w:rPr>
          <w:rFonts w:ascii="Helvetica" w:eastAsia="Times New Roman" w:hAnsi="Helvetica" w:cs="Helvetica"/>
          <w:color w:val="183B69"/>
          <w:sz w:val="21"/>
          <w:szCs w:val="21"/>
          <w:lang w:eastAsia="en-GB"/>
        </w:rPr>
        <w:t>.</w:t>
      </w:r>
    </w:p>
    <w:p w:rsidR="003709DD" w:rsidRDefault="007D75EF"/>
    <w:sectPr w:rsidR="00370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1B7"/>
    <w:multiLevelType w:val="multilevel"/>
    <w:tmpl w:val="0104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B15B7"/>
    <w:multiLevelType w:val="multilevel"/>
    <w:tmpl w:val="7A28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43B18"/>
    <w:multiLevelType w:val="multilevel"/>
    <w:tmpl w:val="7EA4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6F5"/>
    <w:rsid w:val="00265A8D"/>
    <w:rsid w:val="0064224E"/>
    <w:rsid w:val="006C6EEC"/>
    <w:rsid w:val="007D75EF"/>
    <w:rsid w:val="007E06F5"/>
    <w:rsid w:val="008C5B40"/>
    <w:rsid w:val="00C35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5309"/>
  <w15:chartTrackingRefBased/>
  <w15:docId w15:val="{6B3123A0-608A-4E9E-922C-7852CCB0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616479">
      <w:bodyDiv w:val="1"/>
      <w:marLeft w:val="0"/>
      <w:marRight w:val="0"/>
      <w:marTop w:val="0"/>
      <w:marBottom w:val="0"/>
      <w:divBdr>
        <w:top w:val="none" w:sz="0" w:space="0" w:color="auto"/>
        <w:left w:val="none" w:sz="0" w:space="0" w:color="auto"/>
        <w:bottom w:val="none" w:sz="0" w:space="0" w:color="auto"/>
        <w:right w:val="none" w:sz="0" w:space="0" w:color="auto"/>
      </w:divBdr>
      <w:divsChild>
        <w:div w:id="1157766221">
          <w:marLeft w:val="-225"/>
          <w:marRight w:val="-225"/>
          <w:marTop w:val="0"/>
          <w:marBottom w:val="0"/>
          <w:divBdr>
            <w:top w:val="none" w:sz="0" w:space="0" w:color="auto"/>
            <w:left w:val="none" w:sz="0" w:space="0" w:color="auto"/>
            <w:bottom w:val="none" w:sz="0" w:space="0" w:color="auto"/>
            <w:right w:val="none" w:sz="0" w:space="0" w:color="auto"/>
          </w:divBdr>
          <w:divsChild>
            <w:div w:id="1925336341">
              <w:marLeft w:val="0"/>
              <w:marRight w:val="0"/>
              <w:marTop w:val="0"/>
              <w:marBottom w:val="0"/>
              <w:divBdr>
                <w:top w:val="none" w:sz="0" w:space="0" w:color="auto"/>
                <w:left w:val="none" w:sz="0" w:space="0" w:color="auto"/>
                <w:bottom w:val="none" w:sz="0" w:space="0" w:color="auto"/>
                <w:right w:val="none" w:sz="0" w:space="0" w:color="auto"/>
              </w:divBdr>
              <w:divsChild>
                <w:div w:id="1093016114">
                  <w:marLeft w:val="0"/>
                  <w:marRight w:val="0"/>
                  <w:marTop w:val="0"/>
                  <w:marBottom w:val="0"/>
                  <w:divBdr>
                    <w:top w:val="none" w:sz="0" w:space="0" w:color="auto"/>
                    <w:left w:val="none" w:sz="0" w:space="0" w:color="auto"/>
                    <w:bottom w:val="none" w:sz="0" w:space="0" w:color="auto"/>
                    <w:right w:val="none" w:sz="0" w:space="0" w:color="auto"/>
                  </w:divBdr>
                  <w:divsChild>
                    <w:div w:id="20778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2061">
              <w:marLeft w:val="0"/>
              <w:marRight w:val="0"/>
              <w:marTop w:val="0"/>
              <w:marBottom w:val="0"/>
              <w:divBdr>
                <w:top w:val="none" w:sz="0" w:space="0" w:color="auto"/>
                <w:left w:val="none" w:sz="0" w:space="0" w:color="auto"/>
                <w:bottom w:val="none" w:sz="0" w:space="0" w:color="auto"/>
                <w:right w:val="none" w:sz="0" w:space="0" w:color="auto"/>
              </w:divBdr>
              <w:divsChild>
                <w:div w:id="1487091598">
                  <w:marLeft w:val="0"/>
                  <w:marRight w:val="0"/>
                  <w:marTop w:val="0"/>
                  <w:marBottom w:val="75"/>
                  <w:divBdr>
                    <w:top w:val="none" w:sz="0" w:space="0" w:color="auto"/>
                    <w:left w:val="none" w:sz="0" w:space="0" w:color="auto"/>
                    <w:bottom w:val="none" w:sz="0" w:space="0" w:color="auto"/>
                    <w:right w:val="none" w:sz="0" w:space="0" w:color="auto"/>
                  </w:divBdr>
                </w:div>
                <w:div w:id="10222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Parkinson Jane</dc:creator>
  <cp:keywords/>
  <dc:description/>
  <cp:lastModifiedBy>Claire McKenna</cp:lastModifiedBy>
  <cp:revision>4</cp:revision>
  <dcterms:created xsi:type="dcterms:W3CDTF">2021-09-09T09:08:00Z</dcterms:created>
  <dcterms:modified xsi:type="dcterms:W3CDTF">2021-09-09T09:24:00Z</dcterms:modified>
</cp:coreProperties>
</file>