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043E" w14:textId="36F20DD0" w:rsidR="005102FA" w:rsidRPr="005102FA" w:rsidRDefault="005102FA" w:rsidP="00E31107">
      <w:pPr>
        <w:pStyle w:val="Heading1"/>
        <w:jc w:val="center"/>
      </w:pPr>
      <w:bookmarkStart w:id="0" w:name="_Toc400361362"/>
      <w:bookmarkStart w:id="1" w:name="_Toc443397153"/>
      <w:bookmarkStart w:id="2" w:name="_Toc357771638"/>
      <w:bookmarkStart w:id="3" w:name="_Toc346793416"/>
      <w:bookmarkStart w:id="4" w:name="_Toc328122777"/>
      <w:r>
        <w:t xml:space="preserve">The Brow C.P. School </w:t>
      </w:r>
      <w:r w:rsidR="009D71E8">
        <w:t xml:space="preserve">Pupil </w:t>
      </w:r>
      <w:r w:rsidR="00E31107">
        <w:t>P</w:t>
      </w:r>
      <w:r w:rsidR="009D71E8">
        <w:t xml:space="preserve">remium </w:t>
      </w:r>
      <w:r w:rsidR="00E31107">
        <w:t>S</w:t>
      </w:r>
      <w:r w:rsidR="009D71E8">
        <w:t xml:space="preserve">trategy </w:t>
      </w:r>
      <w:r w:rsidR="00E31107">
        <w:t>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5C9E81E4" w14:textId="77777777" w:rsidR="00A401FB" w:rsidRDefault="00A401FB" w:rsidP="00A401FB">
      <w:pPr>
        <w:rPr>
          <w:b/>
        </w:rPr>
      </w:pPr>
      <w:r>
        <w:t xml:space="preserve">This statement details our school’s use of pupil </w:t>
      </w:r>
      <w:r w:rsidRPr="005F2600">
        <w:t xml:space="preserve">premium </w:t>
      </w:r>
      <w:r>
        <w:t xml:space="preserve">funding to help improve the attainment of our disadvantaged pupils. </w:t>
      </w:r>
    </w:p>
    <w:p w14:paraId="210875DE" w14:textId="21812183" w:rsidR="00A401FB" w:rsidRPr="00D85027" w:rsidRDefault="00A401FB" w:rsidP="00A401FB">
      <w:pPr>
        <w:rPr>
          <w:b/>
        </w:rPr>
      </w:pPr>
      <w:r>
        <w:t>It outlines our pupil premium strategy, how we intend to spend the funding in this academic year and the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812FDFD" w:rsidR="00E66558" w:rsidRDefault="008764DC">
            <w:pPr>
              <w:pStyle w:val="TableRow"/>
            </w:pPr>
            <w:r>
              <w:t xml:space="preserve">The Brow C.P.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12AE65BC" w:rsidR="00E66558" w:rsidRDefault="000C4054">
            <w:pPr>
              <w:pStyle w:val="TableRow"/>
            </w:pPr>
            <w:r>
              <w:t>1</w:t>
            </w:r>
            <w:r w:rsidR="00725713">
              <w:t>4</w:t>
            </w:r>
            <w:r w:rsidR="009C0122">
              <w:t>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619D257E" w:rsidR="00E66558" w:rsidRDefault="00431C8E">
            <w:pPr>
              <w:pStyle w:val="TableRow"/>
            </w:pPr>
            <w:r>
              <w:t>48</w:t>
            </w:r>
            <w:r w:rsidR="000C4054">
              <w:t>%</w:t>
            </w:r>
            <w:r w:rsidR="00D47EDE">
              <w:t xml:space="preserve"> (</w:t>
            </w:r>
            <w:r>
              <w:t>6</w:t>
            </w:r>
            <w:r w:rsidR="001F7050">
              <w:t>6</w:t>
            </w:r>
            <w:r w:rsidR="00D47EDE">
              <w:t xml:space="preserve">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44D791EB" w:rsidR="00E66558" w:rsidRDefault="00D85027">
            <w:pPr>
              <w:pStyle w:val="TableRow"/>
            </w:pPr>
            <w:r>
              <w:t xml:space="preserve">September </w:t>
            </w:r>
            <w:r w:rsidR="001A0EF9">
              <w:t>2023</w:t>
            </w:r>
            <w:r>
              <w:t xml:space="preserve"> </w:t>
            </w:r>
            <w:r w:rsidR="00E31107">
              <w:t>to</w:t>
            </w:r>
            <w:r w:rsidR="00725713">
              <w:t xml:space="preserve"> </w:t>
            </w:r>
            <w:r>
              <w:t xml:space="preserve">September </w:t>
            </w:r>
            <w:r w:rsidR="00725713">
              <w:t>2026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2481A55" w:rsidR="00E66558" w:rsidRDefault="001A0EF9">
            <w:pPr>
              <w:pStyle w:val="TableRow"/>
            </w:pPr>
            <w:r>
              <w:t>Dec</w:t>
            </w:r>
            <w:r w:rsidR="008764DC">
              <w:t>ember 202</w:t>
            </w:r>
            <w:r w:rsidR="009C0122">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7B6C6DAD" w:rsidR="00E66558" w:rsidRDefault="008764DC">
            <w:pPr>
              <w:pStyle w:val="TableRow"/>
            </w:pPr>
            <w:r>
              <w:t>Ju</w:t>
            </w:r>
            <w:r w:rsidR="00B8580A">
              <w:t>ly</w:t>
            </w:r>
            <w:r>
              <w:t xml:space="preserve"> 202</w:t>
            </w:r>
            <w:r w:rsidR="009C0122">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63ACB97B" w:rsidR="00E66558" w:rsidRDefault="001A0EF9">
            <w:pPr>
              <w:pStyle w:val="TableRow"/>
            </w:pPr>
            <w:r>
              <w:t>L</w:t>
            </w:r>
            <w:r w:rsidR="00D47B80">
              <w:t>.</w:t>
            </w:r>
            <w:r>
              <w:t xml:space="preserve"> Webb</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1BBB66BB" w:rsidR="00E66558" w:rsidRDefault="008764DC">
            <w:pPr>
              <w:pStyle w:val="TableRow"/>
            </w:pPr>
            <w:r>
              <w:t>J. Jones</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62DA4F29" w:rsidR="00E66558" w:rsidRDefault="009C0122">
            <w:pPr>
              <w:pStyle w:val="TableRow"/>
            </w:pPr>
            <w:r>
              <w:t>J. Costello</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85A71DD" w:rsidR="00E66558" w:rsidRDefault="009D71E8">
            <w:pPr>
              <w:pStyle w:val="TableRow"/>
            </w:pPr>
            <w:r>
              <w:t>£</w:t>
            </w:r>
            <w:r w:rsidR="006D477A">
              <w:t>1</w:t>
            </w:r>
            <w:r w:rsidR="001F7050">
              <w:t>12,480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404727A" w:rsidR="00E66558" w:rsidRDefault="006D477A">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51BF81FC"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59C218D" w:rsidR="00E66558" w:rsidRDefault="009D71E8">
            <w:pPr>
              <w:pStyle w:val="TableRow"/>
            </w:pPr>
            <w:r>
              <w:t>£</w:t>
            </w:r>
            <w:r w:rsidR="001E2AE9">
              <w:t>1</w:t>
            </w:r>
            <w:r w:rsidR="001F7050">
              <w:t>12,480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9A36" w14:textId="6F86576A" w:rsidR="003E2D6E" w:rsidRDefault="003E2D6E" w:rsidP="003E2D6E">
            <w:pPr>
              <w:spacing w:before="120"/>
              <w:rPr>
                <w:rFonts w:cs="Arial"/>
                <w:iCs/>
                <w:color w:val="auto"/>
              </w:rPr>
            </w:pPr>
            <w:r>
              <w:rPr>
                <w:rFonts w:cs="Arial"/>
                <w:iCs/>
                <w:color w:val="auto"/>
              </w:rPr>
              <w:t>As a highly inclusive, community primary school, we strive to ensure that all children, regardless of their age, background or challenges they face, are given every opportunity to make good progress and achieve well across all subject areas. We strongly believe that every child has the potential to succeed and thrive. The focus of our Pupil Premium strategy</w:t>
            </w:r>
            <w:r w:rsidR="00D47EDE">
              <w:rPr>
                <w:rFonts w:cs="Arial"/>
                <w:iCs/>
                <w:color w:val="auto"/>
              </w:rPr>
              <w:t xml:space="preserve"> is</w:t>
            </w:r>
            <w:r>
              <w:rPr>
                <w:rFonts w:cs="Arial"/>
                <w:iCs/>
                <w:color w:val="auto"/>
              </w:rPr>
              <w:t xml:space="preserve"> to provide effective support to enable disadvantaged children to achieve this goal. </w:t>
            </w:r>
          </w:p>
          <w:p w14:paraId="566DD47C" w14:textId="189C7E26" w:rsidR="003E2D6E" w:rsidRDefault="003E2D6E" w:rsidP="003E2D6E">
            <w:pPr>
              <w:spacing w:before="120"/>
              <w:rPr>
                <w:rFonts w:cs="Arial"/>
                <w:iCs/>
                <w:color w:val="auto"/>
              </w:rPr>
            </w:pPr>
            <w:r>
              <w:rPr>
                <w:rFonts w:cs="Arial"/>
                <w:iCs/>
                <w:color w:val="auto"/>
              </w:rPr>
              <w:t>Other vulnerable children, including those who are identified as young carers and those with a social worker, will also be considered for activities outlined in this statement, regardless of whether they are disadvantaged or not, as we recognise the challenges these children also face.</w:t>
            </w:r>
          </w:p>
          <w:p w14:paraId="46A03DB6" w14:textId="67833002" w:rsidR="00F96165" w:rsidRDefault="00F96165" w:rsidP="003E2D6E">
            <w:pPr>
              <w:spacing w:before="120"/>
              <w:rPr>
                <w:rFonts w:cs="Arial"/>
                <w:iCs/>
                <w:color w:val="auto"/>
              </w:rPr>
            </w:pPr>
            <w:r>
              <w:rPr>
                <w:rFonts w:cs="Arial"/>
                <w:iCs/>
                <w:color w:val="auto"/>
              </w:rPr>
              <w:t>As recommended by the EEF, we take a tiered approach to Pupil Premium spending:</w:t>
            </w:r>
          </w:p>
          <w:p w14:paraId="2ED5B91C" w14:textId="7764E632" w:rsidR="00F96165" w:rsidRDefault="00F96165" w:rsidP="00F96165">
            <w:pPr>
              <w:pStyle w:val="ListParagraph"/>
              <w:numPr>
                <w:ilvl w:val="0"/>
                <w:numId w:val="15"/>
              </w:numPr>
              <w:spacing w:before="120"/>
              <w:rPr>
                <w:rFonts w:cs="Arial"/>
                <w:iCs/>
                <w:color w:val="auto"/>
              </w:rPr>
            </w:pPr>
            <w:r>
              <w:rPr>
                <w:rFonts w:cs="Arial"/>
                <w:iCs/>
                <w:color w:val="auto"/>
              </w:rPr>
              <w:t>High quality teaching</w:t>
            </w:r>
          </w:p>
          <w:p w14:paraId="74E003D2" w14:textId="33DA37BC" w:rsidR="00F96165" w:rsidRDefault="00F96165" w:rsidP="00F96165">
            <w:pPr>
              <w:pStyle w:val="ListParagraph"/>
              <w:numPr>
                <w:ilvl w:val="0"/>
                <w:numId w:val="15"/>
              </w:numPr>
              <w:spacing w:before="120"/>
              <w:rPr>
                <w:rFonts w:cs="Arial"/>
                <w:iCs/>
                <w:color w:val="auto"/>
              </w:rPr>
            </w:pPr>
            <w:r>
              <w:rPr>
                <w:rFonts w:cs="Arial"/>
                <w:iCs/>
                <w:color w:val="auto"/>
              </w:rPr>
              <w:t>Targeted academic support</w:t>
            </w:r>
          </w:p>
          <w:p w14:paraId="5598E436" w14:textId="4E2EAD5C" w:rsidR="00F96165" w:rsidRPr="00F96165" w:rsidRDefault="00F96165" w:rsidP="00F96165">
            <w:pPr>
              <w:pStyle w:val="ListParagraph"/>
              <w:numPr>
                <w:ilvl w:val="0"/>
                <w:numId w:val="15"/>
              </w:numPr>
              <w:spacing w:before="120"/>
              <w:rPr>
                <w:rFonts w:cs="Arial"/>
                <w:iCs/>
                <w:color w:val="auto"/>
              </w:rPr>
            </w:pPr>
            <w:r>
              <w:rPr>
                <w:rFonts w:cs="Arial"/>
                <w:iCs/>
                <w:color w:val="auto"/>
              </w:rPr>
              <w:t>Wider strategies</w:t>
            </w:r>
          </w:p>
          <w:p w14:paraId="409B7E62" w14:textId="70313D3F" w:rsidR="003E2D6E" w:rsidRDefault="003E2D6E" w:rsidP="003E2D6E">
            <w:pPr>
              <w:spacing w:before="120"/>
              <w:rPr>
                <w:rFonts w:cs="Arial"/>
                <w:iCs/>
                <w:color w:val="auto"/>
              </w:rPr>
            </w:pPr>
            <w:r>
              <w:rPr>
                <w:rFonts w:cs="Arial"/>
                <w:iCs/>
                <w:color w:val="auto"/>
              </w:rPr>
              <w:t xml:space="preserve">Quality first teaching, a nurturing and inclusive ethos, and highly skilled staff are key to our approach in closing the disadvantaged attainment gap, while also benefitting non-disadvantaged children in our school. </w:t>
            </w:r>
          </w:p>
          <w:p w14:paraId="5188AF29" w14:textId="1BDBB827" w:rsidR="003E2D6E" w:rsidRPr="00E27862" w:rsidRDefault="003E2D6E" w:rsidP="003E2D6E">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w:t>
            </w:r>
            <w:r w:rsidR="00F96165">
              <w:rPr>
                <w:rFonts w:cs="Arial"/>
                <w:iCs/>
                <w:color w:val="auto"/>
                <w:lang w:val="en-US"/>
              </w:rPr>
              <w:t xml:space="preserve"> and </w:t>
            </w:r>
            <w:r w:rsidR="001F7050">
              <w:rPr>
                <w:rFonts w:cs="Arial"/>
                <w:iCs/>
                <w:color w:val="auto"/>
                <w:lang w:val="en-US"/>
              </w:rPr>
              <w:t>evidence-based</w:t>
            </w:r>
            <w:r w:rsidR="00F96165">
              <w:rPr>
                <w:rFonts w:cs="Arial"/>
                <w:iCs/>
                <w:color w:val="auto"/>
                <w:lang w:val="en-US"/>
              </w:rPr>
              <w:t xml:space="preserve"> strategies</w:t>
            </w:r>
            <w:r w:rsidRPr="00E27862">
              <w:rPr>
                <w:rFonts w:cs="Arial"/>
                <w:iCs/>
                <w:color w:val="auto"/>
                <w:lang w:val="en-US"/>
              </w:rPr>
              <w:t>, not assumptions about the impact of disadvantage</w:t>
            </w:r>
            <w:r>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 will:</w:t>
            </w:r>
          </w:p>
          <w:p w14:paraId="03B48C0B" w14:textId="77777777" w:rsidR="003E2D6E" w:rsidRPr="00E27862" w:rsidRDefault="003E2D6E" w:rsidP="003E2D6E">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406D34CC" w14:textId="77777777" w:rsidR="003E2D6E" w:rsidRPr="00E27862" w:rsidRDefault="003E2D6E" w:rsidP="003E2D6E">
            <w:pPr>
              <w:numPr>
                <w:ilvl w:val="0"/>
                <w:numId w:val="14"/>
              </w:numPr>
              <w:suppressAutoHyphens w:val="0"/>
              <w:autoSpaceDN/>
              <w:contextualSpacing/>
              <w:rPr>
                <w:rFonts w:cs="Arial"/>
                <w:iCs/>
                <w:color w:val="auto"/>
                <w:lang w:val="en-US"/>
              </w:rPr>
            </w:pPr>
            <w:r w:rsidRPr="00E27862">
              <w:rPr>
                <w:rFonts w:cs="Arial"/>
                <w:color w:val="auto"/>
              </w:rPr>
              <w:t>act early to intervene at the point need is identified</w:t>
            </w:r>
          </w:p>
          <w:p w14:paraId="10104A71" w14:textId="3216B8DB" w:rsidR="003E2D6E" w:rsidRPr="003E2D6E" w:rsidRDefault="003E2D6E" w:rsidP="003E2D6E">
            <w:pPr>
              <w:pStyle w:val="ListParagraph"/>
              <w:numPr>
                <w:ilvl w:val="0"/>
                <w:numId w:val="14"/>
              </w:numPr>
              <w:spacing w:before="120"/>
              <w:rPr>
                <w:i/>
                <w:iCs/>
              </w:rPr>
            </w:pPr>
            <w:r w:rsidRPr="003E2D6E">
              <w:rPr>
                <w:rFonts w:cs="Arial"/>
                <w:color w:val="auto"/>
              </w:rPr>
              <w:t>adopt a whole school approach in which all staff take responsibility for disadvantaged pupils’ outcomes and raise expectations of what they can achieve</w:t>
            </w:r>
          </w:p>
          <w:p w14:paraId="2A7D54E9" w14:textId="7AD12313" w:rsidR="003E2D6E" w:rsidRPr="00F96165" w:rsidRDefault="003E2D6E" w:rsidP="00F96165">
            <w:pPr>
              <w:pStyle w:val="ListParagraph"/>
              <w:numPr>
                <w:ilvl w:val="0"/>
                <w:numId w:val="14"/>
              </w:numPr>
              <w:spacing w:before="120"/>
              <w:rPr>
                <w:iCs/>
              </w:rPr>
            </w:pPr>
            <w:r w:rsidRPr="003E2D6E">
              <w:rPr>
                <w:iCs/>
              </w:rPr>
              <w:t>Support children facing social, emotional, and mental health challenges so that they can access learning.</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32C0" w14:textId="77777777" w:rsidR="00C20D9E" w:rsidRDefault="002A4F1F" w:rsidP="00F96165">
            <w:pPr>
              <w:pStyle w:val="TableRowCentered"/>
              <w:ind w:left="0"/>
              <w:jc w:val="left"/>
              <w:rPr>
                <w:sz w:val="22"/>
                <w:szCs w:val="22"/>
              </w:rPr>
            </w:pPr>
            <w:r>
              <w:rPr>
                <w:sz w:val="22"/>
                <w:szCs w:val="22"/>
              </w:rPr>
              <w:t>Speech and Language needs in EYFS</w:t>
            </w:r>
            <w:r w:rsidR="00E1269A">
              <w:rPr>
                <w:sz w:val="22"/>
                <w:szCs w:val="22"/>
              </w:rPr>
              <w:t xml:space="preserve"> extending to KS1.</w:t>
            </w:r>
          </w:p>
          <w:p w14:paraId="666F86E0" w14:textId="1434A614" w:rsidR="002A4F1F" w:rsidRDefault="00C20D9E" w:rsidP="00F96165">
            <w:pPr>
              <w:pStyle w:val="TableRowCentered"/>
              <w:ind w:left="0"/>
              <w:jc w:val="left"/>
              <w:rPr>
                <w:sz w:val="22"/>
                <w:szCs w:val="22"/>
              </w:rPr>
            </w:pPr>
            <w:r>
              <w:rPr>
                <w:sz w:val="22"/>
                <w:szCs w:val="22"/>
              </w:rPr>
              <w:t>Data</w:t>
            </w:r>
            <w:r w:rsidR="002A4F1F">
              <w:rPr>
                <w:sz w:val="22"/>
                <w:szCs w:val="22"/>
              </w:rPr>
              <w:t xml:space="preserve"> shows that the areas of challenge in enabling an increase in the number of children achieving GLD at the end of EYFS are speech, language and communication. This is particularly true for disadvantaged children. </w:t>
            </w:r>
          </w:p>
          <w:p w14:paraId="34653883" w14:textId="536E7F07" w:rsidR="00C20D9E" w:rsidRPr="002A4F1F" w:rsidRDefault="002A4F1F" w:rsidP="00C20D9E">
            <w:pPr>
              <w:pStyle w:val="TableRowCentered"/>
              <w:ind w:left="0"/>
              <w:jc w:val="left"/>
              <w:rPr>
                <w:sz w:val="22"/>
                <w:szCs w:val="22"/>
              </w:rPr>
            </w:pPr>
            <w:r>
              <w:rPr>
                <w:sz w:val="22"/>
                <w:szCs w:val="22"/>
              </w:rPr>
              <w:t>Although a higher percentage of disadvantaged children in school achieved GLD compared to school non-disadvantaged</w:t>
            </w:r>
            <w:r w:rsidR="00C20D9E">
              <w:rPr>
                <w:sz w:val="22"/>
                <w:szCs w:val="22"/>
              </w:rPr>
              <w:t xml:space="preserve"> in 2</w:t>
            </w:r>
            <w:r w:rsidR="00F60968">
              <w:rPr>
                <w:sz w:val="22"/>
                <w:szCs w:val="22"/>
              </w:rPr>
              <w:t>025</w:t>
            </w:r>
            <w:r>
              <w:rPr>
                <w:sz w:val="22"/>
                <w:szCs w:val="22"/>
              </w:rPr>
              <w:t xml:space="preserve"> (33%</w:t>
            </w:r>
            <w:r w:rsidR="00F60968">
              <w:rPr>
                <w:sz w:val="22"/>
                <w:szCs w:val="22"/>
              </w:rPr>
              <w:t>/50%</w:t>
            </w:r>
            <w:r>
              <w:rPr>
                <w:sz w:val="22"/>
                <w:szCs w:val="22"/>
              </w:rPr>
              <w:t>),</w:t>
            </w:r>
            <w:r w:rsidR="00C81987">
              <w:rPr>
                <w:sz w:val="22"/>
                <w:szCs w:val="22"/>
              </w:rPr>
              <w:t xml:space="preserve"> disadvantaged children had the greatest challenges in speaking</w:t>
            </w:r>
            <w:r w:rsidR="00C20D9E">
              <w:rPr>
                <w:sz w:val="22"/>
                <w:szCs w:val="22"/>
              </w:rPr>
              <w:t>, listening</w:t>
            </w:r>
            <w:r w:rsidR="00C81987">
              <w:rPr>
                <w:sz w:val="22"/>
                <w:szCs w:val="22"/>
              </w:rPr>
              <w:t xml:space="preserve"> and communication</w:t>
            </w:r>
            <w:r w:rsidR="00C20D9E">
              <w:rPr>
                <w:sz w:val="22"/>
                <w:szCs w:val="22"/>
              </w:rPr>
              <w:t xml:space="preserve"> and Literacy.</w:t>
            </w:r>
          </w:p>
          <w:p w14:paraId="2A7D54F1" w14:textId="3AEB6DC6" w:rsidR="002A4F1F" w:rsidRPr="002A4F1F" w:rsidRDefault="002A4F1F" w:rsidP="00F96165">
            <w:pPr>
              <w:pStyle w:val="TableRowCentered"/>
              <w:ind w:left="0"/>
              <w:jc w:val="left"/>
              <w:rPr>
                <w:sz w:val="22"/>
                <w:szCs w:val="22"/>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FD4D" w14:textId="351A9384" w:rsidR="00E66558" w:rsidRDefault="00F96165" w:rsidP="00F96165">
            <w:pPr>
              <w:pStyle w:val="TableRowCentered"/>
              <w:ind w:left="0"/>
              <w:jc w:val="left"/>
              <w:rPr>
                <w:sz w:val="22"/>
                <w:szCs w:val="22"/>
              </w:rPr>
            </w:pPr>
            <w:r w:rsidRPr="00F96165">
              <w:rPr>
                <w:szCs w:val="24"/>
              </w:rPr>
              <w:t>Comprehension skills</w:t>
            </w:r>
            <w:r w:rsidR="002349CC">
              <w:rPr>
                <w:szCs w:val="24"/>
              </w:rPr>
              <w:t xml:space="preserve"> and fluency</w:t>
            </w:r>
            <w:r w:rsidRPr="00F96165">
              <w:rPr>
                <w:szCs w:val="24"/>
              </w:rPr>
              <w:t xml:space="preserve"> not</w:t>
            </w:r>
            <w:r w:rsidR="00DE5363">
              <w:rPr>
                <w:szCs w:val="24"/>
              </w:rPr>
              <w:t xml:space="preserve"> aligned</w:t>
            </w:r>
            <w:r w:rsidRPr="00F96165">
              <w:rPr>
                <w:szCs w:val="24"/>
              </w:rPr>
              <w:t xml:space="preserve"> to reading</w:t>
            </w:r>
            <w:r w:rsidR="00DE5363">
              <w:rPr>
                <w:szCs w:val="24"/>
              </w:rPr>
              <w:t xml:space="preserve"> (decoding)</w:t>
            </w:r>
            <w:r w:rsidRPr="00F96165">
              <w:rPr>
                <w:szCs w:val="24"/>
              </w:rPr>
              <w:t xml:space="preserve"> </w:t>
            </w:r>
            <w:r w:rsidR="00DE5363">
              <w:rPr>
                <w:szCs w:val="24"/>
              </w:rPr>
              <w:t>skills.</w:t>
            </w:r>
          </w:p>
          <w:p w14:paraId="131F8CCF" w14:textId="1896AA5A" w:rsidR="00F96165" w:rsidRDefault="00F96165" w:rsidP="00F96165">
            <w:pPr>
              <w:pStyle w:val="TableRowCentered"/>
              <w:ind w:left="0"/>
              <w:jc w:val="left"/>
              <w:rPr>
                <w:sz w:val="22"/>
                <w:szCs w:val="22"/>
              </w:rPr>
            </w:pPr>
            <w:r>
              <w:rPr>
                <w:sz w:val="22"/>
                <w:szCs w:val="22"/>
              </w:rPr>
              <w:t xml:space="preserve">Although school Phonics Screening is historically broadly in line with national figures, children’s comprehension skills in relation to understanding the text they have read, </w:t>
            </w:r>
            <w:r w:rsidR="002349CC">
              <w:rPr>
                <w:sz w:val="22"/>
                <w:szCs w:val="22"/>
              </w:rPr>
              <w:t xml:space="preserve">fluency, </w:t>
            </w:r>
            <w:r>
              <w:rPr>
                <w:sz w:val="22"/>
                <w:szCs w:val="22"/>
              </w:rPr>
              <w:t>vocabulary knowledge</w:t>
            </w:r>
            <w:r w:rsidR="002349CC">
              <w:rPr>
                <w:sz w:val="22"/>
                <w:szCs w:val="22"/>
              </w:rPr>
              <w:t xml:space="preserve"> and </w:t>
            </w:r>
            <w:r>
              <w:rPr>
                <w:sz w:val="22"/>
                <w:szCs w:val="22"/>
              </w:rPr>
              <w:t xml:space="preserve">inference skills are not in line with </w:t>
            </w:r>
            <w:r w:rsidR="002349CC">
              <w:rPr>
                <w:sz w:val="22"/>
                <w:szCs w:val="22"/>
              </w:rPr>
              <w:t>a</w:t>
            </w:r>
            <w:r>
              <w:rPr>
                <w:sz w:val="22"/>
                <w:szCs w:val="22"/>
              </w:rPr>
              <w:t xml:space="preserve">ge related expectations. </w:t>
            </w:r>
          </w:p>
          <w:p w14:paraId="2A7D54F4" w14:textId="16B72715" w:rsidR="002A4F1F" w:rsidRDefault="002A4F1F" w:rsidP="00F96165">
            <w:pPr>
              <w:pStyle w:val="TableRowCentered"/>
              <w:ind w:left="0"/>
              <w:jc w:val="left"/>
              <w:rPr>
                <w:sz w:val="22"/>
                <w:szCs w:val="22"/>
              </w:rPr>
            </w:pPr>
            <w:r>
              <w:rPr>
                <w:sz w:val="22"/>
                <w:szCs w:val="22"/>
              </w:rPr>
              <w:t>Challenges in understanding what is read has an impact on children’s fluency, engagement and enjoyment of reading.</w:t>
            </w:r>
            <w:r w:rsidR="00F60968">
              <w:rPr>
                <w:sz w:val="22"/>
                <w:szCs w:val="22"/>
              </w:rPr>
              <w:t xml:space="preserve"> Disadvantaged children performed </w:t>
            </w:r>
            <w:proofErr w:type="spellStart"/>
            <w:r w:rsidR="00F60968">
              <w:rPr>
                <w:sz w:val="22"/>
                <w:szCs w:val="22"/>
              </w:rPr>
              <w:t>nb</w:t>
            </w:r>
            <w:proofErr w:type="spellEnd"/>
          </w:p>
        </w:tc>
      </w:tr>
      <w:tr w:rsidR="002349CC" w14:paraId="50ED1C1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24BB2" w14:textId="335C8CFC" w:rsidR="002349CC" w:rsidRDefault="002349CC">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9211" w14:textId="77777777" w:rsidR="002349CC" w:rsidRDefault="002349CC">
            <w:pPr>
              <w:pStyle w:val="TableRowCentered"/>
              <w:jc w:val="left"/>
              <w:rPr>
                <w:szCs w:val="24"/>
              </w:rPr>
            </w:pPr>
            <w:r>
              <w:rPr>
                <w:szCs w:val="24"/>
              </w:rPr>
              <w:t>Spelling, grammar and oracy skills require development to support greater achievement in writing</w:t>
            </w:r>
          </w:p>
          <w:p w14:paraId="031ED564" w14:textId="7FCCC320" w:rsidR="002349CC" w:rsidRPr="00FE0294" w:rsidRDefault="002349CC">
            <w:pPr>
              <w:pStyle w:val="TableRowCentered"/>
              <w:jc w:val="left"/>
              <w:rPr>
                <w:szCs w:val="24"/>
              </w:rPr>
            </w:pPr>
            <w:r>
              <w:rPr>
                <w:szCs w:val="24"/>
              </w:rPr>
              <w:t>Disadvantaged children did not achieve as well as non-disadvantaged children by the end of KS2 in 202</w:t>
            </w:r>
            <w:r w:rsidR="00F60968">
              <w:rPr>
                <w:szCs w:val="24"/>
              </w:rPr>
              <w:t>5</w:t>
            </w:r>
            <w:r>
              <w:rPr>
                <w:szCs w:val="24"/>
              </w:rPr>
              <w:t>. Literacy, particularly writing, is an area for further development from EYFS.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172F468B" w:rsidR="00E66558" w:rsidRDefault="002349CC">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EFC15" w14:textId="7FCB60C7" w:rsidR="00E66558" w:rsidRDefault="003E2D6E">
            <w:pPr>
              <w:pStyle w:val="TableRowCentered"/>
              <w:jc w:val="left"/>
              <w:rPr>
                <w:szCs w:val="24"/>
              </w:rPr>
            </w:pPr>
            <w:r w:rsidRPr="00FE0294">
              <w:rPr>
                <w:szCs w:val="24"/>
              </w:rPr>
              <w:t xml:space="preserve">Lack of </w:t>
            </w:r>
            <w:r w:rsidR="00B67562">
              <w:rPr>
                <w:szCs w:val="24"/>
              </w:rPr>
              <w:t>accuracy in reasoning skills</w:t>
            </w:r>
            <w:r w:rsidRPr="00FE0294">
              <w:rPr>
                <w:szCs w:val="24"/>
              </w:rPr>
              <w:t xml:space="preserve"> in mathematical problem solving</w:t>
            </w:r>
            <w:r w:rsidR="00B67562">
              <w:rPr>
                <w:szCs w:val="24"/>
              </w:rPr>
              <w:t>.</w:t>
            </w:r>
          </w:p>
          <w:p w14:paraId="2A7D54F7" w14:textId="6D66A18D" w:rsidR="00B67562" w:rsidRPr="00B67562" w:rsidRDefault="00B67562" w:rsidP="002349CC">
            <w:pPr>
              <w:pStyle w:val="TableRowCentered"/>
              <w:jc w:val="left"/>
              <w:rPr>
                <w:sz w:val="22"/>
                <w:szCs w:val="22"/>
              </w:rPr>
            </w:pPr>
            <w:r>
              <w:rPr>
                <w:sz w:val="22"/>
                <w:szCs w:val="22"/>
              </w:rPr>
              <w:t xml:space="preserve">While mathematical fluency has improved consistently since 2021, internal monitoring shows that children still find problem solving challenging, due to limited reasoning skills.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40CE" w14:textId="4A3C3C09" w:rsidR="00390341" w:rsidRPr="00390341" w:rsidRDefault="00390341" w:rsidP="00390341">
            <w:pPr>
              <w:pStyle w:val="TableRowCentered"/>
              <w:jc w:val="left"/>
              <w:rPr>
                <w:iCs/>
                <w:szCs w:val="24"/>
              </w:rPr>
            </w:pPr>
            <w:r w:rsidRPr="00390341">
              <w:rPr>
                <w:iCs/>
                <w:szCs w:val="24"/>
              </w:rPr>
              <w:t xml:space="preserve">Attendance gap between PP and </w:t>
            </w:r>
            <w:r w:rsidR="00094663" w:rsidRPr="00390341">
              <w:rPr>
                <w:iCs/>
                <w:szCs w:val="24"/>
              </w:rPr>
              <w:t>non-PP</w:t>
            </w:r>
            <w:r w:rsidRPr="00390341">
              <w:rPr>
                <w:iCs/>
                <w:szCs w:val="24"/>
              </w:rPr>
              <w:t xml:space="preserve"> children, </w:t>
            </w:r>
            <w:r w:rsidR="00094663">
              <w:rPr>
                <w:iCs/>
                <w:szCs w:val="24"/>
              </w:rPr>
              <w:t xml:space="preserve">and number of </w:t>
            </w:r>
            <w:r w:rsidRPr="00390341">
              <w:rPr>
                <w:iCs/>
                <w:szCs w:val="24"/>
              </w:rPr>
              <w:t xml:space="preserve">disadvantaged children </w:t>
            </w:r>
            <w:r w:rsidR="00094663">
              <w:rPr>
                <w:iCs/>
                <w:szCs w:val="24"/>
              </w:rPr>
              <w:t xml:space="preserve">who are </w:t>
            </w:r>
            <w:r w:rsidRPr="00390341">
              <w:rPr>
                <w:iCs/>
                <w:szCs w:val="24"/>
              </w:rPr>
              <w:t>persistent absentees.</w:t>
            </w:r>
          </w:p>
          <w:p w14:paraId="2A7D54FA" w14:textId="5463B24E" w:rsidR="00E218AF" w:rsidRPr="00F6354E" w:rsidRDefault="00390341" w:rsidP="00973409">
            <w:pPr>
              <w:pStyle w:val="TableRowCentered"/>
              <w:jc w:val="left"/>
              <w:rPr>
                <w:iCs/>
                <w:szCs w:val="24"/>
              </w:rPr>
            </w:pPr>
            <w:r w:rsidRPr="00F6354E">
              <w:rPr>
                <w:iCs/>
                <w:szCs w:val="24"/>
              </w:rPr>
              <w:t>Across school, attendance figures for disadvantaged children are lower than non-disadvantaged children</w:t>
            </w:r>
            <w:r w:rsidR="00F6354E" w:rsidRPr="00F6354E">
              <w:rPr>
                <w:iCs/>
                <w:szCs w:val="24"/>
              </w:rPr>
              <w:t xml:space="preserve"> (94.1% compared to 96.9% up to October 2025), despite being higher than the similar schools average (92.2%)</w:t>
            </w:r>
            <w:r w:rsidR="00F6354E">
              <w:rPr>
                <w:iCs/>
                <w:szCs w:val="24"/>
              </w:rPr>
              <w:t>. Although there has been an improvement in attendance for FSM children from 2024 to 2025 (92.2% to 94.1%) further improvements remain a priority.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F516" w14:textId="77777777" w:rsidR="00390341" w:rsidRDefault="00390341" w:rsidP="00390341">
            <w:pPr>
              <w:pStyle w:val="TableRowCentered"/>
              <w:jc w:val="left"/>
              <w:rPr>
                <w:iCs/>
                <w:szCs w:val="24"/>
              </w:rPr>
            </w:pPr>
            <w:r w:rsidRPr="00E218AF">
              <w:rPr>
                <w:iCs/>
                <w:szCs w:val="24"/>
              </w:rPr>
              <w:t>Social, emotional, and mental health needs</w:t>
            </w:r>
          </w:p>
          <w:p w14:paraId="7293FF0B" w14:textId="655346CC" w:rsidR="00390341" w:rsidRDefault="002349CC" w:rsidP="00390341">
            <w:pPr>
              <w:pStyle w:val="TableRowCentered"/>
              <w:jc w:val="left"/>
              <w:rPr>
                <w:iCs/>
                <w:sz w:val="22"/>
                <w:szCs w:val="22"/>
              </w:rPr>
            </w:pPr>
            <w:r>
              <w:rPr>
                <w:iCs/>
                <w:sz w:val="22"/>
                <w:szCs w:val="22"/>
              </w:rPr>
              <w:t>Since 2021</w:t>
            </w:r>
            <w:r w:rsidR="00390341">
              <w:rPr>
                <w:iCs/>
                <w:sz w:val="22"/>
                <w:szCs w:val="22"/>
              </w:rPr>
              <w:t xml:space="preserve"> greater proportions of children and families have requested emotional wellbeing support than pre-pandemic. As a highly inclusive school we have a </w:t>
            </w:r>
            <w:r w:rsidR="00B67562">
              <w:rPr>
                <w:iCs/>
                <w:sz w:val="22"/>
                <w:szCs w:val="22"/>
              </w:rPr>
              <w:t>higher-than-average</w:t>
            </w:r>
            <w:r w:rsidR="00390341">
              <w:rPr>
                <w:iCs/>
                <w:sz w:val="22"/>
                <w:szCs w:val="22"/>
              </w:rPr>
              <w:t xml:space="preserve"> proportion of children with SEN</w:t>
            </w:r>
            <w:r w:rsidR="00973409">
              <w:rPr>
                <w:iCs/>
                <w:sz w:val="22"/>
                <w:szCs w:val="22"/>
              </w:rPr>
              <w:t xml:space="preserve"> (6</w:t>
            </w:r>
            <w:r w:rsidR="00F60968">
              <w:rPr>
                <w:iCs/>
                <w:sz w:val="22"/>
                <w:szCs w:val="22"/>
              </w:rPr>
              <w:t>7</w:t>
            </w:r>
            <w:r w:rsidR="00973409">
              <w:rPr>
                <w:iCs/>
                <w:sz w:val="22"/>
                <w:szCs w:val="22"/>
              </w:rPr>
              <w:t>% across school)</w:t>
            </w:r>
            <w:r w:rsidR="00390341">
              <w:rPr>
                <w:iCs/>
                <w:sz w:val="22"/>
                <w:szCs w:val="22"/>
              </w:rPr>
              <w:t>. 53% of our disadvantaged children also have a special educational need, and of those children, 45% have SEMH needs.</w:t>
            </w:r>
            <w:r w:rsidR="00B67562">
              <w:rPr>
                <w:iCs/>
                <w:sz w:val="22"/>
                <w:szCs w:val="22"/>
              </w:rPr>
              <w:t xml:space="preserve"> The level of need post-</w:t>
            </w:r>
            <w:r w:rsidR="00B67562">
              <w:rPr>
                <w:iCs/>
                <w:sz w:val="22"/>
                <w:szCs w:val="22"/>
              </w:rPr>
              <w:lastRenderedPageBreak/>
              <w:t>pandemic, has continued at a consistent rate, with over 2</w:t>
            </w:r>
            <w:r w:rsidR="00F60968">
              <w:rPr>
                <w:iCs/>
                <w:sz w:val="22"/>
                <w:szCs w:val="22"/>
              </w:rPr>
              <w:t>7</w:t>
            </w:r>
            <w:r w:rsidR="00B67562">
              <w:rPr>
                <w:iCs/>
                <w:sz w:val="22"/>
                <w:szCs w:val="22"/>
              </w:rPr>
              <w:t>% of children at school currently open to social care.</w:t>
            </w:r>
          </w:p>
          <w:p w14:paraId="2A7D54FD" w14:textId="526E0944" w:rsidR="00F96165" w:rsidRPr="00F96165" w:rsidRDefault="00390341" w:rsidP="00390341">
            <w:pPr>
              <w:pStyle w:val="TableRowCentered"/>
              <w:jc w:val="left"/>
              <w:rPr>
                <w:i/>
                <w:sz w:val="22"/>
              </w:rPr>
            </w:pPr>
            <w:r>
              <w:rPr>
                <w:iCs/>
                <w:sz w:val="22"/>
                <w:szCs w:val="22"/>
              </w:rPr>
              <w:t xml:space="preserve">Children experiencing high levels of anxiety find learning particularly difficult, which is why we prioritise meeting children’s social and emotional mental health needs through the curriculum and additional interventions for individuals. </w:t>
            </w:r>
            <w:r w:rsidR="00712813">
              <w:rPr>
                <w:iCs/>
                <w:sz w:val="22"/>
                <w:szCs w:val="22"/>
              </w:rPr>
              <w:t>O</w:t>
            </w:r>
            <w:r>
              <w:rPr>
                <w:iCs/>
                <w:sz w:val="22"/>
                <w:szCs w:val="22"/>
              </w:rPr>
              <w:t>bservations and feedback h</w:t>
            </w:r>
            <w:r w:rsidR="00B67562">
              <w:rPr>
                <w:iCs/>
                <w:sz w:val="22"/>
                <w:szCs w:val="22"/>
              </w:rPr>
              <w:t>ave continued to</w:t>
            </w:r>
            <w:r>
              <w:rPr>
                <w:iCs/>
                <w:sz w:val="22"/>
                <w:szCs w:val="22"/>
              </w:rPr>
              <w:t xml:space="preserve"> show that some children show a reduced stamina for learning, anxiety about separating from family, a reduction in fin</w:t>
            </w:r>
            <w:r w:rsidR="00B67562">
              <w:rPr>
                <w:iCs/>
                <w:sz w:val="22"/>
                <w:szCs w:val="22"/>
              </w:rPr>
              <w:t>e</w:t>
            </w:r>
            <w:r>
              <w:rPr>
                <w:iCs/>
                <w:sz w:val="22"/>
                <w:szCs w:val="22"/>
              </w:rPr>
              <w:t xml:space="preserve"> motor skills, particularly in the youngest children, which can lead to a reluctance in recording/completing activities. </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BE7E647" w:rsidR="00E66558" w:rsidRPr="00390341" w:rsidRDefault="00E1269A" w:rsidP="00390341">
            <w:pPr>
              <w:pStyle w:val="TableRow"/>
              <w:ind w:left="0"/>
              <w:rPr>
                <w:sz w:val="22"/>
                <w:szCs w:val="22"/>
              </w:rPr>
            </w:pPr>
            <w:r>
              <w:rPr>
                <w:sz w:val="22"/>
                <w:szCs w:val="22"/>
              </w:rPr>
              <w:t>EYFS and KS1 children to achieve in line with their peers in the areas of speaking, listening and communication</w:t>
            </w:r>
            <w:r w:rsidR="00712813">
              <w:rPr>
                <w:sz w:val="22"/>
                <w:szCs w:val="22"/>
              </w:rPr>
              <w:t xml:space="preserve"> and Literacy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7982" w14:textId="2751DA23" w:rsidR="00390341" w:rsidRDefault="00E1269A" w:rsidP="00E1269A">
            <w:pPr>
              <w:pStyle w:val="TableRowCentered"/>
              <w:numPr>
                <w:ilvl w:val="0"/>
                <w:numId w:val="26"/>
              </w:numPr>
              <w:jc w:val="left"/>
              <w:rPr>
                <w:sz w:val="22"/>
                <w:szCs w:val="22"/>
              </w:rPr>
            </w:pPr>
            <w:r>
              <w:rPr>
                <w:sz w:val="22"/>
                <w:szCs w:val="22"/>
              </w:rPr>
              <w:t xml:space="preserve">All children will have a baseline </w:t>
            </w:r>
            <w:proofErr w:type="spellStart"/>
            <w:r>
              <w:rPr>
                <w:sz w:val="22"/>
                <w:szCs w:val="22"/>
              </w:rPr>
              <w:t>WellComm</w:t>
            </w:r>
            <w:proofErr w:type="spellEnd"/>
            <w:r>
              <w:rPr>
                <w:sz w:val="22"/>
                <w:szCs w:val="22"/>
              </w:rPr>
              <w:t xml:space="preserve"> screening check on entry to EYFS and KS1 which will indicate key areas of need and intervention support to be carried out.</w:t>
            </w:r>
          </w:p>
          <w:p w14:paraId="6CEA4639" w14:textId="14DD4DB7" w:rsidR="00E1269A" w:rsidRDefault="00E1269A" w:rsidP="00E1269A">
            <w:pPr>
              <w:pStyle w:val="TableRowCentered"/>
              <w:numPr>
                <w:ilvl w:val="0"/>
                <w:numId w:val="26"/>
              </w:numPr>
              <w:jc w:val="left"/>
              <w:rPr>
                <w:sz w:val="22"/>
                <w:szCs w:val="22"/>
              </w:rPr>
            </w:pPr>
            <w:r>
              <w:rPr>
                <w:sz w:val="22"/>
                <w:szCs w:val="22"/>
              </w:rPr>
              <w:t xml:space="preserve">Increase in </w:t>
            </w:r>
            <w:proofErr w:type="spellStart"/>
            <w:r>
              <w:rPr>
                <w:sz w:val="22"/>
                <w:szCs w:val="22"/>
              </w:rPr>
              <w:t>WellComm</w:t>
            </w:r>
            <w:proofErr w:type="spellEnd"/>
            <w:r>
              <w:rPr>
                <w:sz w:val="22"/>
                <w:szCs w:val="22"/>
              </w:rPr>
              <w:t xml:space="preserve"> scores term on term</w:t>
            </w:r>
          </w:p>
          <w:p w14:paraId="2A7D5505" w14:textId="0FF4E692" w:rsidR="00E1269A" w:rsidRPr="00390341" w:rsidRDefault="00E1269A" w:rsidP="00E1269A">
            <w:pPr>
              <w:pStyle w:val="TableRowCentered"/>
              <w:numPr>
                <w:ilvl w:val="0"/>
                <w:numId w:val="26"/>
              </w:numPr>
              <w:jc w:val="left"/>
              <w:rPr>
                <w:sz w:val="22"/>
                <w:szCs w:val="22"/>
              </w:rPr>
            </w:pPr>
            <w:r>
              <w:rPr>
                <w:sz w:val="22"/>
                <w:szCs w:val="22"/>
              </w:rPr>
              <w:t>Increase in the number of children across EYFS achieving ELG for Speaking and Listening, Communication</w:t>
            </w:r>
            <w:r w:rsidR="00712813">
              <w:rPr>
                <w:sz w:val="22"/>
                <w:szCs w:val="22"/>
              </w:rPr>
              <w:t xml:space="preserve"> and Literacy, </w:t>
            </w:r>
            <w:r>
              <w:rPr>
                <w:sz w:val="22"/>
                <w:szCs w:val="22"/>
              </w:rPr>
              <w:t>which will in turn lead to an increase in children achieving GLD.</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6D3EFBAF" w:rsidR="00E66558" w:rsidRDefault="00390341">
            <w:pPr>
              <w:pStyle w:val="TableRow"/>
              <w:rPr>
                <w:sz w:val="22"/>
                <w:szCs w:val="22"/>
              </w:rPr>
            </w:pPr>
            <w:r>
              <w:rPr>
                <w:sz w:val="22"/>
                <w:szCs w:val="22"/>
              </w:rPr>
              <w:t>Children to be able to access all areas of the curriculum as competent readers.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D62A" w14:textId="77777777" w:rsidR="00E66558" w:rsidRDefault="00390341">
            <w:pPr>
              <w:pStyle w:val="TableRowCentered"/>
              <w:jc w:val="left"/>
              <w:rPr>
                <w:sz w:val="22"/>
                <w:szCs w:val="22"/>
              </w:rPr>
            </w:pPr>
            <w:r>
              <w:rPr>
                <w:sz w:val="22"/>
                <w:szCs w:val="22"/>
              </w:rPr>
              <w:t>Increase in:</w:t>
            </w:r>
          </w:p>
          <w:p w14:paraId="13587CD0" w14:textId="7349E947" w:rsidR="00E1269A" w:rsidRDefault="00E1269A" w:rsidP="00E1269A">
            <w:pPr>
              <w:pStyle w:val="TableRowCentered"/>
              <w:numPr>
                <w:ilvl w:val="0"/>
                <w:numId w:val="17"/>
              </w:numPr>
              <w:jc w:val="left"/>
              <w:rPr>
                <w:sz w:val="22"/>
                <w:szCs w:val="22"/>
              </w:rPr>
            </w:pPr>
            <w:r>
              <w:rPr>
                <w:sz w:val="22"/>
                <w:szCs w:val="22"/>
              </w:rPr>
              <w:t>Percentage of children achieving ARE in Reading and Writing at the end of each Key Stage</w:t>
            </w:r>
          </w:p>
          <w:p w14:paraId="6FFE7EDB" w14:textId="00E54BE4" w:rsidR="00390341" w:rsidRDefault="00390341" w:rsidP="00E1269A">
            <w:pPr>
              <w:pStyle w:val="TableRowCentered"/>
              <w:numPr>
                <w:ilvl w:val="0"/>
                <w:numId w:val="17"/>
              </w:numPr>
              <w:jc w:val="left"/>
              <w:rPr>
                <w:sz w:val="22"/>
                <w:szCs w:val="22"/>
              </w:rPr>
            </w:pPr>
            <w:r>
              <w:rPr>
                <w:sz w:val="22"/>
                <w:szCs w:val="22"/>
              </w:rPr>
              <w:t>P</w:t>
            </w:r>
            <w:r w:rsidR="00E1269A">
              <w:rPr>
                <w:sz w:val="22"/>
                <w:szCs w:val="22"/>
              </w:rPr>
              <w:t>ercentage</w:t>
            </w:r>
            <w:r>
              <w:rPr>
                <w:sz w:val="22"/>
                <w:szCs w:val="22"/>
              </w:rPr>
              <w:t xml:space="preserve"> of disadvantaged children achieving ARE in Foundation subjects</w:t>
            </w:r>
          </w:p>
          <w:p w14:paraId="47880144" w14:textId="77777777" w:rsidR="00390341" w:rsidRDefault="00390341" w:rsidP="00E1269A">
            <w:pPr>
              <w:pStyle w:val="TableRowCentered"/>
              <w:numPr>
                <w:ilvl w:val="0"/>
                <w:numId w:val="17"/>
              </w:numPr>
              <w:jc w:val="left"/>
              <w:rPr>
                <w:sz w:val="22"/>
                <w:szCs w:val="22"/>
              </w:rPr>
            </w:pPr>
            <w:r>
              <w:rPr>
                <w:sz w:val="22"/>
                <w:szCs w:val="22"/>
              </w:rPr>
              <w:t>Reading comprehension assessment scores for disadvantaged children.</w:t>
            </w:r>
          </w:p>
          <w:p w14:paraId="19253F70" w14:textId="3E90274B" w:rsidR="00390341" w:rsidRDefault="00390341" w:rsidP="00E1269A">
            <w:pPr>
              <w:pStyle w:val="TableRowCentered"/>
              <w:numPr>
                <w:ilvl w:val="0"/>
                <w:numId w:val="17"/>
              </w:numPr>
              <w:jc w:val="left"/>
              <w:rPr>
                <w:sz w:val="22"/>
                <w:szCs w:val="22"/>
              </w:rPr>
            </w:pPr>
            <w:r>
              <w:rPr>
                <w:sz w:val="22"/>
                <w:szCs w:val="22"/>
              </w:rPr>
              <w:t xml:space="preserve">Understanding and </w:t>
            </w:r>
            <w:r w:rsidR="00E1269A">
              <w:rPr>
                <w:sz w:val="22"/>
                <w:szCs w:val="22"/>
              </w:rPr>
              <w:t xml:space="preserve">knowledge of </w:t>
            </w:r>
            <w:r>
              <w:rPr>
                <w:sz w:val="22"/>
                <w:szCs w:val="22"/>
              </w:rPr>
              <w:t>curriculum specific vocabulary for disadvantaged children.</w:t>
            </w:r>
          </w:p>
          <w:p w14:paraId="44FF7830" w14:textId="77777777" w:rsidR="00E1269A" w:rsidRDefault="00E1269A" w:rsidP="00E1269A">
            <w:pPr>
              <w:pStyle w:val="TableRowCentered"/>
              <w:numPr>
                <w:ilvl w:val="0"/>
                <w:numId w:val="17"/>
              </w:numPr>
              <w:jc w:val="left"/>
              <w:rPr>
                <w:sz w:val="22"/>
                <w:szCs w:val="22"/>
              </w:rPr>
            </w:pPr>
            <w:r>
              <w:rPr>
                <w:sz w:val="22"/>
                <w:szCs w:val="22"/>
              </w:rPr>
              <w:t>Reading fluency scores for individual children</w:t>
            </w:r>
          </w:p>
          <w:p w14:paraId="17B2B4BD" w14:textId="77777777" w:rsidR="00E1269A" w:rsidRDefault="00E1269A" w:rsidP="00E1269A">
            <w:pPr>
              <w:pStyle w:val="TableRowCentered"/>
              <w:numPr>
                <w:ilvl w:val="0"/>
                <w:numId w:val="17"/>
              </w:numPr>
              <w:jc w:val="left"/>
              <w:rPr>
                <w:sz w:val="22"/>
                <w:szCs w:val="22"/>
              </w:rPr>
            </w:pPr>
            <w:r>
              <w:rPr>
                <w:sz w:val="22"/>
                <w:szCs w:val="22"/>
              </w:rPr>
              <w:t>Proportion of children reading at home and being able to discuss their favourite books/authors</w:t>
            </w:r>
          </w:p>
          <w:p w14:paraId="3DCC6E55" w14:textId="77777777" w:rsidR="00E1269A" w:rsidRDefault="00E1269A" w:rsidP="00E1269A">
            <w:pPr>
              <w:pStyle w:val="TableRowCentered"/>
              <w:numPr>
                <w:ilvl w:val="0"/>
                <w:numId w:val="17"/>
              </w:numPr>
              <w:jc w:val="left"/>
              <w:rPr>
                <w:sz w:val="22"/>
                <w:szCs w:val="22"/>
              </w:rPr>
            </w:pPr>
            <w:r>
              <w:rPr>
                <w:sz w:val="22"/>
                <w:szCs w:val="22"/>
              </w:rPr>
              <w:lastRenderedPageBreak/>
              <w:t>Proportion of disadvantaged children achieving the phonics screening check year on year</w:t>
            </w:r>
          </w:p>
          <w:p w14:paraId="5FC92BBD" w14:textId="77777777" w:rsidR="00E1269A" w:rsidRDefault="00E1269A" w:rsidP="00E1269A">
            <w:pPr>
              <w:pStyle w:val="TableRowCentered"/>
              <w:numPr>
                <w:ilvl w:val="0"/>
                <w:numId w:val="17"/>
              </w:numPr>
              <w:jc w:val="left"/>
              <w:rPr>
                <w:sz w:val="22"/>
                <w:szCs w:val="22"/>
              </w:rPr>
            </w:pPr>
            <w:r>
              <w:rPr>
                <w:sz w:val="22"/>
                <w:szCs w:val="22"/>
              </w:rPr>
              <w:t>Disadvantaged children and families accessing the school library and extra-curricular activities.</w:t>
            </w:r>
          </w:p>
          <w:p w14:paraId="2A7D5508" w14:textId="41F26CB9" w:rsidR="00707151" w:rsidRDefault="00707151" w:rsidP="00E1269A">
            <w:pPr>
              <w:pStyle w:val="TableRowCentered"/>
              <w:numPr>
                <w:ilvl w:val="0"/>
                <w:numId w:val="17"/>
              </w:numPr>
              <w:jc w:val="left"/>
              <w:rPr>
                <w:sz w:val="22"/>
                <w:szCs w:val="22"/>
              </w:rPr>
            </w:pPr>
            <w:r>
              <w:rPr>
                <w:sz w:val="22"/>
                <w:szCs w:val="22"/>
              </w:rPr>
              <w:t>Engagement levels across the curriculum due to collaborative learning and the use of metacognition strategies.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2AD87552" w:rsidR="00E66558" w:rsidRDefault="00390341">
            <w:pPr>
              <w:pStyle w:val="TableRow"/>
              <w:rPr>
                <w:sz w:val="22"/>
                <w:szCs w:val="22"/>
              </w:rPr>
            </w:pPr>
            <w:r>
              <w:rPr>
                <w:sz w:val="22"/>
                <w:szCs w:val="22"/>
              </w:rPr>
              <w:lastRenderedPageBreak/>
              <w:t>Closed or closing achievement gaps in reading, writing and maths between disadvantaged and non-disadvantaged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6ACB30E7" w:rsidR="00E66558" w:rsidRDefault="00390341">
            <w:pPr>
              <w:pStyle w:val="TableRowCentered"/>
              <w:jc w:val="left"/>
              <w:rPr>
                <w:sz w:val="22"/>
                <w:szCs w:val="22"/>
              </w:rPr>
            </w:pPr>
            <w:r>
              <w:rPr>
                <w:sz w:val="22"/>
                <w:szCs w:val="22"/>
              </w:rPr>
              <w:t>Disadvantaged children performing in line with non-disadvantaged children in school, and the gap between school and national performance narrowing year on year in Reading, Writing and Maths achievement.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5011AB2D" w:rsidR="00E66558" w:rsidRDefault="00390341">
            <w:pPr>
              <w:pStyle w:val="TableRow"/>
              <w:rPr>
                <w:sz w:val="22"/>
                <w:szCs w:val="22"/>
              </w:rPr>
            </w:pPr>
            <w:r>
              <w:rPr>
                <w:sz w:val="22"/>
                <w:szCs w:val="22"/>
              </w:rPr>
              <w:t>Significantly improved attendance for disadvantaged children meaning less missed learning time.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64DB7" w14:textId="77777777" w:rsidR="00E66558" w:rsidRDefault="00390341">
            <w:pPr>
              <w:pStyle w:val="TableRowCentered"/>
              <w:jc w:val="left"/>
              <w:rPr>
                <w:sz w:val="22"/>
                <w:szCs w:val="22"/>
              </w:rPr>
            </w:pPr>
            <w:r>
              <w:rPr>
                <w:sz w:val="22"/>
                <w:szCs w:val="22"/>
              </w:rPr>
              <w:t>Decrease in the percentage of disadvantaged children who are persistent absentees.</w:t>
            </w:r>
          </w:p>
          <w:p w14:paraId="2A7D550E" w14:textId="6A6D4B72" w:rsidR="00390341" w:rsidRDefault="00390341">
            <w:pPr>
              <w:pStyle w:val="TableRowCentered"/>
              <w:jc w:val="left"/>
              <w:rPr>
                <w:sz w:val="22"/>
                <w:szCs w:val="22"/>
              </w:rPr>
            </w:pPr>
            <w:r>
              <w:rPr>
                <w:sz w:val="22"/>
                <w:szCs w:val="22"/>
              </w:rPr>
              <w:t>Increase in overall attendance for disadvantaged children, narrowing the gap between them and non-disadvantaged children in school and nationally.</w:t>
            </w:r>
          </w:p>
        </w:tc>
      </w:tr>
      <w:tr w:rsidR="00390341" w14:paraId="15D22DE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0E02" w14:textId="090CB8C7" w:rsidR="00390341" w:rsidRDefault="00390341">
            <w:pPr>
              <w:pStyle w:val="TableRow"/>
              <w:rPr>
                <w:sz w:val="22"/>
                <w:szCs w:val="22"/>
              </w:rPr>
            </w:pPr>
            <w:r>
              <w:rPr>
                <w:sz w:val="22"/>
                <w:szCs w:val="22"/>
              </w:rPr>
              <w:t>Resilient, confident and happy children who enjoy learnin</w:t>
            </w:r>
            <w:r w:rsidR="00E1269A">
              <w:rPr>
                <w:sz w:val="22"/>
                <w:szCs w:val="22"/>
              </w:rPr>
              <w:t>g and are engaged.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BF1C" w14:textId="5DB85706" w:rsidR="00390341" w:rsidRDefault="00390341">
            <w:pPr>
              <w:pStyle w:val="TableRowCentered"/>
              <w:jc w:val="left"/>
              <w:rPr>
                <w:sz w:val="22"/>
                <w:szCs w:val="22"/>
              </w:rPr>
            </w:pPr>
            <w:r>
              <w:rPr>
                <w:sz w:val="22"/>
                <w:szCs w:val="22"/>
              </w:rPr>
              <w:t xml:space="preserve">Improved </w:t>
            </w:r>
            <w:r w:rsidR="00712813">
              <w:rPr>
                <w:sz w:val="22"/>
                <w:szCs w:val="22"/>
              </w:rPr>
              <w:t>Thrive assessment</w:t>
            </w:r>
            <w:r>
              <w:rPr>
                <w:sz w:val="22"/>
                <w:szCs w:val="22"/>
              </w:rPr>
              <w:t xml:space="preserve"> scores for individual children.</w:t>
            </w:r>
          </w:p>
          <w:p w14:paraId="301B8E29" w14:textId="77777777" w:rsidR="00390341" w:rsidRDefault="00390341">
            <w:pPr>
              <w:pStyle w:val="TableRowCentered"/>
              <w:jc w:val="left"/>
              <w:rPr>
                <w:sz w:val="22"/>
                <w:szCs w:val="22"/>
              </w:rPr>
            </w:pPr>
            <w:r>
              <w:rPr>
                <w:sz w:val="22"/>
                <w:szCs w:val="22"/>
              </w:rPr>
              <w:t>Improved wellbeing feedback from pupil and parent surveys year on year.</w:t>
            </w:r>
          </w:p>
          <w:p w14:paraId="583466D0" w14:textId="2B7C5ADC" w:rsidR="00390341" w:rsidRDefault="00390341">
            <w:pPr>
              <w:pStyle w:val="TableRowCentered"/>
              <w:jc w:val="left"/>
              <w:rPr>
                <w:sz w:val="22"/>
                <w:szCs w:val="22"/>
              </w:rPr>
            </w:pPr>
            <w:r>
              <w:rPr>
                <w:sz w:val="22"/>
                <w:szCs w:val="22"/>
              </w:rPr>
              <w:t>Reduction in negative behaviour incidents over time (assessed termly).</w:t>
            </w:r>
          </w:p>
          <w:p w14:paraId="12BBA2E2" w14:textId="77777777" w:rsidR="00390341" w:rsidRDefault="00390341" w:rsidP="00390341">
            <w:pPr>
              <w:pStyle w:val="TableRowCentered"/>
              <w:ind w:left="0"/>
              <w:jc w:val="left"/>
              <w:rPr>
                <w:sz w:val="22"/>
                <w:szCs w:val="22"/>
              </w:rPr>
            </w:pPr>
            <w:r>
              <w:rPr>
                <w:sz w:val="22"/>
                <w:szCs w:val="22"/>
              </w:rPr>
              <w:t>Positive attitudes to learning evidenced via feedback and observations.</w:t>
            </w:r>
          </w:p>
          <w:p w14:paraId="755D42A2" w14:textId="04C73277" w:rsidR="00E1269A" w:rsidRDefault="00E1269A" w:rsidP="00390341">
            <w:pPr>
              <w:pStyle w:val="TableRowCentered"/>
              <w:ind w:left="0"/>
              <w:jc w:val="left"/>
              <w:rPr>
                <w:sz w:val="22"/>
                <w:szCs w:val="22"/>
              </w:rPr>
            </w:pPr>
            <w:r>
              <w:rPr>
                <w:sz w:val="22"/>
                <w:szCs w:val="22"/>
              </w:rPr>
              <w:t>Improved attendance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056DDAD" w:rsidR="00E66558" w:rsidRDefault="009D71E8">
      <w:r>
        <w:t>Budgeted cost: £</w:t>
      </w:r>
      <w:r w:rsidR="00712813">
        <w:t>14,000</w:t>
      </w:r>
    </w:p>
    <w:tbl>
      <w:tblPr>
        <w:tblW w:w="5000" w:type="pct"/>
        <w:tblCellMar>
          <w:left w:w="10" w:type="dxa"/>
          <w:right w:w="10" w:type="dxa"/>
        </w:tblCellMar>
        <w:tblLook w:val="04A0" w:firstRow="1" w:lastRow="0" w:firstColumn="1" w:lastColumn="0" w:noHBand="0" w:noVBand="1"/>
      </w:tblPr>
      <w:tblGrid>
        <w:gridCol w:w="2079"/>
        <w:gridCol w:w="5871"/>
        <w:gridCol w:w="1536"/>
      </w:tblGrid>
      <w:tr w:rsidR="00BA19DB" w14:paraId="2A7D5519" w14:textId="77777777" w:rsidTr="00DF115A">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3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F115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6A9C" w14:textId="086FC062" w:rsidR="00C74460" w:rsidRPr="00C74460" w:rsidRDefault="00C74460" w:rsidP="00C74460">
            <w:pPr>
              <w:pStyle w:val="TableRow"/>
              <w:ind w:left="0"/>
              <w:rPr>
                <w:b/>
                <w:bCs/>
                <w:sz w:val="22"/>
                <w:szCs w:val="22"/>
              </w:rPr>
            </w:pPr>
            <w:r w:rsidRPr="00C74460">
              <w:rPr>
                <w:b/>
                <w:bCs/>
                <w:sz w:val="22"/>
                <w:szCs w:val="22"/>
              </w:rPr>
              <w:t>High Quality Mastery Learning</w:t>
            </w:r>
          </w:p>
          <w:p w14:paraId="0287B865" w14:textId="65675255" w:rsidR="00DF115A" w:rsidRDefault="00C74460" w:rsidP="00C74460">
            <w:pPr>
              <w:pStyle w:val="TableRow"/>
              <w:ind w:left="0"/>
              <w:rPr>
                <w:sz w:val="22"/>
                <w:szCs w:val="22"/>
              </w:rPr>
            </w:pPr>
            <w:r>
              <w:rPr>
                <w:sz w:val="22"/>
                <w:szCs w:val="22"/>
              </w:rPr>
              <w:t>Whole staff CPD on Teaching and Learning throughout the academic year as part of the SDP.</w:t>
            </w:r>
          </w:p>
          <w:p w14:paraId="4EEE9F07" w14:textId="7B9CFD29" w:rsidR="00C74460" w:rsidRDefault="00C74460" w:rsidP="00C74460">
            <w:pPr>
              <w:pStyle w:val="TableRow"/>
              <w:ind w:left="0"/>
              <w:rPr>
                <w:sz w:val="22"/>
                <w:szCs w:val="22"/>
              </w:rPr>
            </w:pPr>
            <w:r>
              <w:rPr>
                <w:sz w:val="22"/>
                <w:szCs w:val="22"/>
              </w:rPr>
              <w:t xml:space="preserve">This will take place alongside </w:t>
            </w:r>
            <w:r w:rsidR="00F426F7">
              <w:rPr>
                <w:sz w:val="22"/>
                <w:szCs w:val="22"/>
              </w:rPr>
              <w:t>work with the Maths Hub and English Hub.</w:t>
            </w:r>
          </w:p>
          <w:p w14:paraId="3A9279B6" w14:textId="7B650D86" w:rsidR="00C74460" w:rsidRDefault="00C74460" w:rsidP="00C74460">
            <w:pPr>
              <w:pStyle w:val="TableRow"/>
              <w:ind w:left="0"/>
              <w:rPr>
                <w:sz w:val="22"/>
                <w:szCs w:val="22"/>
              </w:rPr>
            </w:pPr>
            <w:proofErr w:type="spellStart"/>
            <w:r>
              <w:rPr>
                <w:sz w:val="22"/>
                <w:szCs w:val="22"/>
              </w:rPr>
              <w:t>WellComm</w:t>
            </w:r>
            <w:proofErr w:type="spellEnd"/>
            <w:r>
              <w:rPr>
                <w:sz w:val="22"/>
                <w:szCs w:val="22"/>
              </w:rPr>
              <w:t xml:space="preserve"> training and implementation across school. Whole school T &amp; L Training will focus on developing a consistent mastery approach across all curriculum areas combined with effective feedback. Successful implementation is reliant on having adequate staffing across school due to high levels of SEN (6</w:t>
            </w:r>
            <w:r w:rsidR="00F426F7">
              <w:rPr>
                <w:sz w:val="22"/>
                <w:szCs w:val="22"/>
              </w:rPr>
              <w:t>7</w:t>
            </w:r>
            <w:r>
              <w:rPr>
                <w:sz w:val="22"/>
                <w:szCs w:val="22"/>
              </w:rPr>
              <w:t xml:space="preserve">%), so there will be a commitment to one FT TA per </w:t>
            </w:r>
            <w:r>
              <w:rPr>
                <w:sz w:val="22"/>
                <w:szCs w:val="22"/>
              </w:rPr>
              <w:lastRenderedPageBreak/>
              <w:t>class as a minimum.</w:t>
            </w:r>
          </w:p>
          <w:p w14:paraId="2A7D551A" w14:textId="39D903D0" w:rsidR="00707151" w:rsidRPr="00C74460" w:rsidRDefault="00707151" w:rsidP="00C74460">
            <w:pPr>
              <w:pStyle w:val="TableRow"/>
              <w:ind w:left="0"/>
              <w:rPr>
                <w:sz w:val="22"/>
                <w:szCs w:val="22"/>
              </w:rPr>
            </w:pPr>
            <w:r>
              <w:rPr>
                <w:sz w:val="22"/>
                <w:szCs w:val="22"/>
              </w:rPr>
              <w:t>Collaborative learning developed through ‘Narrative through the Curriculum’ approach. Whole staff CPD and planning to support implementation.</w:t>
            </w:r>
          </w:p>
        </w:tc>
        <w:tc>
          <w:tcPr>
            <w:tcW w:w="5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EEA56" w14:textId="3972CC48" w:rsidR="00E66558" w:rsidRDefault="00DF115A">
            <w:pPr>
              <w:pStyle w:val="TableRowCentered"/>
              <w:jc w:val="left"/>
              <w:rPr>
                <w:sz w:val="22"/>
              </w:rPr>
            </w:pPr>
            <w:r>
              <w:rPr>
                <w:sz w:val="22"/>
              </w:rPr>
              <w:lastRenderedPageBreak/>
              <w:t>EEF Teaching Toolkit</w:t>
            </w:r>
            <w:r>
              <w:t xml:space="preserve"> </w:t>
            </w:r>
            <w:hyperlink r:id="rId7" w:history="1">
              <w:r w:rsidRPr="006D1E18">
                <w:rPr>
                  <w:rStyle w:val="Hyperlink"/>
                  <w:sz w:val="22"/>
                </w:rPr>
                <w:t>https://educationendowmentfoundation.org.uk/education-evidence/teaching-learning-toolkit</w:t>
              </w:r>
            </w:hyperlink>
          </w:p>
          <w:p w14:paraId="0972CB48" w14:textId="7AA9F6A0" w:rsidR="00DF115A" w:rsidRDefault="00DF115A" w:rsidP="00C74460">
            <w:pPr>
              <w:pStyle w:val="TableRowCentered"/>
              <w:ind w:left="0"/>
              <w:jc w:val="left"/>
              <w:rPr>
                <w:sz w:val="22"/>
              </w:rPr>
            </w:pPr>
          </w:p>
          <w:p w14:paraId="2EC1A18E" w14:textId="77777777" w:rsidR="00DF115A" w:rsidRDefault="00DF115A" w:rsidP="00DF115A">
            <w:pPr>
              <w:pStyle w:val="TableRowCentered"/>
              <w:ind w:left="777"/>
              <w:jc w:val="left"/>
              <w:rPr>
                <w:sz w:val="22"/>
              </w:rPr>
            </w:pPr>
          </w:p>
          <w:p w14:paraId="3300644D" w14:textId="3BA6C122" w:rsidR="00DF115A" w:rsidRPr="00DF115A" w:rsidRDefault="00DF115A" w:rsidP="00DF115A">
            <w:pPr>
              <w:pStyle w:val="TableRowCentered"/>
              <w:numPr>
                <w:ilvl w:val="0"/>
                <w:numId w:val="19"/>
              </w:numPr>
              <w:jc w:val="left"/>
              <w:rPr>
                <w:sz w:val="22"/>
              </w:rPr>
            </w:pPr>
            <w:r>
              <w:rPr>
                <w:sz w:val="22"/>
              </w:rPr>
              <w:t xml:space="preserve"> </w:t>
            </w:r>
            <w:hyperlink r:id="rId8" w:history="1">
              <w:r>
                <w:rPr>
                  <w:rStyle w:val="Hyperlink"/>
                  <w:sz w:val="22"/>
                </w:rPr>
                <w:t>Small-group-tuition</w:t>
              </w:r>
            </w:hyperlink>
          </w:p>
          <w:p w14:paraId="335FBAB9" w14:textId="77777777" w:rsidR="00DF115A" w:rsidRDefault="00DF115A" w:rsidP="00DF115A">
            <w:pPr>
              <w:pStyle w:val="TableRowCentered"/>
              <w:ind w:left="777"/>
              <w:jc w:val="left"/>
              <w:rPr>
                <w:sz w:val="22"/>
              </w:rPr>
            </w:pPr>
          </w:p>
          <w:p w14:paraId="6FB0E349" w14:textId="6A2F843D" w:rsidR="00DF115A" w:rsidRDefault="00DF115A" w:rsidP="00DF115A">
            <w:pPr>
              <w:pStyle w:val="TableRowCentered"/>
              <w:numPr>
                <w:ilvl w:val="0"/>
                <w:numId w:val="18"/>
              </w:numPr>
              <w:jc w:val="left"/>
              <w:rPr>
                <w:sz w:val="22"/>
              </w:rPr>
            </w:pPr>
            <w:hyperlink r:id="rId9" w:history="1">
              <w:r>
                <w:rPr>
                  <w:rStyle w:val="Hyperlink"/>
                  <w:sz w:val="22"/>
                </w:rPr>
                <w:t>Reading Comprehension Strategies</w:t>
              </w:r>
            </w:hyperlink>
          </w:p>
          <w:p w14:paraId="3BF115E4" w14:textId="2AE19DBA" w:rsidR="00064342" w:rsidRDefault="00064342" w:rsidP="00064342">
            <w:pPr>
              <w:pStyle w:val="TableRowCentered"/>
              <w:jc w:val="left"/>
              <w:rPr>
                <w:sz w:val="22"/>
              </w:rPr>
            </w:pPr>
          </w:p>
          <w:p w14:paraId="2C6CB081" w14:textId="3E38B8BD" w:rsidR="00064342" w:rsidRDefault="00064342" w:rsidP="00064342">
            <w:pPr>
              <w:pStyle w:val="TableRowCentered"/>
              <w:numPr>
                <w:ilvl w:val="0"/>
                <w:numId w:val="18"/>
              </w:numPr>
              <w:jc w:val="left"/>
              <w:rPr>
                <w:sz w:val="22"/>
              </w:rPr>
            </w:pPr>
            <w:hyperlink r:id="rId10" w:history="1">
              <w:r>
                <w:rPr>
                  <w:rStyle w:val="Hyperlink"/>
                  <w:sz w:val="22"/>
                </w:rPr>
                <w:t>Teaching-assistant-interventions</w:t>
              </w:r>
            </w:hyperlink>
          </w:p>
          <w:p w14:paraId="54C47EDC" w14:textId="36A9C397" w:rsidR="00064342" w:rsidRDefault="00064342" w:rsidP="00064342">
            <w:pPr>
              <w:ind w:left="720" w:hanging="360"/>
              <w:rPr>
                <w:sz w:val="22"/>
              </w:rPr>
            </w:pPr>
          </w:p>
          <w:p w14:paraId="19648569" w14:textId="405EDE11" w:rsidR="00C74460" w:rsidRPr="00C74460" w:rsidRDefault="00C74460" w:rsidP="00C74460">
            <w:pPr>
              <w:pStyle w:val="ListParagraph"/>
              <w:numPr>
                <w:ilvl w:val="0"/>
                <w:numId w:val="18"/>
              </w:numPr>
              <w:rPr>
                <w:sz w:val="22"/>
              </w:rPr>
            </w:pPr>
            <w:hyperlink r:id="rId11" w:history="1">
              <w:r w:rsidRPr="00C74460">
                <w:rPr>
                  <w:rStyle w:val="Hyperlink"/>
                  <w:sz w:val="22"/>
                </w:rPr>
                <w:t>Oral-language-interventions</w:t>
              </w:r>
            </w:hyperlink>
          </w:p>
          <w:p w14:paraId="58C3550B" w14:textId="1A61AA77" w:rsidR="00C74460" w:rsidRDefault="00C74460" w:rsidP="00C74460">
            <w:pPr>
              <w:pStyle w:val="TableRowCentered"/>
              <w:numPr>
                <w:ilvl w:val="0"/>
                <w:numId w:val="18"/>
              </w:numPr>
              <w:jc w:val="left"/>
              <w:rPr>
                <w:sz w:val="22"/>
              </w:rPr>
            </w:pPr>
            <w:hyperlink r:id="rId12" w:history="1">
              <w:r>
                <w:rPr>
                  <w:rStyle w:val="Hyperlink"/>
                  <w:sz w:val="22"/>
                </w:rPr>
                <w:t>Mastery Learning</w:t>
              </w:r>
            </w:hyperlink>
          </w:p>
          <w:p w14:paraId="1AA89BD6" w14:textId="4EB5994C" w:rsidR="00C74460" w:rsidRDefault="00C74460" w:rsidP="00707151">
            <w:pPr>
              <w:pStyle w:val="TableRowCentered"/>
              <w:ind w:left="0"/>
              <w:jc w:val="left"/>
              <w:rPr>
                <w:sz w:val="22"/>
              </w:rPr>
            </w:pPr>
          </w:p>
          <w:p w14:paraId="5FC24B40" w14:textId="361BE3B9" w:rsidR="00C74460" w:rsidRDefault="00707151" w:rsidP="00707151">
            <w:pPr>
              <w:pStyle w:val="ListParagraph"/>
              <w:numPr>
                <w:ilvl w:val="0"/>
                <w:numId w:val="18"/>
              </w:numPr>
              <w:rPr>
                <w:sz w:val="22"/>
              </w:rPr>
            </w:pPr>
            <w:hyperlink r:id="rId13" w:history="1">
              <w:r>
                <w:rPr>
                  <w:rStyle w:val="Hyperlink"/>
                  <w:sz w:val="22"/>
                </w:rPr>
                <w:t>Feedback</w:t>
              </w:r>
            </w:hyperlink>
          </w:p>
          <w:p w14:paraId="2E24C8A2" w14:textId="77777777" w:rsidR="001379A9" w:rsidRPr="001379A9" w:rsidRDefault="001379A9" w:rsidP="001379A9">
            <w:pPr>
              <w:pStyle w:val="ListParagraph"/>
              <w:numPr>
                <w:ilvl w:val="0"/>
                <w:numId w:val="0"/>
              </w:numPr>
              <w:ind w:left="720"/>
              <w:rPr>
                <w:sz w:val="22"/>
              </w:rPr>
            </w:pPr>
          </w:p>
          <w:p w14:paraId="5299AF8E" w14:textId="2C70395D" w:rsidR="00707151" w:rsidRDefault="001379A9" w:rsidP="001379A9">
            <w:pPr>
              <w:pStyle w:val="ListParagraph"/>
              <w:numPr>
                <w:ilvl w:val="0"/>
                <w:numId w:val="18"/>
              </w:numPr>
              <w:rPr>
                <w:sz w:val="22"/>
              </w:rPr>
            </w:pPr>
            <w:hyperlink r:id="rId14" w:history="1">
              <w:r>
                <w:rPr>
                  <w:rStyle w:val="Hyperlink"/>
                  <w:sz w:val="22"/>
                </w:rPr>
                <w:t>Collaborative Learning Approaches</w:t>
              </w:r>
            </w:hyperlink>
          </w:p>
          <w:p w14:paraId="2C5668B8" w14:textId="77777777" w:rsidR="001379A9" w:rsidRPr="00C74460" w:rsidRDefault="001379A9" w:rsidP="00C74460">
            <w:pPr>
              <w:pStyle w:val="ListParagraph"/>
              <w:numPr>
                <w:ilvl w:val="0"/>
                <w:numId w:val="0"/>
              </w:numPr>
              <w:ind w:left="720"/>
              <w:rPr>
                <w:sz w:val="22"/>
              </w:rPr>
            </w:pPr>
          </w:p>
          <w:p w14:paraId="2A7D551B" w14:textId="505533CB" w:rsidR="00DF115A" w:rsidRDefault="00DF115A" w:rsidP="00DF115A">
            <w:pPr>
              <w:pStyle w:val="TableRowCentered"/>
              <w:ind w:left="777"/>
              <w:jc w:val="left"/>
              <w:rPr>
                <w:sz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18473DFF" w:rsidR="00B21473" w:rsidRDefault="00DF115A" w:rsidP="00707151">
            <w:pPr>
              <w:pStyle w:val="TableRowCentered"/>
              <w:jc w:val="left"/>
              <w:rPr>
                <w:sz w:val="22"/>
              </w:rPr>
            </w:pPr>
            <w:r>
              <w:rPr>
                <w:sz w:val="22"/>
              </w:rPr>
              <w:t>1</w:t>
            </w:r>
            <w:r w:rsidR="00707151">
              <w:rPr>
                <w:sz w:val="22"/>
              </w:rPr>
              <w:t>, 2, 3, 4, 5.</w:t>
            </w:r>
          </w:p>
        </w:tc>
      </w:tr>
      <w:tr w:rsidR="00E66558" w14:paraId="2A7D5521" w14:textId="77777777" w:rsidTr="00DF115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0A084" w14:textId="47AB1B7F" w:rsidR="00B01CC6" w:rsidRPr="00B01CC6" w:rsidRDefault="00712813" w:rsidP="00B01CC6">
            <w:pPr>
              <w:pStyle w:val="TableRow"/>
              <w:ind w:left="0"/>
              <w:rPr>
                <w:b/>
                <w:bCs/>
                <w:iCs/>
                <w:sz w:val="22"/>
              </w:rPr>
            </w:pPr>
            <w:r>
              <w:rPr>
                <w:b/>
                <w:bCs/>
                <w:iCs/>
                <w:sz w:val="22"/>
              </w:rPr>
              <w:t>Little Wandle Phonics Scheme including KS2 Rapid catch up programme.</w:t>
            </w:r>
          </w:p>
          <w:p w14:paraId="2A7D551E" w14:textId="35868207" w:rsidR="00B01CC6" w:rsidRPr="00B01CC6" w:rsidRDefault="00F426F7" w:rsidP="00B01CC6">
            <w:pPr>
              <w:pStyle w:val="TableRow"/>
              <w:ind w:left="0"/>
              <w:rPr>
                <w:iCs/>
                <w:sz w:val="22"/>
              </w:rPr>
            </w:pPr>
            <w:r>
              <w:rPr>
                <w:iCs/>
                <w:sz w:val="22"/>
              </w:rPr>
              <w:t>Continue to work with the English Hub as a partner school, with a teacher and TA focussed on intervention and daily teaching and learning practice across school.</w:t>
            </w:r>
          </w:p>
        </w:tc>
        <w:tc>
          <w:tcPr>
            <w:tcW w:w="5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52A2A" w14:textId="5BE68C7D" w:rsidR="00064342" w:rsidRDefault="00B01CC6" w:rsidP="00B01CC6">
            <w:pPr>
              <w:pStyle w:val="TableRowCentered"/>
              <w:ind w:left="0"/>
              <w:jc w:val="left"/>
              <w:rPr>
                <w:sz w:val="22"/>
              </w:rPr>
            </w:pPr>
            <w:r>
              <w:rPr>
                <w:sz w:val="22"/>
              </w:rPr>
              <w:t>EEF Teaching Toolkit</w:t>
            </w:r>
          </w:p>
          <w:p w14:paraId="4FDE5FA7" w14:textId="77777777" w:rsidR="00B01CC6" w:rsidRDefault="00B01CC6" w:rsidP="00B21473">
            <w:pPr>
              <w:pStyle w:val="TableRowCentered"/>
              <w:ind w:left="0"/>
              <w:jc w:val="left"/>
              <w:rPr>
                <w:sz w:val="22"/>
              </w:rPr>
            </w:pPr>
          </w:p>
          <w:p w14:paraId="17E102C6" w14:textId="77777777" w:rsidR="00B01CC6" w:rsidRDefault="00B01CC6" w:rsidP="00B01CC6">
            <w:pPr>
              <w:pStyle w:val="TableRowCentered"/>
              <w:numPr>
                <w:ilvl w:val="0"/>
                <w:numId w:val="19"/>
              </w:numPr>
              <w:jc w:val="left"/>
              <w:rPr>
                <w:sz w:val="22"/>
              </w:rPr>
            </w:pPr>
            <w:hyperlink r:id="rId15" w:history="1">
              <w:r>
                <w:rPr>
                  <w:rStyle w:val="Hyperlink"/>
                  <w:sz w:val="22"/>
                </w:rPr>
                <w:t>Phonics</w:t>
              </w:r>
            </w:hyperlink>
          </w:p>
          <w:p w14:paraId="2A7D551F" w14:textId="23415FCC" w:rsidR="00064342" w:rsidRDefault="00064342">
            <w:pPr>
              <w:pStyle w:val="TableRowCentered"/>
              <w:jc w:val="left"/>
              <w:rPr>
                <w:sz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A5AC768" w:rsidR="00B21473" w:rsidRDefault="00B01CC6" w:rsidP="00707151">
            <w:pPr>
              <w:pStyle w:val="TableRowCentered"/>
              <w:jc w:val="left"/>
              <w:rPr>
                <w:sz w:val="22"/>
              </w:rPr>
            </w:pPr>
            <w:r>
              <w:rPr>
                <w:sz w:val="22"/>
              </w:rPr>
              <w:t>1</w:t>
            </w:r>
            <w:r w:rsidR="00707151">
              <w:rPr>
                <w:sz w:val="22"/>
              </w:rPr>
              <w:t>, 2, 5.</w:t>
            </w:r>
          </w:p>
        </w:tc>
      </w:tr>
      <w:tr w:rsidR="00B67A51" w14:paraId="0BB5382F" w14:textId="77777777" w:rsidTr="00DF115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FB012" w14:textId="77777777" w:rsidR="00064342" w:rsidRDefault="00B01CC6" w:rsidP="00064342">
            <w:pPr>
              <w:pStyle w:val="TableRow"/>
              <w:ind w:left="0"/>
              <w:rPr>
                <w:b/>
                <w:bCs/>
                <w:iCs/>
                <w:sz w:val="22"/>
              </w:rPr>
            </w:pPr>
            <w:r w:rsidRPr="00B01CC6">
              <w:rPr>
                <w:b/>
                <w:bCs/>
                <w:iCs/>
                <w:sz w:val="22"/>
              </w:rPr>
              <w:t>Pathways to Read</w:t>
            </w:r>
          </w:p>
          <w:p w14:paraId="62A48344" w14:textId="16492421" w:rsidR="00712813" w:rsidRPr="00712813" w:rsidRDefault="00712813" w:rsidP="00064342">
            <w:pPr>
              <w:pStyle w:val="TableRow"/>
              <w:ind w:left="0"/>
              <w:rPr>
                <w:iCs/>
                <w:sz w:val="22"/>
              </w:rPr>
            </w:pPr>
            <w:r w:rsidRPr="00712813">
              <w:rPr>
                <w:iCs/>
                <w:sz w:val="22"/>
              </w:rPr>
              <w:t>Purchase updated materials which focus on developing fluency.</w:t>
            </w:r>
          </w:p>
          <w:p w14:paraId="2C87EC38" w14:textId="7FB07E0C" w:rsidR="00B01CC6" w:rsidRPr="00B01CC6" w:rsidRDefault="00B01CC6" w:rsidP="00064342">
            <w:pPr>
              <w:pStyle w:val="TableRow"/>
              <w:ind w:left="0"/>
              <w:rPr>
                <w:iCs/>
                <w:sz w:val="22"/>
              </w:rPr>
            </w:pPr>
            <w:r w:rsidRPr="00B01CC6">
              <w:rPr>
                <w:iCs/>
                <w:sz w:val="22"/>
              </w:rPr>
              <w:t xml:space="preserve">All staff to complete refresher </w:t>
            </w:r>
            <w:r w:rsidR="00C74460">
              <w:rPr>
                <w:iCs/>
                <w:sz w:val="22"/>
              </w:rPr>
              <w:t>training as appropriate. New staff to complete year group training with The Literacy Company.</w:t>
            </w:r>
            <w:r w:rsidRPr="00B01CC6">
              <w:rPr>
                <w:iCs/>
                <w:sz w:val="22"/>
              </w:rPr>
              <w:t xml:space="preserve"> </w:t>
            </w:r>
          </w:p>
          <w:p w14:paraId="3171BE04" w14:textId="43472F0D" w:rsidR="00D202DC" w:rsidRDefault="00712813" w:rsidP="00064342">
            <w:pPr>
              <w:pStyle w:val="TableRow"/>
              <w:ind w:left="0"/>
              <w:rPr>
                <w:b/>
                <w:bCs/>
                <w:iCs/>
                <w:sz w:val="22"/>
              </w:rPr>
            </w:pPr>
            <w:r>
              <w:rPr>
                <w:b/>
                <w:bCs/>
                <w:iCs/>
                <w:sz w:val="22"/>
              </w:rPr>
              <w:t>Maths</w:t>
            </w:r>
          </w:p>
          <w:p w14:paraId="08F0133A" w14:textId="4A090523" w:rsidR="00D202DC" w:rsidRDefault="00D202DC" w:rsidP="00064342">
            <w:pPr>
              <w:pStyle w:val="TableRow"/>
              <w:ind w:left="0"/>
              <w:rPr>
                <w:iCs/>
                <w:sz w:val="22"/>
              </w:rPr>
            </w:pPr>
            <w:r w:rsidRPr="00D202DC">
              <w:rPr>
                <w:iCs/>
                <w:sz w:val="22"/>
              </w:rPr>
              <w:t xml:space="preserve">Purchase and use of </w:t>
            </w:r>
            <w:r w:rsidR="00712813">
              <w:rPr>
                <w:iCs/>
                <w:sz w:val="22"/>
              </w:rPr>
              <w:t>online resources to support teaching and learning</w:t>
            </w:r>
            <w:r w:rsidR="00F426F7">
              <w:rPr>
                <w:iCs/>
                <w:sz w:val="22"/>
              </w:rPr>
              <w:t xml:space="preserve"> – Power Maths. </w:t>
            </w:r>
          </w:p>
          <w:p w14:paraId="5C1966C4" w14:textId="3F5C96ED" w:rsidR="00D202DC" w:rsidRPr="00D202DC" w:rsidRDefault="00D202DC" w:rsidP="00064342">
            <w:pPr>
              <w:pStyle w:val="TableRow"/>
              <w:ind w:left="0"/>
              <w:rPr>
                <w:iCs/>
                <w:sz w:val="22"/>
              </w:rPr>
            </w:pPr>
            <w:r>
              <w:rPr>
                <w:iCs/>
                <w:sz w:val="22"/>
              </w:rPr>
              <w:t xml:space="preserve">Staff to attend subject specific </w:t>
            </w:r>
            <w:r>
              <w:rPr>
                <w:iCs/>
                <w:sz w:val="22"/>
              </w:rPr>
              <w:lastRenderedPageBreak/>
              <w:t>training for their year group.</w:t>
            </w:r>
          </w:p>
        </w:tc>
        <w:tc>
          <w:tcPr>
            <w:tcW w:w="5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4D2EE" w14:textId="30BB36E9" w:rsidR="00B67A51" w:rsidRDefault="00B21473" w:rsidP="00B21473">
            <w:pPr>
              <w:pStyle w:val="TableRowCentered"/>
              <w:ind w:left="0"/>
              <w:jc w:val="left"/>
              <w:rPr>
                <w:sz w:val="22"/>
              </w:rPr>
            </w:pPr>
            <w:r>
              <w:rPr>
                <w:sz w:val="22"/>
              </w:rPr>
              <w:lastRenderedPageBreak/>
              <w:t>EEF Teaching Toolkit</w:t>
            </w:r>
          </w:p>
          <w:p w14:paraId="348A6ADA" w14:textId="77777777" w:rsidR="00B21473" w:rsidRDefault="00B21473">
            <w:pPr>
              <w:pStyle w:val="TableRowCentered"/>
              <w:jc w:val="left"/>
              <w:rPr>
                <w:sz w:val="22"/>
              </w:rPr>
            </w:pPr>
          </w:p>
          <w:p w14:paraId="3CA58E64" w14:textId="4FEB4696" w:rsidR="00B21473" w:rsidRDefault="00B21473" w:rsidP="00B21473">
            <w:pPr>
              <w:pStyle w:val="TableRowCentered"/>
              <w:numPr>
                <w:ilvl w:val="0"/>
                <w:numId w:val="19"/>
              </w:numPr>
              <w:jc w:val="left"/>
              <w:rPr>
                <w:sz w:val="22"/>
              </w:rPr>
            </w:pPr>
            <w:hyperlink r:id="rId16" w:history="1">
              <w:r>
                <w:rPr>
                  <w:rStyle w:val="Hyperlink"/>
                  <w:sz w:val="22"/>
                </w:rPr>
                <w:t>Mastery-learning</w:t>
              </w:r>
            </w:hyperlink>
            <w:r>
              <w:rPr>
                <w:sz w:val="22"/>
              </w:rPr>
              <w:t xml:space="preserve">  </w:t>
            </w:r>
          </w:p>
          <w:p w14:paraId="0FFFD9F0" w14:textId="77777777" w:rsidR="00B21473" w:rsidRDefault="00B21473" w:rsidP="00B21473">
            <w:pPr>
              <w:pStyle w:val="TableRowCentered"/>
              <w:ind w:left="780"/>
              <w:jc w:val="left"/>
              <w:rPr>
                <w:sz w:val="22"/>
              </w:rPr>
            </w:pPr>
          </w:p>
          <w:p w14:paraId="5B15019A" w14:textId="77777777" w:rsidR="00B21473" w:rsidRDefault="00B21473" w:rsidP="00B21473">
            <w:pPr>
              <w:pStyle w:val="TableRowCentered"/>
              <w:numPr>
                <w:ilvl w:val="0"/>
                <w:numId w:val="19"/>
              </w:numPr>
              <w:jc w:val="left"/>
              <w:rPr>
                <w:sz w:val="22"/>
              </w:rPr>
            </w:pPr>
            <w:hyperlink r:id="rId17" w:history="1">
              <w:r>
                <w:rPr>
                  <w:rStyle w:val="Hyperlink"/>
                  <w:sz w:val="22"/>
                </w:rPr>
                <w:t>Reading Comprehension Strategies</w:t>
              </w:r>
            </w:hyperlink>
          </w:p>
          <w:p w14:paraId="7EDF643A" w14:textId="77777777" w:rsidR="00B21473" w:rsidRDefault="00B21473" w:rsidP="00B21473">
            <w:pPr>
              <w:pStyle w:val="TableRowCentered"/>
              <w:ind w:left="780"/>
              <w:jc w:val="left"/>
              <w:rPr>
                <w:sz w:val="22"/>
              </w:rPr>
            </w:pPr>
          </w:p>
          <w:p w14:paraId="1A1E40F9" w14:textId="77777777" w:rsidR="00B21473" w:rsidRDefault="00B21473">
            <w:pPr>
              <w:pStyle w:val="TableRowCentered"/>
              <w:jc w:val="left"/>
              <w:rPr>
                <w:sz w:val="22"/>
              </w:rPr>
            </w:pPr>
          </w:p>
          <w:p w14:paraId="55884278" w14:textId="0AF2A7DB" w:rsidR="00B21473" w:rsidRDefault="00B21473">
            <w:pPr>
              <w:pStyle w:val="TableRowCentered"/>
              <w:jc w:val="left"/>
              <w:rPr>
                <w:sz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AEA8E" w14:textId="0BA6D58A" w:rsidR="00B21473" w:rsidRDefault="00B21473" w:rsidP="00707151">
            <w:pPr>
              <w:pStyle w:val="TableRowCentered"/>
              <w:jc w:val="left"/>
              <w:rPr>
                <w:sz w:val="22"/>
              </w:rPr>
            </w:pPr>
            <w:r>
              <w:rPr>
                <w:sz w:val="22"/>
              </w:rPr>
              <w:t>1</w:t>
            </w:r>
            <w:r w:rsidR="00707151">
              <w:rPr>
                <w:sz w:val="22"/>
              </w:rPr>
              <w:t>, 2, 5.</w:t>
            </w:r>
          </w:p>
        </w:tc>
      </w:tr>
      <w:tr w:rsidR="00B21473" w14:paraId="512AD701" w14:textId="77777777" w:rsidTr="00DF115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7457" w14:textId="77777777" w:rsidR="00B21473" w:rsidRDefault="00B21473" w:rsidP="00064342">
            <w:pPr>
              <w:pStyle w:val="TableRow"/>
              <w:ind w:left="0"/>
              <w:rPr>
                <w:b/>
                <w:bCs/>
                <w:iCs/>
                <w:sz w:val="22"/>
              </w:rPr>
            </w:pPr>
            <w:r>
              <w:rPr>
                <w:b/>
                <w:bCs/>
                <w:iCs/>
                <w:sz w:val="22"/>
              </w:rPr>
              <w:t>Oracy</w:t>
            </w:r>
          </w:p>
          <w:p w14:paraId="365B8243" w14:textId="3D8D1464" w:rsidR="00B21473" w:rsidRDefault="00B21473" w:rsidP="00064342">
            <w:pPr>
              <w:pStyle w:val="TableRow"/>
              <w:ind w:left="0"/>
              <w:rPr>
                <w:iCs/>
                <w:sz w:val="22"/>
              </w:rPr>
            </w:pPr>
            <w:r>
              <w:rPr>
                <w:iCs/>
                <w:sz w:val="22"/>
              </w:rPr>
              <w:t>Whole school focus on oracy as part of teaching and learning strategy.</w:t>
            </w:r>
          </w:p>
          <w:p w14:paraId="58594444" w14:textId="77777777" w:rsidR="00B21473" w:rsidRDefault="00B21473" w:rsidP="00064342">
            <w:pPr>
              <w:pStyle w:val="TableRow"/>
              <w:ind w:left="0"/>
              <w:rPr>
                <w:iCs/>
                <w:sz w:val="22"/>
              </w:rPr>
            </w:pPr>
            <w:r>
              <w:rPr>
                <w:iCs/>
                <w:sz w:val="22"/>
              </w:rPr>
              <w:t>Links to Voice 21 strategies.</w:t>
            </w:r>
          </w:p>
          <w:p w14:paraId="1C55E448" w14:textId="60EAE656" w:rsidR="00B21473" w:rsidRDefault="00F426F7" w:rsidP="00064342">
            <w:pPr>
              <w:pStyle w:val="TableRow"/>
              <w:ind w:left="0"/>
              <w:rPr>
                <w:iCs/>
                <w:sz w:val="22"/>
              </w:rPr>
            </w:pPr>
            <w:r>
              <w:rPr>
                <w:iCs/>
                <w:sz w:val="22"/>
              </w:rPr>
              <w:t xml:space="preserve">Purchase of Chatty Toolbox and whole staff training. </w:t>
            </w:r>
          </w:p>
          <w:p w14:paraId="6646CABC" w14:textId="7F4DF72C" w:rsidR="00D202DC" w:rsidRPr="00B21473" w:rsidRDefault="00D202DC" w:rsidP="00064342">
            <w:pPr>
              <w:pStyle w:val="TableRow"/>
              <w:ind w:left="0"/>
              <w:rPr>
                <w:iCs/>
                <w:sz w:val="22"/>
              </w:rPr>
            </w:pPr>
            <w:r>
              <w:rPr>
                <w:iCs/>
                <w:sz w:val="22"/>
              </w:rPr>
              <w:t>Use of Widget Online to support learning for SEN.</w:t>
            </w:r>
          </w:p>
        </w:tc>
        <w:tc>
          <w:tcPr>
            <w:tcW w:w="5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6349" w14:textId="68541332" w:rsidR="00B21473" w:rsidRDefault="00B21473" w:rsidP="00B21473">
            <w:pPr>
              <w:pStyle w:val="TableRowCentered"/>
              <w:ind w:left="0"/>
              <w:jc w:val="left"/>
              <w:rPr>
                <w:sz w:val="22"/>
              </w:rPr>
            </w:pPr>
            <w:r>
              <w:rPr>
                <w:sz w:val="22"/>
              </w:rPr>
              <w:t>EEF Teaching Toolkit</w:t>
            </w:r>
          </w:p>
          <w:p w14:paraId="7C716151" w14:textId="24AF5FCE" w:rsidR="00B21473" w:rsidRDefault="00B21473" w:rsidP="00B21473">
            <w:pPr>
              <w:pStyle w:val="TableRowCentered"/>
              <w:ind w:left="0"/>
              <w:jc w:val="left"/>
              <w:rPr>
                <w:sz w:val="22"/>
              </w:rPr>
            </w:pPr>
          </w:p>
          <w:p w14:paraId="76FB3394" w14:textId="19E37479" w:rsidR="00B21473" w:rsidRDefault="00B21473" w:rsidP="00B21473">
            <w:pPr>
              <w:pStyle w:val="TableRowCentered"/>
              <w:numPr>
                <w:ilvl w:val="0"/>
                <w:numId w:val="22"/>
              </w:numPr>
              <w:jc w:val="left"/>
              <w:rPr>
                <w:sz w:val="22"/>
              </w:rPr>
            </w:pPr>
            <w:hyperlink r:id="rId18" w:history="1">
              <w:r>
                <w:rPr>
                  <w:rStyle w:val="Hyperlink"/>
                  <w:sz w:val="22"/>
                </w:rPr>
                <w:t>Oral-language-interventions</w:t>
              </w:r>
            </w:hyperlink>
            <w:r>
              <w:rPr>
                <w:sz w:val="22"/>
              </w:rPr>
              <w:t xml:space="preserve">   </w:t>
            </w:r>
          </w:p>
          <w:p w14:paraId="1D85B23E" w14:textId="352C277E" w:rsidR="00B21473" w:rsidRDefault="00B21473" w:rsidP="009663A9">
            <w:pPr>
              <w:pStyle w:val="TableRowCentered"/>
              <w:ind w:left="360"/>
              <w:jc w:val="left"/>
              <w:rPr>
                <w:sz w:val="22"/>
              </w:rPr>
            </w:pPr>
          </w:p>
          <w:p w14:paraId="79F3ED81" w14:textId="1DEB5AD0" w:rsidR="009663A9" w:rsidRDefault="009663A9" w:rsidP="009663A9">
            <w:pPr>
              <w:pStyle w:val="TableRowCentered"/>
              <w:ind w:left="360"/>
              <w:jc w:val="left"/>
              <w:rPr>
                <w:sz w:val="22"/>
              </w:rPr>
            </w:pPr>
          </w:p>
          <w:p w14:paraId="1D0B3607" w14:textId="426EB80C" w:rsidR="009663A9" w:rsidRDefault="009663A9" w:rsidP="009663A9">
            <w:pPr>
              <w:pStyle w:val="TableRowCentered"/>
              <w:numPr>
                <w:ilvl w:val="0"/>
                <w:numId w:val="22"/>
              </w:numPr>
              <w:jc w:val="left"/>
              <w:rPr>
                <w:sz w:val="22"/>
              </w:rPr>
            </w:pPr>
            <w:hyperlink r:id="rId19" w:history="1">
              <w:r w:rsidRPr="006D1E18">
                <w:rPr>
                  <w:rStyle w:val="Hyperlink"/>
                  <w:sz w:val="22"/>
                </w:rPr>
                <w:t>https://voice21.org/impact-report-2021</w:t>
              </w:r>
            </w:hyperlink>
          </w:p>
          <w:p w14:paraId="2C978C23" w14:textId="4CE7E425" w:rsidR="009663A9" w:rsidRDefault="009663A9" w:rsidP="009663A9">
            <w:pPr>
              <w:pStyle w:val="TableRowCentered"/>
              <w:jc w:val="left"/>
              <w:rPr>
                <w:sz w:val="22"/>
              </w:rPr>
            </w:pPr>
          </w:p>
          <w:p w14:paraId="44DC7A32" w14:textId="77777777" w:rsidR="00B21473" w:rsidRDefault="00B21473" w:rsidP="00C74460">
            <w:pPr>
              <w:pStyle w:val="TableRowCentered"/>
              <w:ind w:left="0"/>
              <w:jc w:val="left"/>
              <w:rPr>
                <w:sz w:val="22"/>
              </w:rPr>
            </w:pP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9938" w14:textId="6CCFA2E1" w:rsidR="00B21473" w:rsidRDefault="00BA19DB">
            <w:pPr>
              <w:pStyle w:val="TableRowCentered"/>
              <w:jc w:val="left"/>
              <w:rPr>
                <w:sz w:val="22"/>
              </w:rPr>
            </w:pPr>
            <w:r>
              <w:rPr>
                <w:sz w:val="22"/>
              </w:rPr>
              <w:t>1, 2, 3, 5.</w:t>
            </w:r>
          </w:p>
        </w:tc>
      </w:tr>
      <w:tr w:rsidR="00BA19DB" w14:paraId="55DDBE8A" w14:textId="77777777" w:rsidTr="00DF115A">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892" w14:textId="77777777" w:rsidR="00BA19DB" w:rsidRDefault="00BA19DB" w:rsidP="00064342">
            <w:pPr>
              <w:pStyle w:val="TableRow"/>
              <w:ind w:left="0"/>
              <w:rPr>
                <w:b/>
                <w:bCs/>
                <w:iCs/>
                <w:sz w:val="22"/>
              </w:rPr>
            </w:pPr>
            <w:r>
              <w:rPr>
                <w:b/>
                <w:bCs/>
                <w:iCs/>
                <w:sz w:val="22"/>
              </w:rPr>
              <w:t>Metacognition</w:t>
            </w:r>
          </w:p>
          <w:p w14:paraId="6C13AC7B" w14:textId="49CCED35" w:rsidR="00F11197" w:rsidRDefault="00BA19DB" w:rsidP="00064342">
            <w:pPr>
              <w:pStyle w:val="TableRow"/>
              <w:ind w:left="0"/>
              <w:rPr>
                <w:iCs/>
                <w:sz w:val="22"/>
              </w:rPr>
            </w:pPr>
            <w:r>
              <w:rPr>
                <w:iCs/>
                <w:sz w:val="22"/>
              </w:rPr>
              <w:t>Further training for staff in metacognition</w:t>
            </w:r>
            <w:r w:rsidR="00F11197">
              <w:rPr>
                <w:iCs/>
                <w:sz w:val="22"/>
              </w:rPr>
              <w:t xml:space="preserve"> – whole school and individual training.</w:t>
            </w:r>
          </w:p>
          <w:p w14:paraId="1A0C2275" w14:textId="1D0C6BB8" w:rsidR="00BA19DB" w:rsidRDefault="00BA19DB" w:rsidP="00064342">
            <w:pPr>
              <w:pStyle w:val="TableRow"/>
              <w:ind w:left="0"/>
              <w:rPr>
                <w:iCs/>
                <w:sz w:val="22"/>
              </w:rPr>
            </w:pPr>
            <w:r>
              <w:rPr>
                <w:iCs/>
                <w:sz w:val="22"/>
              </w:rPr>
              <w:t>Focus on strategies used in teaching and learning,</w:t>
            </w:r>
            <w:r w:rsidR="001379A9">
              <w:rPr>
                <w:iCs/>
                <w:sz w:val="22"/>
              </w:rPr>
              <w:t xml:space="preserve"> including narrative through the curriculum approaches.</w:t>
            </w:r>
          </w:p>
          <w:p w14:paraId="4E062F08" w14:textId="08BE4C9E" w:rsidR="00F11197" w:rsidRPr="00BA19DB" w:rsidRDefault="00F11197" w:rsidP="00064342">
            <w:pPr>
              <w:pStyle w:val="TableRow"/>
              <w:ind w:left="0"/>
              <w:rPr>
                <w:iCs/>
                <w:sz w:val="22"/>
              </w:rPr>
            </w:pPr>
            <w:r>
              <w:rPr>
                <w:iCs/>
                <w:sz w:val="22"/>
              </w:rPr>
              <w:t>SEN CPD for whole staff – supporting inclusion, differentiation and assessment to develop mastery teaching</w:t>
            </w:r>
            <w:r w:rsidR="00712813">
              <w:rPr>
                <w:iCs/>
                <w:sz w:val="22"/>
              </w:rPr>
              <w:t>.</w:t>
            </w:r>
          </w:p>
        </w:tc>
        <w:tc>
          <w:tcPr>
            <w:tcW w:w="5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5A080" w14:textId="77777777" w:rsidR="00BA19DB" w:rsidRDefault="00BA19DB" w:rsidP="00BA19DB">
            <w:pPr>
              <w:pStyle w:val="TableRowCentered"/>
              <w:ind w:left="0"/>
              <w:jc w:val="left"/>
              <w:rPr>
                <w:sz w:val="22"/>
              </w:rPr>
            </w:pPr>
            <w:r>
              <w:rPr>
                <w:sz w:val="22"/>
              </w:rPr>
              <w:t>EEF Teaching Toolkit</w:t>
            </w:r>
          </w:p>
          <w:p w14:paraId="04D2089E" w14:textId="77777777" w:rsidR="00BA19DB" w:rsidRDefault="00BA19DB" w:rsidP="00B21473">
            <w:pPr>
              <w:pStyle w:val="TableRowCentered"/>
              <w:ind w:left="0"/>
              <w:jc w:val="left"/>
              <w:rPr>
                <w:sz w:val="22"/>
              </w:rPr>
            </w:pPr>
          </w:p>
          <w:p w14:paraId="3AF65307" w14:textId="4E58B68D" w:rsidR="00BA19DB" w:rsidRDefault="00BA19DB" w:rsidP="00F11197">
            <w:pPr>
              <w:pStyle w:val="TableRowCentered"/>
              <w:numPr>
                <w:ilvl w:val="0"/>
                <w:numId w:val="23"/>
              </w:numPr>
              <w:jc w:val="left"/>
              <w:rPr>
                <w:sz w:val="22"/>
              </w:rPr>
            </w:pPr>
            <w:hyperlink r:id="rId20" w:history="1">
              <w:r>
                <w:rPr>
                  <w:rStyle w:val="Hyperlink"/>
                  <w:sz w:val="22"/>
                </w:rPr>
                <w:t>Metacognition-and-self-regulation</w:t>
              </w:r>
            </w:hyperlink>
            <w:r>
              <w:rPr>
                <w:sz w:val="22"/>
              </w:rPr>
              <w:t xml:space="preserve">   </w:t>
            </w:r>
          </w:p>
          <w:p w14:paraId="3C602E7E" w14:textId="77777777" w:rsidR="00F11197" w:rsidRDefault="00F11197" w:rsidP="00F11197">
            <w:pPr>
              <w:pStyle w:val="TableRowCentered"/>
              <w:ind w:left="720"/>
              <w:jc w:val="left"/>
              <w:rPr>
                <w:sz w:val="22"/>
              </w:rPr>
            </w:pPr>
          </w:p>
          <w:p w14:paraId="54D018EA" w14:textId="77777777" w:rsidR="00F11197" w:rsidRDefault="00F11197" w:rsidP="00F11197">
            <w:pPr>
              <w:pStyle w:val="TableRowCentered"/>
              <w:numPr>
                <w:ilvl w:val="0"/>
                <w:numId w:val="23"/>
              </w:numPr>
              <w:jc w:val="left"/>
              <w:rPr>
                <w:sz w:val="22"/>
              </w:rPr>
            </w:pPr>
            <w:hyperlink r:id="rId21" w:history="1">
              <w:r>
                <w:rPr>
                  <w:rStyle w:val="Hyperlink"/>
                  <w:sz w:val="22"/>
                </w:rPr>
                <w:t>Mastery-learning</w:t>
              </w:r>
            </w:hyperlink>
            <w:r>
              <w:rPr>
                <w:sz w:val="22"/>
              </w:rPr>
              <w:t xml:space="preserve">  </w:t>
            </w:r>
          </w:p>
          <w:p w14:paraId="06F3DF74" w14:textId="77777777" w:rsidR="00F11197" w:rsidRDefault="00F11197" w:rsidP="00F11197">
            <w:pPr>
              <w:pStyle w:val="TableRowCentered"/>
              <w:ind w:left="720"/>
              <w:jc w:val="left"/>
              <w:rPr>
                <w:sz w:val="22"/>
              </w:rPr>
            </w:pPr>
          </w:p>
          <w:p w14:paraId="5E472B0F" w14:textId="127C006E" w:rsidR="00BA19DB" w:rsidRDefault="00BA19DB" w:rsidP="00B21473">
            <w:pPr>
              <w:pStyle w:val="TableRowCentered"/>
              <w:ind w:left="0"/>
              <w:jc w:val="left"/>
              <w:rPr>
                <w:sz w:val="22"/>
              </w:rPr>
            </w:pPr>
            <w:r>
              <w:rPr>
                <w:sz w:val="22"/>
              </w:rPr>
              <w:t xml:space="preserve"> </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BCBFE" w14:textId="682CE17B" w:rsidR="00BA19DB" w:rsidRDefault="00BA19DB">
            <w:pPr>
              <w:pStyle w:val="TableRowCentered"/>
              <w:jc w:val="left"/>
              <w:rPr>
                <w:sz w:val="22"/>
              </w:rPr>
            </w:pPr>
            <w:r>
              <w:rPr>
                <w:sz w:val="22"/>
              </w:rPr>
              <w:t>1, 2, 3, 5.</w:t>
            </w:r>
          </w:p>
        </w:tc>
      </w:tr>
    </w:tbl>
    <w:p w14:paraId="2A7D5522" w14:textId="77777777" w:rsidR="00E66558" w:rsidRDefault="00E66558">
      <w:pPr>
        <w:keepNext/>
        <w:spacing w:after="60"/>
        <w:outlineLvl w:val="1"/>
      </w:pPr>
    </w:p>
    <w:p w14:paraId="31A9C7D9" w14:textId="77777777" w:rsidR="00282D52" w:rsidRDefault="00282D52">
      <w:pPr>
        <w:rPr>
          <w:b/>
          <w:bCs/>
          <w:color w:val="104F75"/>
          <w:sz w:val="28"/>
          <w:szCs w:val="28"/>
        </w:rPr>
      </w:pPr>
    </w:p>
    <w:p w14:paraId="2A7D5523" w14:textId="05C3553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FB17588" w:rsidR="00E66558" w:rsidRDefault="009D71E8">
      <w:r>
        <w:t>Budgeted cost: £</w:t>
      </w:r>
      <w:r w:rsidR="00D202DC">
        <w:t>4</w:t>
      </w:r>
      <w:r w:rsidR="00E57BE1">
        <w:t>7,000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FEDC9" w14:textId="257296CB" w:rsidR="00623F9E" w:rsidRPr="00623F9E" w:rsidRDefault="00623F9E">
            <w:pPr>
              <w:pStyle w:val="TableRow"/>
              <w:rPr>
                <w:b/>
                <w:bCs/>
                <w:sz w:val="22"/>
                <w:szCs w:val="22"/>
              </w:rPr>
            </w:pPr>
            <w:r w:rsidRPr="00623F9E">
              <w:rPr>
                <w:b/>
                <w:bCs/>
                <w:sz w:val="22"/>
                <w:szCs w:val="22"/>
              </w:rPr>
              <w:lastRenderedPageBreak/>
              <w:t>Teaching Assistant led Interventions</w:t>
            </w:r>
          </w:p>
          <w:p w14:paraId="3D578595" w14:textId="77777777" w:rsidR="00623F9E" w:rsidRPr="00623F9E" w:rsidRDefault="00623F9E">
            <w:pPr>
              <w:pStyle w:val="TableRow"/>
              <w:rPr>
                <w:sz w:val="22"/>
                <w:szCs w:val="22"/>
              </w:rPr>
            </w:pPr>
            <w:r w:rsidRPr="00623F9E">
              <w:rPr>
                <w:sz w:val="22"/>
                <w:szCs w:val="22"/>
              </w:rPr>
              <w:t>Daily phonics interventions – follow up from teacher led interventions.</w:t>
            </w:r>
          </w:p>
          <w:p w14:paraId="75450AC0" w14:textId="77777777" w:rsidR="00E66558" w:rsidRDefault="00623F9E" w:rsidP="00623F9E">
            <w:pPr>
              <w:pStyle w:val="TableRow"/>
              <w:rPr>
                <w:i/>
                <w:iCs/>
                <w:sz w:val="22"/>
                <w:szCs w:val="22"/>
              </w:rPr>
            </w:pPr>
            <w:r w:rsidRPr="00623F9E">
              <w:rPr>
                <w:sz w:val="22"/>
                <w:szCs w:val="22"/>
              </w:rPr>
              <w:t>Daily maths and reading pre-teaching</w:t>
            </w:r>
            <w:r>
              <w:rPr>
                <w:sz w:val="22"/>
                <w:szCs w:val="22"/>
              </w:rPr>
              <w:t xml:space="preserve"> </w:t>
            </w:r>
            <w:r w:rsidRPr="00623F9E">
              <w:rPr>
                <w:sz w:val="22"/>
                <w:szCs w:val="22"/>
              </w:rPr>
              <w:t>and keep up interventions.</w:t>
            </w:r>
            <w:r w:rsidR="00B67A51">
              <w:rPr>
                <w:i/>
                <w:iCs/>
                <w:sz w:val="22"/>
                <w:szCs w:val="22"/>
              </w:rPr>
              <w:t xml:space="preserve"> </w:t>
            </w:r>
          </w:p>
          <w:p w14:paraId="6393B1A6" w14:textId="77777777" w:rsidR="00623F9E" w:rsidRDefault="00623F9E" w:rsidP="00623F9E">
            <w:pPr>
              <w:pStyle w:val="TableRow"/>
              <w:rPr>
                <w:sz w:val="22"/>
                <w:szCs w:val="22"/>
              </w:rPr>
            </w:pPr>
            <w:r>
              <w:rPr>
                <w:sz w:val="22"/>
                <w:szCs w:val="22"/>
              </w:rPr>
              <w:t>Daily emotional check-ins for specific children.</w:t>
            </w:r>
          </w:p>
          <w:p w14:paraId="1D40659C" w14:textId="77777777" w:rsidR="00707151" w:rsidRDefault="00707151" w:rsidP="00623F9E">
            <w:pPr>
              <w:pStyle w:val="TableRow"/>
              <w:rPr>
                <w:sz w:val="22"/>
                <w:szCs w:val="22"/>
              </w:rPr>
            </w:pPr>
            <w:r>
              <w:rPr>
                <w:sz w:val="22"/>
                <w:szCs w:val="22"/>
              </w:rPr>
              <w:t>Small intervention groups.</w:t>
            </w:r>
          </w:p>
          <w:p w14:paraId="4B98241D" w14:textId="77777777" w:rsidR="00707151" w:rsidRDefault="00707151" w:rsidP="00623F9E">
            <w:pPr>
              <w:pStyle w:val="TableRow"/>
              <w:rPr>
                <w:sz w:val="22"/>
                <w:szCs w:val="22"/>
              </w:rPr>
            </w:pPr>
            <w:r>
              <w:rPr>
                <w:sz w:val="22"/>
                <w:szCs w:val="22"/>
              </w:rPr>
              <w:t>Progress meetings half termly to review pupil achievement, interventions and impact.</w:t>
            </w:r>
          </w:p>
          <w:p w14:paraId="2A7D5529" w14:textId="71B4B341" w:rsidR="00707151" w:rsidRPr="00623F9E" w:rsidRDefault="00707151" w:rsidP="00623F9E">
            <w:pPr>
              <w:pStyle w:val="TableRow"/>
              <w:rPr>
                <w:sz w:val="22"/>
                <w:szCs w:val="22"/>
              </w:rPr>
            </w:pPr>
            <w:r>
              <w:rPr>
                <w:sz w:val="22"/>
                <w:szCs w:val="22"/>
              </w:rPr>
              <w:t>Intervention trackers implemented across school.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4AFF9" w14:textId="377F1EBD" w:rsidR="00623F9E" w:rsidRDefault="00623F9E" w:rsidP="00623F9E">
            <w:pPr>
              <w:pStyle w:val="TableRowCentered"/>
              <w:ind w:left="0"/>
              <w:jc w:val="left"/>
              <w:rPr>
                <w:sz w:val="22"/>
              </w:rPr>
            </w:pPr>
            <w:r>
              <w:rPr>
                <w:sz w:val="22"/>
              </w:rPr>
              <w:t>EEF Teaching Toolkit</w:t>
            </w:r>
          </w:p>
          <w:p w14:paraId="32FF13DD" w14:textId="77777777" w:rsidR="00623F9E" w:rsidRDefault="00623F9E">
            <w:pPr>
              <w:pStyle w:val="TableRowCentered"/>
              <w:jc w:val="left"/>
            </w:pPr>
          </w:p>
          <w:p w14:paraId="53FBD627" w14:textId="77777777" w:rsidR="00623F9E" w:rsidRDefault="00623F9E">
            <w:pPr>
              <w:pStyle w:val="TableRowCentered"/>
              <w:jc w:val="left"/>
            </w:pPr>
          </w:p>
          <w:p w14:paraId="60052AA4" w14:textId="77777777" w:rsidR="00E66558" w:rsidRDefault="00623F9E" w:rsidP="00623F9E">
            <w:pPr>
              <w:pStyle w:val="TableRowCentered"/>
              <w:numPr>
                <w:ilvl w:val="0"/>
                <w:numId w:val="23"/>
              </w:numPr>
              <w:jc w:val="left"/>
              <w:rPr>
                <w:rStyle w:val="Hyperlink"/>
                <w:sz w:val="22"/>
              </w:rPr>
            </w:pPr>
            <w:hyperlink r:id="rId22" w:history="1">
              <w:r>
                <w:rPr>
                  <w:rStyle w:val="Hyperlink"/>
                  <w:sz w:val="22"/>
                </w:rPr>
                <w:t>Teaching-assistant-interventions</w:t>
              </w:r>
            </w:hyperlink>
          </w:p>
          <w:p w14:paraId="14C775F0" w14:textId="77777777" w:rsidR="00623F9E" w:rsidRDefault="00623F9E">
            <w:pPr>
              <w:pStyle w:val="TableRowCentered"/>
              <w:jc w:val="left"/>
              <w:rPr>
                <w:rStyle w:val="Hyperlink"/>
              </w:rPr>
            </w:pPr>
          </w:p>
          <w:p w14:paraId="430423DF" w14:textId="77777777" w:rsidR="00623F9E" w:rsidRDefault="00623F9E" w:rsidP="00623F9E">
            <w:pPr>
              <w:pStyle w:val="TableRowCentered"/>
              <w:numPr>
                <w:ilvl w:val="0"/>
                <w:numId w:val="19"/>
              </w:numPr>
              <w:jc w:val="left"/>
              <w:rPr>
                <w:sz w:val="22"/>
              </w:rPr>
            </w:pPr>
            <w:hyperlink r:id="rId23" w:history="1">
              <w:r>
                <w:rPr>
                  <w:rStyle w:val="Hyperlink"/>
                  <w:sz w:val="22"/>
                </w:rPr>
                <w:t>Mastery-learning</w:t>
              </w:r>
            </w:hyperlink>
            <w:r>
              <w:rPr>
                <w:sz w:val="22"/>
              </w:rPr>
              <w:t xml:space="preserve">  </w:t>
            </w:r>
          </w:p>
          <w:p w14:paraId="2A7D552A" w14:textId="4141CFA3" w:rsidR="00623F9E" w:rsidRDefault="00623F9E">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16EA804B" w:rsidR="00E66558" w:rsidRDefault="005102FA">
            <w:pPr>
              <w:pStyle w:val="TableRowCentered"/>
              <w:jc w:val="left"/>
              <w:rPr>
                <w:sz w:val="22"/>
              </w:rPr>
            </w:pPr>
            <w:r>
              <w:rPr>
                <w:sz w:val="22"/>
              </w:rPr>
              <w:t>1,2,3,5.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4A98D00" w:rsidR="00E66558" w:rsidRDefault="009D71E8">
      <w:pPr>
        <w:spacing w:before="240" w:after="120"/>
      </w:pPr>
      <w:r>
        <w:t>Budgeted cost: £</w:t>
      </w:r>
      <w:r w:rsidR="00D202DC">
        <w:t>51</w:t>
      </w:r>
      <w:r w:rsidR="00AB4A8E">
        <w:t>,400</w:t>
      </w:r>
    </w:p>
    <w:tbl>
      <w:tblPr>
        <w:tblW w:w="5000" w:type="pct"/>
        <w:tblCellMar>
          <w:left w:w="10" w:type="dxa"/>
          <w:right w:w="10" w:type="dxa"/>
        </w:tblCellMar>
        <w:tblLook w:val="04A0" w:firstRow="1" w:lastRow="0" w:firstColumn="1" w:lastColumn="0" w:noHBand="0" w:noVBand="1"/>
      </w:tblPr>
      <w:tblGrid>
        <w:gridCol w:w="2764"/>
        <w:gridCol w:w="4204"/>
        <w:gridCol w:w="2518"/>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64342" w14:paraId="734CA20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F28F8" w14:textId="77777777" w:rsidR="00064342" w:rsidRDefault="00064342" w:rsidP="00064342">
            <w:pPr>
              <w:pStyle w:val="TableRow"/>
              <w:rPr>
                <w:b/>
                <w:bCs/>
                <w:iCs/>
                <w:sz w:val="22"/>
              </w:rPr>
            </w:pPr>
            <w:r w:rsidRPr="00064342">
              <w:rPr>
                <w:b/>
                <w:bCs/>
                <w:iCs/>
                <w:sz w:val="22"/>
              </w:rPr>
              <w:t>Family Support Worker</w:t>
            </w:r>
          </w:p>
          <w:p w14:paraId="26941019" w14:textId="579E363B" w:rsidR="00064342" w:rsidRDefault="00064342" w:rsidP="00064342">
            <w:pPr>
              <w:pStyle w:val="TableRow"/>
              <w:rPr>
                <w:i/>
                <w:iCs/>
                <w:sz w:val="22"/>
                <w:szCs w:val="22"/>
              </w:rPr>
            </w:pPr>
            <w:r>
              <w:rPr>
                <w:iCs/>
                <w:sz w:val="22"/>
              </w:rPr>
              <w:t>Pastoral support for disadvantaged children and their families via 1:1 sessions with children developing their self-regulation skills and attitudes to learning, increasing parental engagement via family learning, supporting families practically (e.g. support to bring children to school, Food Bank vouchers, support at meetings, signposting to other agencies, referrals for additional support etc.)</w:t>
            </w:r>
            <w:r w:rsidR="00712813">
              <w:rPr>
                <w:iCs/>
                <w:sz w:val="22"/>
              </w:rPr>
              <w:t xml:space="preserve"> Thrive Licensed Practitioner training to </w:t>
            </w:r>
            <w:r w:rsidR="00712813">
              <w:rPr>
                <w:iCs/>
                <w:sz w:val="22"/>
              </w:rPr>
              <w:lastRenderedPageBreak/>
              <w:t>enable FSW to provide restorative interventions for SEMH.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02D9" w14:textId="77777777" w:rsidR="00064342" w:rsidRDefault="00064342" w:rsidP="00064342">
            <w:pPr>
              <w:pStyle w:val="TableRowCentered"/>
              <w:jc w:val="left"/>
              <w:rPr>
                <w:sz w:val="22"/>
              </w:rPr>
            </w:pPr>
            <w:r>
              <w:rPr>
                <w:sz w:val="22"/>
              </w:rPr>
              <w:lastRenderedPageBreak/>
              <w:t>EEF Teaching Toolkit</w:t>
            </w:r>
          </w:p>
          <w:p w14:paraId="5E49FF92" w14:textId="44095D6A" w:rsidR="00064342" w:rsidRDefault="00064342" w:rsidP="00064342">
            <w:pPr>
              <w:pStyle w:val="TableRowCentered"/>
              <w:numPr>
                <w:ilvl w:val="0"/>
                <w:numId w:val="20"/>
              </w:numPr>
              <w:jc w:val="left"/>
              <w:rPr>
                <w:sz w:val="22"/>
              </w:rPr>
            </w:pPr>
            <w:hyperlink r:id="rId24" w:history="1">
              <w:r>
                <w:rPr>
                  <w:rStyle w:val="Hyperlink"/>
                  <w:sz w:val="22"/>
                </w:rPr>
                <w:t>Parental-engagement</w:t>
              </w:r>
            </w:hyperlink>
            <w:r>
              <w:rPr>
                <w:sz w:val="22"/>
              </w:rPr>
              <w:t xml:space="preserve"> </w:t>
            </w:r>
          </w:p>
          <w:p w14:paraId="36518007" w14:textId="77777777" w:rsidR="00E33CAC" w:rsidRDefault="00E33CAC" w:rsidP="00E33CAC">
            <w:pPr>
              <w:pStyle w:val="TableRowCentered"/>
              <w:jc w:val="left"/>
              <w:rPr>
                <w:sz w:val="22"/>
              </w:rPr>
            </w:pPr>
          </w:p>
          <w:p w14:paraId="57DE66FA" w14:textId="77777777" w:rsidR="00064342" w:rsidRDefault="00064342" w:rsidP="00064342">
            <w:pPr>
              <w:pStyle w:val="TableRowCentered"/>
              <w:numPr>
                <w:ilvl w:val="0"/>
                <w:numId w:val="20"/>
              </w:numPr>
              <w:jc w:val="left"/>
              <w:rPr>
                <w:sz w:val="22"/>
              </w:rPr>
            </w:pPr>
            <w:hyperlink r:id="rId25" w:history="1">
              <w:r>
                <w:rPr>
                  <w:rStyle w:val="Hyperlink"/>
                  <w:sz w:val="22"/>
                </w:rPr>
                <w:t>Self-regulation</w:t>
              </w:r>
            </w:hyperlink>
            <w:r>
              <w:rPr>
                <w:sz w:val="22"/>
              </w:rPr>
              <w:t xml:space="preserve">    </w:t>
            </w:r>
          </w:p>
          <w:p w14:paraId="193A5F68" w14:textId="77777777" w:rsidR="00064342" w:rsidRDefault="00064342" w:rsidP="0006434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71BF9" w14:textId="77777777" w:rsidR="00064342" w:rsidRDefault="00064342" w:rsidP="00064342">
            <w:pPr>
              <w:pStyle w:val="TableRowCentered"/>
              <w:jc w:val="left"/>
              <w:rPr>
                <w:sz w:val="22"/>
              </w:rPr>
            </w:pPr>
            <w:r>
              <w:rPr>
                <w:sz w:val="22"/>
              </w:rPr>
              <w:t>4,5</w:t>
            </w:r>
          </w:p>
          <w:p w14:paraId="4A0D83F2" w14:textId="77777777" w:rsidR="00B01CC6" w:rsidRDefault="00B01CC6" w:rsidP="00064342">
            <w:pPr>
              <w:pStyle w:val="TableRowCentered"/>
              <w:jc w:val="left"/>
              <w:rPr>
                <w:sz w:val="22"/>
              </w:rPr>
            </w:pPr>
          </w:p>
          <w:p w14:paraId="6F6AE7D4" w14:textId="2BC6BF9B" w:rsidR="00B01CC6" w:rsidRDefault="00B01CC6" w:rsidP="00064342">
            <w:pPr>
              <w:pStyle w:val="TableRowCentered"/>
              <w:jc w:val="left"/>
              <w:rPr>
                <w:sz w:val="22"/>
              </w:rPr>
            </w:pPr>
            <w:r>
              <w:rPr>
                <w:sz w:val="22"/>
              </w:rPr>
              <w:t>1,2,3</w:t>
            </w:r>
          </w:p>
        </w:tc>
      </w:tr>
      <w:tr w:rsidR="00064342" w14:paraId="7AC2CDA7"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49AB" w14:textId="49B94694" w:rsidR="00064342" w:rsidRPr="00064342" w:rsidRDefault="00064342" w:rsidP="00064342">
            <w:pPr>
              <w:pStyle w:val="TableRow"/>
              <w:ind w:left="0"/>
              <w:rPr>
                <w:b/>
                <w:bCs/>
                <w:iCs/>
                <w:sz w:val="22"/>
              </w:rPr>
            </w:pPr>
            <w:r w:rsidRPr="00064342">
              <w:rPr>
                <w:b/>
                <w:bCs/>
                <w:iCs/>
                <w:sz w:val="22"/>
              </w:rPr>
              <w:t>ELSA</w:t>
            </w:r>
            <w:r w:rsidR="00F11197">
              <w:rPr>
                <w:b/>
                <w:bCs/>
                <w:iCs/>
                <w:sz w:val="22"/>
              </w:rPr>
              <w:t xml:space="preserve"> </w:t>
            </w:r>
            <w:r w:rsidR="00707151">
              <w:rPr>
                <w:b/>
                <w:bCs/>
                <w:iCs/>
                <w:sz w:val="22"/>
              </w:rPr>
              <w:t>TA</w:t>
            </w:r>
          </w:p>
          <w:p w14:paraId="45084DB6" w14:textId="77777777" w:rsidR="00064342" w:rsidRDefault="00064342" w:rsidP="00064342">
            <w:pPr>
              <w:pStyle w:val="TableRow"/>
              <w:rPr>
                <w:sz w:val="22"/>
                <w:szCs w:val="22"/>
              </w:rPr>
            </w:pPr>
            <w:r>
              <w:rPr>
                <w:sz w:val="22"/>
                <w:szCs w:val="22"/>
              </w:rPr>
              <w:t>Emotional literacy support for specific children – 1:1 and small group sessions to support children in managing their feelings and behaviour.</w:t>
            </w:r>
          </w:p>
          <w:p w14:paraId="2B3ED2AE" w14:textId="67C7A560" w:rsidR="00064342" w:rsidRPr="00064342" w:rsidRDefault="00064342" w:rsidP="00064342">
            <w:pPr>
              <w:pStyle w:val="TableRow"/>
              <w:rPr>
                <w:sz w:val="22"/>
                <w:szCs w:val="22"/>
              </w:rPr>
            </w:pPr>
            <w:r>
              <w:rPr>
                <w:sz w:val="22"/>
                <w:szCs w:val="22"/>
              </w:rPr>
              <w:t>Half termly supervision for ELSA Staff.</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5A4C8" w14:textId="77777777" w:rsidR="00064342" w:rsidRDefault="00B01CC6" w:rsidP="00064342">
            <w:pPr>
              <w:pStyle w:val="TableRowCentered"/>
              <w:jc w:val="left"/>
              <w:rPr>
                <w:sz w:val="22"/>
              </w:rPr>
            </w:pPr>
            <w:r>
              <w:rPr>
                <w:sz w:val="22"/>
              </w:rPr>
              <w:t>EEF Toolkit:</w:t>
            </w:r>
          </w:p>
          <w:p w14:paraId="55E0C57F" w14:textId="77777777" w:rsidR="00B01CC6" w:rsidRDefault="00B01CC6" w:rsidP="00064342">
            <w:pPr>
              <w:pStyle w:val="TableRowCentered"/>
              <w:jc w:val="left"/>
              <w:rPr>
                <w:sz w:val="22"/>
              </w:rPr>
            </w:pPr>
          </w:p>
          <w:p w14:paraId="6507C9EA" w14:textId="40232018" w:rsidR="00B01CC6" w:rsidRDefault="00B01CC6" w:rsidP="00B01CC6">
            <w:pPr>
              <w:pStyle w:val="TableRowCentered"/>
              <w:numPr>
                <w:ilvl w:val="0"/>
                <w:numId w:val="21"/>
              </w:numPr>
              <w:jc w:val="left"/>
              <w:rPr>
                <w:sz w:val="22"/>
              </w:rPr>
            </w:pPr>
            <w:hyperlink r:id="rId26" w:history="1">
              <w:r>
                <w:rPr>
                  <w:rStyle w:val="Hyperlink"/>
                  <w:sz w:val="22"/>
                </w:rPr>
                <w:t>Social-and-emotional-learning</w:t>
              </w:r>
            </w:hyperlink>
            <w:r>
              <w:rPr>
                <w:sz w:val="22"/>
              </w:rPr>
              <w:t xml:space="preserve"> </w:t>
            </w:r>
          </w:p>
          <w:p w14:paraId="1E92FFE7" w14:textId="77777777" w:rsidR="00E33CAC" w:rsidRDefault="00E33CAC" w:rsidP="00E33CAC">
            <w:pPr>
              <w:pStyle w:val="TableRowCentered"/>
              <w:ind w:left="777"/>
              <w:jc w:val="left"/>
              <w:rPr>
                <w:sz w:val="22"/>
              </w:rPr>
            </w:pPr>
          </w:p>
          <w:p w14:paraId="124DCD9B" w14:textId="7FFD0E1B" w:rsidR="00B01CC6" w:rsidRDefault="00B01CC6" w:rsidP="00B01CC6">
            <w:pPr>
              <w:pStyle w:val="TableRowCentered"/>
              <w:numPr>
                <w:ilvl w:val="0"/>
                <w:numId w:val="21"/>
              </w:numPr>
              <w:jc w:val="left"/>
              <w:rPr>
                <w:sz w:val="22"/>
              </w:rPr>
            </w:pPr>
            <w:hyperlink r:id="rId27" w:history="1">
              <w:r>
                <w:rPr>
                  <w:rStyle w:val="Hyperlink"/>
                  <w:sz w:val="22"/>
                </w:rPr>
                <w:t>Behaviour-interventions</w:t>
              </w:r>
            </w:hyperlink>
            <w:r>
              <w:rPr>
                <w:sz w:val="22"/>
              </w:rPr>
              <w:t xml:space="preserve">  </w:t>
            </w:r>
          </w:p>
          <w:p w14:paraId="24252E6F" w14:textId="2F23FA80" w:rsidR="00B01CC6" w:rsidRDefault="00B01CC6" w:rsidP="00B01CC6">
            <w:pPr>
              <w:pStyle w:val="TableRowCentered"/>
              <w:ind w:left="777"/>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1AF3" w14:textId="77777777" w:rsidR="00064342" w:rsidRDefault="00064342" w:rsidP="00064342">
            <w:pPr>
              <w:pStyle w:val="TableRowCentered"/>
              <w:jc w:val="left"/>
              <w:rPr>
                <w:sz w:val="22"/>
              </w:rPr>
            </w:pPr>
            <w:r>
              <w:rPr>
                <w:sz w:val="22"/>
              </w:rPr>
              <w:t>4,5.</w:t>
            </w:r>
          </w:p>
          <w:p w14:paraId="27364B9A" w14:textId="77777777" w:rsidR="00B01CC6" w:rsidRDefault="00B01CC6" w:rsidP="00064342">
            <w:pPr>
              <w:pStyle w:val="TableRowCentered"/>
              <w:jc w:val="left"/>
              <w:rPr>
                <w:sz w:val="22"/>
              </w:rPr>
            </w:pPr>
          </w:p>
          <w:p w14:paraId="41732E44" w14:textId="3E9CB640" w:rsidR="00B01CC6" w:rsidRDefault="00B01CC6" w:rsidP="00064342">
            <w:pPr>
              <w:pStyle w:val="TableRowCentered"/>
              <w:jc w:val="left"/>
              <w:rPr>
                <w:sz w:val="22"/>
              </w:rPr>
            </w:pPr>
            <w:r>
              <w:rPr>
                <w:sz w:val="22"/>
              </w:rPr>
              <w:t>1,2,3.</w:t>
            </w:r>
          </w:p>
        </w:tc>
      </w:tr>
      <w:tr w:rsidR="00064342"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057" w14:textId="77777777" w:rsidR="00064342" w:rsidRDefault="00064342" w:rsidP="00064342">
            <w:pPr>
              <w:pStyle w:val="TableRow"/>
              <w:rPr>
                <w:b/>
                <w:bCs/>
                <w:sz w:val="22"/>
                <w:szCs w:val="22"/>
              </w:rPr>
            </w:pPr>
            <w:r w:rsidRPr="005102FA">
              <w:rPr>
                <w:b/>
                <w:bCs/>
                <w:sz w:val="22"/>
                <w:szCs w:val="22"/>
              </w:rPr>
              <w:t>EWO support</w:t>
            </w:r>
          </w:p>
          <w:p w14:paraId="2A7D5538" w14:textId="05CEF4B9" w:rsidR="005102FA" w:rsidRPr="005102FA" w:rsidRDefault="005102FA" w:rsidP="00064342">
            <w:pPr>
              <w:pStyle w:val="TableRow"/>
              <w:rPr>
                <w:sz w:val="22"/>
                <w:szCs w:val="22"/>
              </w:rPr>
            </w:pPr>
            <w:r w:rsidRPr="005102FA">
              <w:rPr>
                <w:sz w:val="22"/>
                <w:szCs w:val="22"/>
              </w:rPr>
              <w:t xml:space="preserve">Purchase of additional time as part of LA Attendance SLA – one meeting per </w:t>
            </w:r>
            <w:r w:rsidR="00707151">
              <w:rPr>
                <w:sz w:val="22"/>
                <w:szCs w:val="22"/>
              </w:rPr>
              <w:t>month</w:t>
            </w:r>
            <w:r w:rsidRPr="005102FA">
              <w:rPr>
                <w:sz w:val="22"/>
                <w:szCs w:val="22"/>
              </w:rPr>
              <w:t>, support with Attendance Planning Meetings and Penalty Notice Warnings.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BC440" w14:textId="1175E209" w:rsidR="00DA6DA6" w:rsidRDefault="00DA6DA6" w:rsidP="00DA6DA6">
            <w:pPr>
              <w:pStyle w:val="TableRowCentered"/>
              <w:jc w:val="left"/>
              <w:rPr>
                <w:sz w:val="22"/>
              </w:rPr>
            </w:pPr>
            <w:r>
              <w:rPr>
                <w:sz w:val="22"/>
              </w:rPr>
              <w:t>EEF Teaching Toolkit</w:t>
            </w:r>
          </w:p>
          <w:p w14:paraId="726D34FB" w14:textId="77777777" w:rsidR="00DA6DA6" w:rsidRDefault="00DA6DA6" w:rsidP="00DA6DA6">
            <w:pPr>
              <w:pStyle w:val="TableRowCentered"/>
              <w:jc w:val="left"/>
              <w:rPr>
                <w:sz w:val="22"/>
              </w:rPr>
            </w:pPr>
          </w:p>
          <w:p w14:paraId="26A48B04" w14:textId="77777777" w:rsidR="00DA6DA6" w:rsidRDefault="00DA6DA6" w:rsidP="00DA6DA6">
            <w:pPr>
              <w:pStyle w:val="TableRowCentered"/>
              <w:numPr>
                <w:ilvl w:val="0"/>
                <w:numId w:val="20"/>
              </w:numPr>
              <w:jc w:val="left"/>
              <w:rPr>
                <w:sz w:val="22"/>
              </w:rPr>
            </w:pPr>
            <w:hyperlink r:id="rId28" w:history="1">
              <w:r>
                <w:rPr>
                  <w:rStyle w:val="Hyperlink"/>
                  <w:sz w:val="22"/>
                </w:rPr>
                <w:t>Parental-engagement</w:t>
              </w:r>
            </w:hyperlink>
            <w:r>
              <w:rPr>
                <w:sz w:val="22"/>
              </w:rPr>
              <w:t xml:space="preserve"> </w:t>
            </w:r>
          </w:p>
          <w:p w14:paraId="2A7D5539" w14:textId="77777777" w:rsidR="00064342" w:rsidRDefault="00064342" w:rsidP="0006434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C00E" w14:textId="77777777" w:rsidR="005102FA" w:rsidRDefault="00DA6DA6" w:rsidP="005102FA">
            <w:pPr>
              <w:pStyle w:val="TableRowCentered"/>
              <w:ind w:left="0"/>
              <w:jc w:val="left"/>
              <w:rPr>
                <w:sz w:val="22"/>
              </w:rPr>
            </w:pPr>
            <w:r>
              <w:rPr>
                <w:sz w:val="22"/>
              </w:rPr>
              <w:t>4.</w:t>
            </w:r>
          </w:p>
          <w:p w14:paraId="17FBAEF7" w14:textId="77777777" w:rsidR="00DA6DA6" w:rsidRDefault="00DA6DA6" w:rsidP="005102FA">
            <w:pPr>
              <w:pStyle w:val="TableRowCentered"/>
              <w:ind w:left="0"/>
              <w:jc w:val="left"/>
              <w:rPr>
                <w:sz w:val="22"/>
              </w:rPr>
            </w:pPr>
          </w:p>
          <w:p w14:paraId="2A7D553A" w14:textId="3E276FAE" w:rsidR="00DA6DA6" w:rsidRDefault="00DA6DA6" w:rsidP="005102FA">
            <w:pPr>
              <w:pStyle w:val="TableRowCentered"/>
              <w:ind w:left="0"/>
              <w:jc w:val="left"/>
              <w:rPr>
                <w:sz w:val="22"/>
              </w:rPr>
            </w:pPr>
            <w:r>
              <w:rPr>
                <w:sz w:val="22"/>
              </w:rPr>
              <w:t>1,2,3.</w:t>
            </w:r>
          </w:p>
        </w:tc>
      </w:tr>
      <w:tr w:rsidR="00064342"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CB3C" w14:textId="77777777" w:rsidR="00064342" w:rsidRDefault="00064342" w:rsidP="00064342">
            <w:pPr>
              <w:pStyle w:val="TableRow"/>
              <w:rPr>
                <w:b/>
                <w:bCs/>
                <w:iCs/>
                <w:sz w:val="22"/>
              </w:rPr>
            </w:pPr>
            <w:r w:rsidRPr="005102FA">
              <w:rPr>
                <w:b/>
                <w:bCs/>
                <w:iCs/>
                <w:sz w:val="22"/>
              </w:rPr>
              <w:t>EP support</w:t>
            </w:r>
          </w:p>
          <w:p w14:paraId="2A7D553C" w14:textId="5E746045" w:rsidR="005102FA" w:rsidRPr="005102FA" w:rsidRDefault="005102FA" w:rsidP="00064342">
            <w:pPr>
              <w:pStyle w:val="TableRow"/>
              <w:rPr>
                <w:iCs/>
                <w:sz w:val="22"/>
              </w:rPr>
            </w:pPr>
            <w:r w:rsidRPr="005102FA">
              <w:rPr>
                <w:iCs/>
                <w:sz w:val="22"/>
              </w:rPr>
              <w:t>Purchase of additional time as part of LA SLA – additional time to be used for pupil assessment/observation</w:t>
            </w:r>
            <w:r w:rsidR="00707151">
              <w:rPr>
                <w:iCs/>
                <w:sz w:val="22"/>
              </w:rPr>
              <w:t xml:space="preserve">, </w:t>
            </w:r>
            <w:r w:rsidRPr="005102FA">
              <w:rPr>
                <w:iCs/>
                <w:sz w:val="22"/>
              </w:rPr>
              <w:t>staff training</w:t>
            </w:r>
            <w:r w:rsidR="00707151">
              <w:rPr>
                <w:iCs/>
                <w:sz w:val="22"/>
              </w:rPr>
              <w:t xml:space="preserve"> and supervision</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3892" w14:textId="77777777" w:rsidR="00DA6DA6" w:rsidRDefault="00DA6DA6" w:rsidP="00DA6DA6">
            <w:pPr>
              <w:pStyle w:val="TableRowCentered"/>
              <w:jc w:val="left"/>
              <w:rPr>
                <w:sz w:val="22"/>
              </w:rPr>
            </w:pPr>
            <w:r>
              <w:rPr>
                <w:sz w:val="22"/>
              </w:rPr>
              <w:t>EEF Toolkit:</w:t>
            </w:r>
          </w:p>
          <w:p w14:paraId="27B41CD8" w14:textId="77777777" w:rsidR="00DA6DA6" w:rsidRDefault="00DA6DA6" w:rsidP="00DA6DA6">
            <w:pPr>
              <w:pStyle w:val="TableRowCentered"/>
              <w:jc w:val="left"/>
              <w:rPr>
                <w:sz w:val="22"/>
              </w:rPr>
            </w:pPr>
          </w:p>
          <w:p w14:paraId="43C36236" w14:textId="77777777" w:rsidR="00DA6DA6" w:rsidRDefault="00DA6DA6" w:rsidP="00DA6DA6">
            <w:pPr>
              <w:pStyle w:val="TableRowCentered"/>
              <w:numPr>
                <w:ilvl w:val="0"/>
                <w:numId w:val="21"/>
              </w:numPr>
              <w:jc w:val="left"/>
              <w:rPr>
                <w:sz w:val="22"/>
              </w:rPr>
            </w:pPr>
            <w:hyperlink r:id="rId29" w:history="1">
              <w:r>
                <w:rPr>
                  <w:rStyle w:val="Hyperlink"/>
                  <w:sz w:val="22"/>
                </w:rPr>
                <w:t>Social-and-emotional-learning</w:t>
              </w:r>
            </w:hyperlink>
            <w:r>
              <w:rPr>
                <w:sz w:val="22"/>
              </w:rPr>
              <w:t xml:space="preserve"> </w:t>
            </w:r>
          </w:p>
          <w:p w14:paraId="399B7FFE" w14:textId="77777777" w:rsidR="00DA6DA6" w:rsidRDefault="00DA6DA6" w:rsidP="00DA6DA6">
            <w:pPr>
              <w:pStyle w:val="TableRowCentered"/>
              <w:ind w:left="777"/>
              <w:jc w:val="left"/>
              <w:rPr>
                <w:sz w:val="22"/>
              </w:rPr>
            </w:pPr>
          </w:p>
          <w:p w14:paraId="1D8A0CF7" w14:textId="77777777" w:rsidR="00DA6DA6" w:rsidRDefault="00DA6DA6" w:rsidP="00DA6DA6">
            <w:pPr>
              <w:pStyle w:val="TableRowCentered"/>
              <w:numPr>
                <w:ilvl w:val="0"/>
                <w:numId w:val="21"/>
              </w:numPr>
              <w:jc w:val="left"/>
              <w:rPr>
                <w:sz w:val="22"/>
              </w:rPr>
            </w:pPr>
            <w:hyperlink r:id="rId30" w:history="1">
              <w:r>
                <w:rPr>
                  <w:rStyle w:val="Hyperlink"/>
                  <w:sz w:val="22"/>
                </w:rPr>
                <w:t>Behaviour-interventions</w:t>
              </w:r>
            </w:hyperlink>
            <w:r>
              <w:rPr>
                <w:sz w:val="22"/>
              </w:rPr>
              <w:t xml:space="preserve">  </w:t>
            </w:r>
          </w:p>
          <w:p w14:paraId="2A7D553D" w14:textId="77777777" w:rsidR="00064342" w:rsidRDefault="00064342" w:rsidP="0006434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C84C2" w14:textId="77777777" w:rsidR="00064342" w:rsidRDefault="00DA6DA6" w:rsidP="00064342">
            <w:pPr>
              <w:pStyle w:val="TableRowCentered"/>
              <w:jc w:val="left"/>
              <w:rPr>
                <w:sz w:val="22"/>
              </w:rPr>
            </w:pPr>
            <w:r>
              <w:rPr>
                <w:sz w:val="22"/>
              </w:rPr>
              <w:t>5</w:t>
            </w:r>
          </w:p>
          <w:p w14:paraId="4DBA9EC8" w14:textId="77777777" w:rsidR="00DA6DA6" w:rsidRDefault="00DA6DA6" w:rsidP="00064342">
            <w:pPr>
              <w:pStyle w:val="TableRowCentered"/>
              <w:jc w:val="left"/>
              <w:rPr>
                <w:sz w:val="22"/>
              </w:rPr>
            </w:pPr>
          </w:p>
          <w:p w14:paraId="2A7D553E" w14:textId="6B2A067E" w:rsidR="00DA6DA6" w:rsidRDefault="00DA6DA6" w:rsidP="00064342">
            <w:pPr>
              <w:pStyle w:val="TableRowCentered"/>
              <w:jc w:val="left"/>
              <w:rPr>
                <w:sz w:val="22"/>
              </w:rPr>
            </w:pPr>
            <w:r>
              <w:rPr>
                <w:sz w:val="22"/>
              </w:rPr>
              <w:t>1,2,3.</w:t>
            </w:r>
          </w:p>
        </w:tc>
      </w:tr>
      <w:tr w:rsidR="00B01CC6" w14:paraId="061B2ED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8727F" w14:textId="400381D5" w:rsidR="00B01CC6" w:rsidRDefault="00707151" w:rsidP="00B01CC6">
            <w:pPr>
              <w:pStyle w:val="TableRow"/>
              <w:ind w:left="0"/>
              <w:rPr>
                <w:b/>
                <w:bCs/>
                <w:iCs/>
                <w:sz w:val="22"/>
              </w:rPr>
            </w:pPr>
            <w:r>
              <w:rPr>
                <w:b/>
                <w:bCs/>
                <w:iCs/>
                <w:sz w:val="22"/>
              </w:rPr>
              <w:t>Pupil welfare</w:t>
            </w:r>
          </w:p>
          <w:p w14:paraId="318B48D8" w14:textId="02C840E5" w:rsidR="00B01CC6" w:rsidRPr="00F11197" w:rsidRDefault="00707151" w:rsidP="00F11197">
            <w:pPr>
              <w:pStyle w:val="TableRow"/>
              <w:ind w:left="0"/>
              <w:rPr>
                <w:iCs/>
                <w:sz w:val="22"/>
              </w:rPr>
            </w:pPr>
            <w:r>
              <w:rPr>
                <w:iCs/>
                <w:sz w:val="22"/>
              </w:rPr>
              <w:t>Purchase uniform, resources, subsidise external activities and clubs</w:t>
            </w:r>
            <w:r w:rsidR="00F11197" w:rsidRPr="00F11197">
              <w:rPr>
                <w:iCs/>
                <w:sz w:val="22"/>
              </w:rPr>
              <w:t xml:space="preserve"> for disadvantaged children</w:t>
            </w:r>
            <w:r>
              <w:rPr>
                <w:iCs/>
                <w:sz w:val="22"/>
              </w:rPr>
              <w:t xml:space="preserve"> as required, including breakfast club, school visits and extra-curricular clubs by external agencies.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4F39" w14:textId="77777777" w:rsidR="00B01CC6" w:rsidRDefault="00B01CC6" w:rsidP="0006434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A02D" w14:textId="77777777" w:rsidR="00B01CC6" w:rsidRDefault="00B01CC6" w:rsidP="00064342">
            <w:pPr>
              <w:pStyle w:val="TableRowCentered"/>
              <w:jc w:val="left"/>
              <w:rPr>
                <w:sz w:val="22"/>
              </w:rPr>
            </w:pPr>
          </w:p>
          <w:p w14:paraId="20CA25DC" w14:textId="330FFA72" w:rsidR="00F11197" w:rsidRDefault="00F11197" w:rsidP="00064342">
            <w:pPr>
              <w:pStyle w:val="TableRowCentered"/>
              <w:jc w:val="left"/>
              <w:rPr>
                <w:sz w:val="22"/>
              </w:rPr>
            </w:pPr>
            <w:r>
              <w:rPr>
                <w:sz w:val="22"/>
              </w:rPr>
              <w:t>4, 5.</w:t>
            </w:r>
          </w:p>
        </w:tc>
      </w:tr>
    </w:tbl>
    <w:p w14:paraId="2A7D5540" w14:textId="77777777" w:rsidR="00E66558" w:rsidRPr="00D202DC" w:rsidRDefault="00E66558">
      <w:pPr>
        <w:spacing w:before="240" w:after="0"/>
        <w:rPr>
          <w:color w:val="104F75"/>
          <w:sz w:val="28"/>
          <w:szCs w:val="28"/>
        </w:rPr>
      </w:pPr>
    </w:p>
    <w:p w14:paraId="2A7D5541" w14:textId="504DE872" w:rsidR="00E66558" w:rsidRPr="00D202DC" w:rsidRDefault="009D71E8" w:rsidP="00120AB1">
      <w:r w:rsidRPr="00D202DC">
        <w:rPr>
          <w:color w:val="104F75"/>
          <w:sz w:val="28"/>
          <w:szCs w:val="28"/>
        </w:rPr>
        <w:t>Total budgeted cost: £</w:t>
      </w:r>
      <w:r w:rsidR="00BF75D5" w:rsidRPr="00D202DC">
        <w:rPr>
          <w:color w:val="104F75"/>
          <w:sz w:val="28"/>
          <w:szCs w:val="28"/>
        </w:rPr>
        <w:t>1</w:t>
      </w:r>
      <w:r w:rsidR="00E57BE1">
        <w:rPr>
          <w:color w:val="104F75"/>
          <w:sz w:val="28"/>
          <w:szCs w:val="28"/>
        </w:rPr>
        <w:t>12,400.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9CB8B07" w:rsidR="00E66558" w:rsidRDefault="009D71E8">
      <w:r>
        <w:t xml:space="preserve">This details the impact that our pupil premium activity had on pupils in the </w:t>
      </w:r>
      <w:r w:rsidR="00F426F7">
        <w:t>2024-2025</w:t>
      </w:r>
      <w:r w:rsidR="00692928">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336B4" w14:textId="3FAD25AB" w:rsidR="00C61155" w:rsidRDefault="00C61155">
            <w:pPr>
              <w:rPr>
                <w:iCs/>
                <w:lang w:eastAsia="en-US"/>
              </w:rPr>
            </w:pPr>
            <w:r>
              <w:rPr>
                <w:iCs/>
                <w:lang w:eastAsia="en-US"/>
              </w:rPr>
              <w:t>In 202</w:t>
            </w:r>
            <w:r w:rsidR="00F426F7">
              <w:rPr>
                <w:iCs/>
                <w:lang w:eastAsia="en-US"/>
              </w:rPr>
              <w:t>4</w:t>
            </w:r>
            <w:r w:rsidR="00D202DC">
              <w:rPr>
                <w:iCs/>
                <w:lang w:eastAsia="en-US"/>
              </w:rPr>
              <w:t>-2</w:t>
            </w:r>
            <w:r w:rsidR="00F426F7">
              <w:rPr>
                <w:iCs/>
                <w:lang w:eastAsia="en-US"/>
              </w:rPr>
              <w:t>5</w:t>
            </w:r>
            <w:r>
              <w:rPr>
                <w:iCs/>
                <w:lang w:eastAsia="en-US"/>
              </w:rPr>
              <w:t xml:space="preserve"> the focus of our Pupil Premium spend was:</w:t>
            </w:r>
          </w:p>
          <w:p w14:paraId="35965D75" w14:textId="55F41DB7" w:rsidR="00C61155" w:rsidRDefault="00C61155" w:rsidP="00C61155">
            <w:pPr>
              <w:pStyle w:val="ListParagraph"/>
              <w:numPr>
                <w:ilvl w:val="0"/>
                <w:numId w:val="24"/>
              </w:numPr>
              <w:rPr>
                <w:iCs/>
              </w:rPr>
            </w:pPr>
            <w:r>
              <w:rPr>
                <w:iCs/>
              </w:rPr>
              <w:t xml:space="preserve">Improving outcomes in </w:t>
            </w:r>
            <w:r w:rsidR="00D202DC">
              <w:rPr>
                <w:iCs/>
              </w:rPr>
              <w:t xml:space="preserve">reading, </w:t>
            </w:r>
            <w:r>
              <w:rPr>
                <w:iCs/>
              </w:rPr>
              <w:t>writing and maths</w:t>
            </w:r>
            <w:r w:rsidR="00D202DC">
              <w:rPr>
                <w:iCs/>
              </w:rPr>
              <w:t xml:space="preserve"> for disadvantaged children.</w:t>
            </w:r>
          </w:p>
          <w:p w14:paraId="599ECD7E" w14:textId="77777777" w:rsidR="00C61155" w:rsidRDefault="00C61155" w:rsidP="00C61155">
            <w:pPr>
              <w:pStyle w:val="ListParagraph"/>
              <w:numPr>
                <w:ilvl w:val="0"/>
                <w:numId w:val="24"/>
              </w:numPr>
              <w:rPr>
                <w:iCs/>
              </w:rPr>
            </w:pPr>
            <w:r>
              <w:rPr>
                <w:iCs/>
              </w:rPr>
              <w:t>Ensuring disadvantaged children had the same access to enrichment opportunities across the curriculum as non-disadvantaged children.</w:t>
            </w:r>
          </w:p>
          <w:p w14:paraId="4FAA8680" w14:textId="3CE38A46" w:rsidR="00D202DC" w:rsidRDefault="00D202DC" w:rsidP="00C63468">
            <w:pPr>
              <w:pStyle w:val="ListParagraph"/>
              <w:numPr>
                <w:ilvl w:val="0"/>
                <w:numId w:val="24"/>
              </w:numPr>
              <w:rPr>
                <w:iCs/>
              </w:rPr>
            </w:pPr>
            <w:r>
              <w:rPr>
                <w:iCs/>
              </w:rPr>
              <w:t>Improved attendance for disadvantaged children.</w:t>
            </w:r>
          </w:p>
          <w:p w14:paraId="2778C69B" w14:textId="77777777" w:rsidR="00C63468" w:rsidRPr="00C63468" w:rsidRDefault="00C63468" w:rsidP="00C63468">
            <w:pPr>
              <w:pStyle w:val="ListParagraph"/>
              <w:numPr>
                <w:ilvl w:val="0"/>
                <w:numId w:val="0"/>
              </w:numPr>
              <w:ind w:left="720"/>
              <w:rPr>
                <w:iCs/>
              </w:rPr>
            </w:pPr>
          </w:p>
          <w:p w14:paraId="219026DC" w14:textId="62F2244F" w:rsidR="00D202DC" w:rsidRDefault="00D202DC" w:rsidP="00D202DC">
            <w:pPr>
              <w:pStyle w:val="ListParagraph"/>
              <w:numPr>
                <w:ilvl w:val="0"/>
                <w:numId w:val="0"/>
              </w:numPr>
              <w:ind w:left="720"/>
              <w:rPr>
                <w:iCs/>
              </w:rPr>
            </w:pPr>
            <w:r>
              <w:rPr>
                <w:iCs/>
              </w:rPr>
              <w:t>Impact:</w:t>
            </w:r>
          </w:p>
          <w:p w14:paraId="6E44CFCB" w14:textId="77777777" w:rsidR="00D202DC" w:rsidRDefault="00D202DC" w:rsidP="00D202DC">
            <w:pPr>
              <w:pStyle w:val="ListParagraph"/>
              <w:numPr>
                <w:ilvl w:val="0"/>
                <w:numId w:val="0"/>
              </w:numPr>
              <w:ind w:left="720"/>
              <w:rPr>
                <w:iCs/>
              </w:rPr>
            </w:pPr>
          </w:p>
          <w:p w14:paraId="6EC6E9D4" w14:textId="77777777" w:rsidR="003835EE" w:rsidRDefault="003835EE" w:rsidP="003835EE">
            <w:pPr>
              <w:pStyle w:val="ListParagraph"/>
              <w:numPr>
                <w:ilvl w:val="0"/>
                <w:numId w:val="27"/>
              </w:numPr>
              <w:rPr>
                <w:iCs/>
              </w:rPr>
            </w:pPr>
            <w:r>
              <w:rPr>
                <w:iCs/>
              </w:rPr>
              <w:t>EYFS:</w:t>
            </w:r>
          </w:p>
          <w:p w14:paraId="6E69A57A" w14:textId="4ADB304F" w:rsidR="003835EE" w:rsidRDefault="003835EE" w:rsidP="003835EE">
            <w:pPr>
              <w:pStyle w:val="ListParagraph"/>
              <w:numPr>
                <w:ilvl w:val="0"/>
                <w:numId w:val="29"/>
              </w:numPr>
              <w:rPr>
                <w:iCs/>
              </w:rPr>
            </w:pPr>
            <w:r w:rsidRPr="003835EE">
              <w:rPr>
                <w:iCs/>
              </w:rPr>
              <w:t xml:space="preserve">School disadvantaged pupils </w:t>
            </w:r>
            <w:r w:rsidR="00F426F7">
              <w:rPr>
                <w:iCs/>
              </w:rPr>
              <w:t>performed broadly inline with</w:t>
            </w:r>
            <w:r w:rsidRPr="003835EE">
              <w:rPr>
                <w:iCs/>
              </w:rPr>
              <w:t xml:space="preserve"> LA and National disadvantaged pupils </w:t>
            </w:r>
            <w:r w:rsidR="00F426F7">
              <w:rPr>
                <w:iCs/>
              </w:rPr>
              <w:t xml:space="preserve">(51.4%) </w:t>
            </w:r>
            <w:r w:rsidRPr="003835EE">
              <w:rPr>
                <w:iCs/>
              </w:rPr>
              <w:t xml:space="preserve">in </w:t>
            </w:r>
            <w:r w:rsidR="00F426F7">
              <w:rPr>
                <w:iCs/>
              </w:rPr>
              <w:t>GLD, and outperformed statistical neighbours (48.7%)</w:t>
            </w:r>
          </w:p>
          <w:p w14:paraId="1D7B7AE9" w14:textId="0E94FAE4" w:rsidR="00C20D9E" w:rsidRDefault="00C20D9E" w:rsidP="003835EE">
            <w:pPr>
              <w:pStyle w:val="ListParagraph"/>
              <w:numPr>
                <w:ilvl w:val="0"/>
                <w:numId w:val="29"/>
              </w:numPr>
              <w:rPr>
                <w:iCs/>
              </w:rPr>
            </w:pPr>
            <w:r>
              <w:rPr>
                <w:iCs/>
              </w:rPr>
              <w:t>There has been a year-on-year increase</w:t>
            </w:r>
            <w:r w:rsidR="003835EE" w:rsidRPr="003835EE">
              <w:rPr>
                <w:iCs/>
              </w:rPr>
              <w:t xml:space="preserve"> in the percentage of disadvantaged children achieving GLD</w:t>
            </w:r>
            <w:r w:rsidR="00F426F7">
              <w:rPr>
                <w:iCs/>
              </w:rPr>
              <w:t>, with a dip in 2025 due to cohort context, but disadvantaged children did achieve better than All children in school (33%)</w:t>
            </w:r>
          </w:p>
          <w:tbl>
            <w:tblPr>
              <w:tblStyle w:val="TableGrid"/>
              <w:tblW w:w="0" w:type="auto"/>
              <w:tblInd w:w="1800" w:type="dxa"/>
              <w:tblLook w:val="04A0" w:firstRow="1" w:lastRow="0" w:firstColumn="1" w:lastColumn="0" w:noHBand="0" w:noVBand="1"/>
            </w:tblPr>
            <w:tblGrid>
              <w:gridCol w:w="1794"/>
              <w:gridCol w:w="1413"/>
              <w:gridCol w:w="1413"/>
              <w:gridCol w:w="1500"/>
              <w:gridCol w:w="1347"/>
            </w:tblGrid>
            <w:tr w:rsidR="00F426F7" w14:paraId="7C8CC55D" w14:textId="373D40B1" w:rsidTr="00F426F7">
              <w:trPr>
                <w:trHeight w:val="299"/>
              </w:trPr>
              <w:tc>
                <w:tcPr>
                  <w:tcW w:w="1794" w:type="dxa"/>
                </w:tcPr>
                <w:p w14:paraId="265C444A" w14:textId="77777777" w:rsidR="00F426F7" w:rsidRPr="00C20D9E" w:rsidRDefault="00F426F7" w:rsidP="00C20D9E">
                  <w:pPr>
                    <w:pStyle w:val="ListParagraph"/>
                    <w:numPr>
                      <w:ilvl w:val="0"/>
                      <w:numId w:val="0"/>
                    </w:numPr>
                    <w:jc w:val="center"/>
                    <w:rPr>
                      <w:iCs/>
                      <w:sz w:val="22"/>
                      <w:szCs w:val="22"/>
                    </w:rPr>
                  </w:pPr>
                </w:p>
              </w:tc>
              <w:tc>
                <w:tcPr>
                  <w:tcW w:w="1413" w:type="dxa"/>
                </w:tcPr>
                <w:p w14:paraId="22E29F2D" w14:textId="2BDF08AB" w:rsidR="00F426F7" w:rsidRPr="00C20D9E" w:rsidRDefault="00F426F7" w:rsidP="00C20D9E">
                  <w:pPr>
                    <w:pStyle w:val="ListParagraph"/>
                    <w:numPr>
                      <w:ilvl w:val="0"/>
                      <w:numId w:val="0"/>
                    </w:numPr>
                    <w:jc w:val="center"/>
                    <w:rPr>
                      <w:iCs/>
                      <w:sz w:val="22"/>
                      <w:szCs w:val="22"/>
                    </w:rPr>
                  </w:pPr>
                  <w:r w:rsidRPr="00C20D9E">
                    <w:rPr>
                      <w:iCs/>
                      <w:sz w:val="22"/>
                      <w:szCs w:val="22"/>
                    </w:rPr>
                    <w:t>2022</w:t>
                  </w:r>
                </w:p>
              </w:tc>
              <w:tc>
                <w:tcPr>
                  <w:tcW w:w="1413" w:type="dxa"/>
                </w:tcPr>
                <w:p w14:paraId="6B015484" w14:textId="63DBA471" w:rsidR="00F426F7" w:rsidRPr="00C20D9E" w:rsidRDefault="00F426F7" w:rsidP="00C20D9E">
                  <w:pPr>
                    <w:pStyle w:val="ListParagraph"/>
                    <w:numPr>
                      <w:ilvl w:val="0"/>
                      <w:numId w:val="0"/>
                    </w:numPr>
                    <w:jc w:val="center"/>
                    <w:rPr>
                      <w:iCs/>
                      <w:sz w:val="22"/>
                      <w:szCs w:val="22"/>
                    </w:rPr>
                  </w:pPr>
                  <w:r w:rsidRPr="00C20D9E">
                    <w:rPr>
                      <w:iCs/>
                      <w:sz w:val="22"/>
                      <w:szCs w:val="22"/>
                    </w:rPr>
                    <w:t>2023</w:t>
                  </w:r>
                </w:p>
              </w:tc>
              <w:tc>
                <w:tcPr>
                  <w:tcW w:w="1500" w:type="dxa"/>
                </w:tcPr>
                <w:p w14:paraId="2D143D9F" w14:textId="79C31D90" w:rsidR="00F426F7" w:rsidRPr="00C20D9E" w:rsidRDefault="00F426F7" w:rsidP="00C20D9E">
                  <w:pPr>
                    <w:pStyle w:val="ListParagraph"/>
                    <w:numPr>
                      <w:ilvl w:val="0"/>
                      <w:numId w:val="0"/>
                    </w:numPr>
                    <w:jc w:val="center"/>
                    <w:rPr>
                      <w:iCs/>
                      <w:sz w:val="22"/>
                      <w:szCs w:val="22"/>
                    </w:rPr>
                  </w:pPr>
                  <w:r w:rsidRPr="00C20D9E">
                    <w:rPr>
                      <w:iCs/>
                      <w:sz w:val="22"/>
                      <w:szCs w:val="22"/>
                    </w:rPr>
                    <w:t>2024</w:t>
                  </w:r>
                </w:p>
              </w:tc>
              <w:tc>
                <w:tcPr>
                  <w:tcW w:w="1347" w:type="dxa"/>
                </w:tcPr>
                <w:p w14:paraId="43E794C0" w14:textId="6D8733EE" w:rsidR="00F426F7" w:rsidRPr="00C20D9E" w:rsidRDefault="00F426F7" w:rsidP="00C20D9E">
                  <w:pPr>
                    <w:pStyle w:val="ListParagraph"/>
                    <w:numPr>
                      <w:ilvl w:val="0"/>
                      <w:numId w:val="0"/>
                    </w:numPr>
                    <w:jc w:val="center"/>
                    <w:rPr>
                      <w:iCs/>
                      <w:sz w:val="22"/>
                      <w:szCs w:val="22"/>
                    </w:rPr>
                  </w:pPr>
                  <w:r>
                    <w:rPr>
                      <w:iCs/>
                      <w:sz w:val="22"/>
                      <w:szCs w:val="22"/>
                    </w:rPr>
                    <w:t>2025</w:t>
                  </w:r>
                </w:p>
              </w:tc>
            </w:tr>
            <w:tr w:rsidR="00F426F7" w14:paraId="1565F98F" w14:textId="26426A69" w:rsidTr="00F426F7">
              <w:trPr>
                <w:trHeight w:val="428"/>
              </w:trPr>
              <w:tc>
                <w:tcPr>
                  <w:tcW w:w="1794" w:type="dxa"/>
                </w:tcPr>
                <w:p w14:paraId="784E4851" w14:textId="64ED08C9" w:rsidR="00F426F7" w:rsidRPr="00C20D9E" w:rsidRDefault="00F426F7" w:rsidP="00C20D9E">
                  <w:pPr>
                    <w:pStyle w:val="ListParagraph"/>
                    <w:numPr>
                      <w:ilvl w:val="0"/>
                      <w:numId w:val="0"/>
                    </w:numPr>
                    <w:jc w:val="center"/>
                    <w:rPr>
                      <w:iCs/>
                      <w:sz w:val="22"/>
                      <w:szCs w:val="22"/>
                    </w:rPr>
                  </w:pPr>
                  <w:r>
                    <w:rPr>
                      <w:iCs/>
                      <w:sz w:val="22"/>
                      <w:szCs w:val="22"/>
                    </w:rPr>
                    <w:t>Disadvantaged</w:t>
                  </w:r>
                </w:p>
              </w:tc>
              <w:tc>
                <w:tcPr>
                  <w:tcW w:w="1413" w:type="dxa"/>
                </w:tcPr>
                <w:p w14:paraId="3F7C815D" w14:textId="3CB49F41" w:rsidR="00F426F7" w:rsidRPr="00C20D9E" w:rsidRDefault="00F426F7" w:rsidP="00C20D9E">
                  <w:pPr>
                    <w:pStyle w:val="ListParagraph"/>
                    <w:numPr>
                      <w:ilvl w:val="0"/>
                      <w:numId w:val="0"/>
                    </w:numPr>
                    <w:jc w:val="center"/>
                    <w:rPr>
                      <w:iCs/>
                      <w:sz w:val="22"/>
                      <w:szCs w:val="22"/>
                    </w:rPr>
                  </w:pPr>
                  <w:r w:rsidRPr="00C20D9E">
                    <w:rPr>
                      <w:iCs/>
                      <w:sz w:val="22"/>
                      <w:szCs w:val="22"/>
                    </w:rPr>
                    <w:t>20%</w:t>
                  </w:r>
                </w:p>
              </w:tc>
              <w:tc>
                <w:tcPr>
                  <w:tcW w:w="1413" w:type="dxa"/>
                </w:tcPr>
                <w:p w14:paraId="267B9AF0" w14:textId="7369DDFF" w:rsidR="00F426F7" w:rsidRPr="00C20D9E" w:rsidRDefault="00F426F7" w:rsidP="00C20D9E">
                  <w:pPr>
                    <w:pStyle w:val="ListParagraph"/>
                    <w:numPr>
                      <w:ilvl w:val="0"/>
                      <w:numId w:val="0"/>
                    </w:numPr>
                    <w:jc w:val="center"/>
                    <w:rPr>
                      <w:iCs/>
                      <w:sz w:val="22"/>
                      <w:szCs w:val="22"/>
                    </w:rPr>
                  </w:pPr>
                  <w:r w:rsidRPr="00C20D9E">
                    <w:rPr>
                      <w:iCs/>
                      <w:sz w:val="22"/>
                      <w:szCs w:val="22"/>
                    </w:rPr>
                    <w:t>40%</w:t>
                  </w:r>
                </w:p>
              </w:tc>
              <w:tc>
                <w:tcPr>
                  <w:tcW w:w="1500" w:type="dxa"/>
                </w:tcPr>
                <w:p w14:paraId="6EF3ADF8" w14:textId="306ACAA5" w:rsidR="00F426F7" w:rsidRPr="00C20D9E" w:rsidRDefault="00F426F7" w:rsidP="00C20D9E">
                  <w:pPr>
                    <w:pStyle w:val="ListParagraph"/>
                    <w:numPr>
                      <w:ilvl w:val="0"/>
                      <w:numId w:val="0"/>
                    </w:numPr>
                    <w:jc w:val="center"/>
                    <w:rPr>
                      <w:iCs/>
                      <w:sz w:val="22"/>
                      <w:szCs w:val="22"/>
                    </w:rPr>
                  </w:pPr>
                  <w:r w:rsidRPr="00C20D9E">
                    <w:rPr>
                      <w:iCs/>
                      <w:sz w:val="22"/>
                      <w:szCs w:val="22"/>
                    </w:rPr>
                    <w:t>62.5%</w:t>
                  </w:r>
                </w:p>
              </w:tc>
              <w:tc>
                <w:tcPr>
                  <w:tcW w:w="1347" w:type="dxa"/>
                </w:tcPr>
                <w:p w14:paraId="5CF8FDC2" w14:textId="2B0CC00D" w:rsidR="00F426F7" w:rsidRPr="00C20D9E" w:rsidRDefault="00F426F7" w:rsidP="00C20D9E">
                  <w:pPr>
                    <w:pStyle w:val="ListParagraph"/>
                    <w:numPr>
                      <w:ilvl w:val="0"/>
                      <w:numId w:val="0"/>
                    </w:numPr>
                    <w:jc w:val="center"/>
                    <w:rPr>
                      <w:iCs/>
                      <w:sz w:val="22"/>
                      <w:szCs w:val="22"/>
                    </w:rPr>
                  </w:pPr>
                  <w:r>
                    <w:rPr>
                      <w:iCs/>
                      <w:sz w:val="22"/>
                      <w:szCs w:val="22"/>
                    </w:rPr>
                    <w:t>50%</w:t>
                  </w:r>
                </w:p>
              </w:tc>
            </w:tr>
          </w:tbl>
          <w:p w14:paraId="350B093C" w14:textId="77777777" w:rsidR="00C63468" w:rsidRDefault="00C63468" w:rsidP="00C63468">
            <w:pPr>
              <w:pStyle w:val="ListParagraph"/>
              <w:numPr>
                <w:ilvl w:val="0"/>
                <w:numId w:val="0"/>
              </w:numPr>
              <w:ind w:left="1080"/>
              <w:rPr>
                <w:iCs/>
              </w:rPr>
            </w:pPr>
          </w:p>
          <w:p w14:paraId="706F2A10" w14:textId="58EDC77E" w:rsidR="003835EE" w:rsidRDefault="003835EE" w:rsidP="003835EE">
            <w:pPr>
              <w:pStyle w:val="ListParagraph"/>
              <w:numPr>
                <w:ilvl w:val="0"/>
                <w:numId w:val="27"/>
              </w:numPr>
              <w:rPr>
                <w:iCs/>
              </w:rPr>
            </w:pPr>
            <w:r>
              <w:rPr>
                <w:iCs/>
              </w:rPr>
              <w:t>Phonics:</w:t>
            </w:r>
          </w:p>
          <w:p w14:paraId="17BB8545" w14:textId="36EE066D" w:rsidR="003835EE" w:rsidRDefault="003835EE" w:rsidP="003835EE">
            <w:pPr>
              <w:pStyle w:val="ListParagraph"/>
              <w:numPr>
                <w:ilvl w:val="0"/>
                <w:numId w:val="30"/>
              </w:numPr>
              <w:rPr>
                <w:iCs/>
              </w:rPr>
            </w:pPr>
            <w:r w:rsidRPr="003835EE">
              <w:rPr>
                <w:iCs/>
              </w:rPr>
              <w:t xml:space="preserve">School disadvantaged children outperformed local, regional and national disadvantaged children in the percentage achieving the expected standard </w:t>
            </w:r>
            <w:r w:rsidR="00C63468">
              <w:rPr>
                <w:iCs/>
              </w:rPr>
              <w:t>in 2023</w:t>
            </w:r>
            <w:r w:rsidR="00F426F7">
              <w:rPr>
                <w:iCs/>
              </w:rPr>
              <w:t xml:space="preserve">, </w:t>
            </w:r>
            <w:r w:rsidR="00C63468">
              <w:rPr>
                <w:iCs/>
              </w:rPr>
              <w:t>2024</w:t>
            </w:r>
            <w:r w:rsidR="00F426F7">
              <w:rPr>
                <w:iCs/>
              </w:rPr>
              <w:t xml:space="preserve"> and 2025.</w:t>
            </w:r>
          </w:p>
          <w:p w14:paraId="3112CF84" w14:textId="5B5E9354" w:rsidR="003835EE" w:rsidRDefault="00C63468" w:rsidP="003835EE">
            <w:pPr>
              <w:pStyle w:val="ListParagraph"/>
              <w:numPr>
                <w:ilvl w:val="0"/>
                <w:numId w:val="30"/>
              </w:numPr>
              <w:rPr>
                <w:iCs/>
              </w:rPr>
            </w:pPr>
            <w:r>
              <w:rPr>
                <w:iCs/>
              </w:rPr>
              <w:t>The percentage of disadvantaged children achieving the phonics screening check standard by the end of Year 2</w:t>
            </w:r>
            <w:r w:rsidR="00B84FB3">
              <w:rPr>
                <w:iCs/>
              </w:rPr>
              <w:t xml:space="preserve"> was </w:t>
            </w:r>
            <w:r w:rsidR="00CE0303">
              <w:rPr>
                <w:iCs/>
              </w:rPr>
              <w:t>higher</w:t>
            </w:r>
            <w:r w:rsidR="00B84FB3">
              <w:rPr>
                <w:iCs/>
              </w:rPr>
              <w:t xml:space="preserve"> </w:t>
            </w:r>
            <w:r w:rsidR="00CE0303">
              <w:rPr>
                <w:iCs/>
              </w:rPr>
              <w:t>than</w:t>
            </w:r>
            <w:r w:rsidR="00B84FB3">
              <w:rPr>
                <w:iCs/>
              </w:rPr>
              <w:t xml:space="preserve"> the percentage of non-disadvantaged in school (</w:t>
            </w:r>
            <w:r w:rsidR="00CE0303">
              <w:rPr>
                <w:iCs/>
              </w:rPr>
              <w:t>72.7</w:t>
            </w:r>
            <w:r w:rsidR="00B84FB3">
              <w:rPr>
                <w:iCs/>
              </w:rPr>
              <w:t>%/</w:t>
            </w:r>
            <w:r w:rsidR="00CE0303">
              <w:rPr>
                <w:iCs/>
              </w:rPr>
              <w:t>50</w:t>
            </w:r>
            <w:r w:rsidR="00B84FB3">
              <w:rPr>
                <w:iCs/>
              </w:rPr>
              <w:t>%)</w:t>
            </w:r>
            <w:r w:rsidR="00CE0303">
              <w:rPr>
                <w:iCs/>
              </w:rPr>
              <w:t>.</w:t>
            </w:r>
          </w:p>
          <w:p w14:paraId="2E934EB1" w14:textId="77777777" w:rsidR="003835EE" w:rsidRPr="003835EE" w:rsidRDefault="003835EE" w:rsidP="003835EE">
            <w:pPr>
              <w:pStyle w:val="ListParagraph"/>
              <w:numPr>
                <w:ilvl w:val="0"/>
                <w:numId w:val="0"/>
              </w:numPr>
              <w:ind w:left="1800"/>
              <w:rPr>
                <w:iCs/>
              </w:rPr>
            </w:pPr>
          </w:p>
          <w:p w14:paraId="5860F63C" w14:textId="73E6E438" w:rsidR="003835EE" w:rsidRDefault="003835EE" w:rsidP="003835EE">
            <w:pPr>
              <w:pStyle w:val="ListParagraph"/>
              <w:numPr>
                <w:ilvl w:val="0"/>
                <w:numId w:val="27"/>
              </w:numPr>
              <w:rPr>
                <w:iCs/>
              </w:rPr>
            </w:pPr>
            <w:r>
              <w:rPr>
                <w:iCs/>
              </w:rPr>
              <w:t>KS2:</w:t>
            </w:r>
          </w:p>
          <w:p w14:paraId="5CF2D64B" w14:textId="231E82D6" w:rsidR="003835EE" w:rsidRDefault="00B84FB3" w:rsidP="003835EE">
            <w:pPr>
              <w:pStyle w:val="ListParagraph"/>
              <w:numPr>
                <w:ilvl w:val="0"/>
                <w:numId w:val="31"/>
              </w:numPr>
              <w:rPr>
                <w:iCs/>
              </w:rPr>
            </w:pPr>
            <w:r>
              <w:rPr>
                <w:iCs/>
              </w:rPr>
              <w:t>In 202</w:t>
            </w:r>
            <w:r w:rsidR="00CE0303">
              <w:rPr>
                <w:iCs/>
              </w:rPr>
              <w:t>5</w:t>
            </w:r>
            <w:r w:rsidR="003835EE" w:rsidRPr="003835EE">
              <w:rPr>
                <w:iCs/>
              </w:rPr>
              <w:t xml:space="preserve"> there</w:t>
            </w:r>
            <w:r>
              <w:rPr>
                <w:iCs/>
              </w:rPr>
              <w:t xml:space="preserve"> was</w:t>
            </w:r>
            <w:r w:rsidR="003835EE" w:rsidRPr="003835EE">
              <w:rPr>
                <w:iCs/>
              </w:rPr>
              <w:t xml:space="preserve"> an increase in the percentage of disadvantaged children achieving the expected standard in Reading, Writing</w:t>
            </w:r>
            <w:r w:rsidR="00CE0303">
              <w:rPr>
                <w:iCs/>
              </w:rPr>
              <w:t xml:space="preserve"> and</w:t>
            </w:r>
            <w:r w:rsidR="003835EE" w:rsidRPr="003835EE">
              <w:rPr>
                <w:iCs/>
              </w:rPr>
              <w:t xml:space="preserve"> </w:t>
            </w:r>
            <w:r w:rsidR="003835EE" w:rsidRPr="003835EE">
              <w:rPr>
                <w:iCs/>
              </w:rPr>
              <w:lastRenderedPageBreak/>
              <w:t>Maths</w:t>
            </w:r>
            <w:r w:rsidR="00CE0303">
              <w:rPr>
                <w:iCs/>
              </w:rPr>
              <w:t xml:space="preserve"> </w:t>
            </w:r>
            <w:r w:rsidR="003835EE" w:rsidRPr="003835EE">
              <w:rPr>
                <w:iCs/>
              </w:rPr>
              <w:t>combined</w:t>
            </w:r>
            <w:r w:rsidR="00CE0303">
              <w:rPr>
                <w:iCs/>
              </w:rPr>
              <w:t xml:space="preserve"> compared to 2024 (25%/17%), despite cohort context differences e.g. 2024- SEN = 46%; 2025 = 73%.</w:t>
            </w:r>
          </w:p>
          <w:p w14:paraId="14415B67" w14:textId="43239F4D" w:rsidR="007D72B2" w:rsidRDefault="007D72B2" w:rsidP="003835EE">
            <w:pPr>
              <w:pStyle w:val="ListParagraph"/>
              <w:numPr>
                <w:ilvl w:val="0"/>
                <w:numId w:val="31"/>
              </w:numPr>
              <w:rPr>
                <w:iCs/>
              </w:rPr>
            </w:pPr>
            <w:r>
              <w:rPr>
                <w:iCs/>
              </w:rPr>
              <w:t>In 2025 the gap between disadvantaged and non-disadvantaged children achieving RWM combined was 8.3%. In 2024 the gap was 38%, showing that this has closed significantly and more disadvantaged children achieved in line with their peers in 2025.</w:t>
            </w:r>
          </w:p>
          <w:p w14:paraId="398BE4DE" w14:textId="77777777" w:rsidR="00094663" w:rsidRDefault="00094663" w:rsidP="00094663">
            <w:pPr>
              <w:rPr>
                <w:iCs/>
              </w:rPr>
            </w:pPr>
          </w:p>
          <w:p w14:paraId="1B4F040B" w14:textId="21809817" w:rsidR="00094663" w:rsidRDefault="00094663" w:rsidP="00094663">
            <w:pPr>
              <w:pStyle w:val="ListParagraph"/>
              <w:numPr>
                <w:ilvl w:val="0"/>
                <w:numId w:val="27"/>
              </w:numPr>
              <w:rPr>
                <w:iCs/>
              </w:rPr>
            </w:pPr>
            <w:r>
              <w:rPr>
                <w:iCs/>
              </w:rPr>
              <w:t>Attendance:</w:t>
            </w:r>
          </w:p>
          <w:p w14:paraId="2040251C" w14:textId="16BB7B2A" w:rsidR="00094663" w:rsidRDefault="00094663" w:rsidP="00094663">
            <w:pPr>
              <w:pStyle w:val="ListParagraph"/>
              <w:numPr>
                <w:ilvl w:val="0"/>
                <w:numId w:val="0"/>
              </w:numPr>
              <w:ind w:left="1080"/>
              <w:rPr>
                <w:iCs/>
              </w:rPr>
            </w:pPr>
            <w:r>
              <w:rPr>
                <w:iCs/>
              </w:rPr>
              <w:t>While attendance overall continues to be a whole school priority, and there remains a gap between the attendance of disadvantaged and non-disadvantaged children, there have been some improvements in this area. In 2023 the gap between groups was around 8%. At the end of 2024 the gap between disadvantaged and non-disadvantaged children had narrowed:</w:t>
            </w:r>
          </w:p>
          <w:p w14:paraId="4C4145E6" w14:textId="14C6A877" w:rsidR="00094663" w:rsidRDefault="00094663" w:rsidP="00094663">
            <w:pPr>
              <w:pStyle w:val="ListParagraph"/>
              <w:numPr>
                <w:ilvl w:val="0"/>
                <w:numId w:val="0"/>
              </w:numPr>
              <w:ind w:left="1080"/>
              <w:rPr>
                <w:iCs/>
              </w:rPr>
            </w:pPr>
            <w:r>
              <w:rPr>
                <w:iCs/>
              </w:rPr>
              <w:t>Disadvantaged – 89.5%, non-disadvantaged – 93.1% (-3.6%)</w:t>
            </w:r>
            <w:r w:rsidR="006A6D5C">
              <w:rPr>
                <w:iCs/>
              </w:rPr>
              <w:t xml:space="preserve">. In 2025 there has been a significant increase in the attendance of disadvantaged pupils. At the end of December 2025, attendance was 92.5% for disadvantaged pupils, 96% for non-disadvantaged and 94.2% for all pupils. Although the gap between disadvantaged and non-disadvantaged children has </w:t>
            </w:r>
            <w:proofErr w:type="spellStart"/>
            <w:r w:rsidR="006A6D5C">
              <w:rPr>
                <w:iCs/>
              </w:rPr>
              <w:t>deccreased</w:t>
            </w:r>
            <w:proofErr w:type="spellEnd"/>
            <w:r w:rsidR="006A6D5C">
              <w:rPr>
                <w:iCs/>
              </w:rPr>
              <w:t xml:space="preserve"> only slightly to -3.5%, both groups have improved overall attendance figures.</w:t>
            </w:r>
          </w:p>
          <w:p w14:paraId="35B6888A" w14:textId="36720652" w:rsidR="00094663" w:rsidRDefault="00094663" w:rsidP="00094663">
            <w:pPr>
              <w:pStyle w:val="ListParagraph"/>
              <w:numPr>
                <w:ilvl w:val="0"/>
                <w:numId w:val="0"/>
              </w:numPr>
              <w:ind w:left="1080"/>
              <w:rPr>
                <w:iCs/>
              </w:rPr>
            </w:pPr>
            <w:r>
              <w:rPr>
                <w:iCs/>
              </w:rPr>
              <w:t>Persistent absence also continues to be a priority</w:t>
            </w:r>
            <w:r w:rsidR="006A6D5C">
              <w:rPr>
                <w:iCs/>
              </w:rPr>
              <w:t xml:space="preserve">. </w:t>
            </w:r>
            <w:r>
              <w:rPr>
                <w:iCs/>
              </w:rPr>
              <w:t>In 2024 the number of disadvantaged who were persistently absent was 26 (38%) and non-disadvantaged was 14 children (16.1%)</w:t>
            </w:r>
          </w:p>
          <w:p w14:paraId="3628EA54" w14:textId="686885EC" w:rsidR="007D72B2" w:rsidRPr="00094663" w:rsidRDefault="007D72B2" w:rsidP="00094663">
            <w:pPr>
              <w:pStyle w:val="ListParagraph"/>
              <w:numPr>
                <w:ilvl w:val="0"/>
                <w:numId w:val="0"/>
              </w:numPr>
              <w:ind w:left="1080"/>
              <w:rPr>
                <w:iCs/>
              </w:rPr>
            </w:pPr>
            <w:r>
              <w:rPr>
                <w:iCs/>
              </w:rPr>
              <w:t xml:space="preserve">In the Autumn term of 2025 </w:t>
            </w:r>
            <w:r w:rsidR="006A6D5C">
              <w:rPr>
                <w:iCs/>
              </w:rPr>
              <w:t xml:space="preserve">PA was19.2% (14 children) for disadvantaged children and 10% (7 children) for non-disadvantaged children. This is a significant improvement from 2024 for both groups. </w:t>
            </w:r>
          </w:p>
          <w:p w14:paraId="2A7D5546" w14:textId="12EC100A" w:rsidR="00282D52" w:rsidRPr="00282D52" w:rsidRDefault="00282D52" w:rsidP="009E555F">
            <w:pPr>
              <w:rPr>
                <w:i/>
                <w:iCs/>
                <w:sz w:val="20"/>
                <w:szCs w:val="20"/>
              </w:rPr>
            </w:pPr>
          </w:p>
        </w:tc>
      </w:tr>
    </w:tbl>
    <w:p w14:paraId="2A7D555E" w14:textId="77777777" w:rsidR="00E66558" w:rsidRDefault="00E66558"/>
    <w:bookmarkEnd w:id="14"/>
    <w:bookmarkEnd w:id="15"/>
    <w:bookmarkEnd w:id="16"/>
    <w:p w14:paraId="2A7D5564" w14:textId="77777777" w:rsidR="00E66558" w:rsidRDefault="00E66558"/>
    <w:sectPr w:rsidR="00E66558">
      <w:headerReference w:type="default" r:id="rId31"/>
      <w:footerReference w:type="default" r:id="rId3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A728" w14:textId="77777777" w:rsidR="00B034DE" w:rsidRDefault="00B034DE">
      <w:pPr>
        <w:spacing w:after="0" w:line="240" w:lineRule="auto"/>
      </w:pPr>
      <w:r>
        <w:separator/>
      </w:r>
    </w:p>
  </w:endnote>
  <w:endnote w:type="continuationSeparator" w:id="0">
    <w:p w14:paraId="5AE22ADF" w14:textId="77777777" w:rsidR="00B034DE" w:rsidRDefault="00B0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E0453D"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5D41" w14:textId="77777777" w:rsidR="00B034DE" w:rsidRDefault="00B034DE">
      <w:pPr>
        <w:spacing w:after="0" w:line="240" w:lineRule="auto"/>
      </w:pPr>
      <w:r>
        <w:separator/>
      </w:r>
    </w:p>
  </w:footnote>
  <w:footnote w:type="continuationSeparator" w:id="0">
    <w:p w14:paraId="60EC224C" w14:textId="77777777" w:rsidR="00B034DE" w:rsidRDefault="00B0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6F5C2F01" w:rsidR="00E0453D" w:rsidRDefault="00E31107">
    <w:pPr>
      <w:pStyle w:val="Header"/>
    </w:pPr>
    <w:r>
      <w:rPr>
        <w:noProof/>
      </w:rPr>
      <w:drawing>
        <wp:inline distT="0" distB="0" distL="0" distR="0" wp14:anchorId="3E842CAE" wp14:editId="52CDAA98">
          <wp:extent cx="792480" cy="560227"/>
          <wp:effectExtent l="0" t="0" r="7620" b="0"/>
          <wp:docPr id="2028759669"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59669"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0917" cy="566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6A6"/>
    <w:multiLevelType w:val="hybridMultilevel"/>
    <w:tmpl w:val="1D64EC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9A244A7"/>
    <w:multiLevelType w:val="hybridMultilevel"/>
    <w:tmpl w:val="0E8C601E"/>
    <w:lvl w:ilvl="0" w:tplc="FA4845AC">
      <w:start w:val="1"/>
      <w:numFmt w:val="bullet"/>
      <w:lvlText w:val="•"/>
      <w:lvlJc w:val="left"/>
      <w:pPr>
        <w:tabs>
          <w:tab w:val="num" w:pos="720"/>
        </w:tabs>
        <w:ind w:left="720" w:hanging="360"/>
      </w:pPr>
      <w:rPr>
        <w:rFonts w:ascii="Arial" w:hAnsi="Arial" w:hint="default"/>
      </w:rPr>
    </w:lvl>
    <w:lvl w:ilvl="1" w:tplc="6AA83312" w:tentative="1">
      <w:start w:val="1"/>
      <w:numFmt w:val="bullet"/>
      <w:lvlText w:val="•"/>
      <w:lvlJc w:val="left"/>
      <w:pPr>
        <w:tabs>
          <w:tab w:val="num" w:pos="1440"/>
        </w:tabs>
        <w:ind w:left="1440" w:hanging="360"/>
      </w:pPr>
      <w:rPr>
        <w:rFonts w:ascii="Arial" w:hAnsi="Arial" w:hint="default"/>
      </w:rPr>
    </w:lvl>
    <w:lvl w:ilvl="2" w:tplc="9BEE8C8E" w:tentative="1">
      <w:start w:val="1"/>
      <w:numFmt w:val="bullet"/>
      <w:lvlText w:val="•"/>
      <w:lvlJc w:val="left"/>
      <w:pPr>
        <w:tabs>
          <w:tab w:val="num" w:pos="2160"/>
        </w:tabs>
        <w:ind w:left="2160" w:hanging="360"/>
      </w:pPr>
      <w:rPr>
        <w:rFonts w:ascii="Arial" w:hAnsi="Arial" w:hint="default"/>
      </w:rPr>
    </w:lvl>
    <w:lvl w:ilvl="3" w:tplc="AE56A0C2" w:tentative="1">
      <w:start w:val="1"/>
      <w:numFmt w:val="bullet"/>
      <w:lvlText w:val="•"/>
      <w:lvlJc w:val="left"/>
      <w:pPr>
        <w:tabs>
          <w:tab w:val="num" w:pos="2880"/>
        </w:tabs>
        <w:ind w:left="2880" w:hanging="360"/>
      </w:pPr>
      <w:rPr>
        <w:rFonts w:ascii="Arial" w:hAnsi="Arial" w:hint="default"/>
      </w:rPr>
    </w:lvl>
    <w:lvl w:ilvl="4" w:tplc="E502411A" w:tentative="1">
      <w:start w:val="1"/>
      <w:numFmt w:val="bullet"/>
      <w:lvlText w:val="•"/>
      <w:lvlJc w:val="left"/>
      <w:pPr>
        <w:tabs>
          <w:tab w:val="num" w:pos="3600"/>
        </w:tabs>
        <w:ind w:left="3600" w:hanging="360"/>
      </w:pPr>
      <w:rPr>
        <w:rFonts w:ascii="Arial" w:hAnsi="Arial" w:hint="default"/>
      </w:rPr>
    </w:lvl>
    <w:lvl w:ilvl="5" w:tplc="CC4AD21C" w:tentative="1">
      <w:start w:val="1"/>
      <w:numFmt w:val="bullet"/>
      <w:lvlText w:val="•"/>
      <w:lvlJc w:val="left"/>
      <w:pPr>
        <w:tabs>
          <w:tab w:val="num" w:pos="4320"/>
        </w:tabs>
        <w:ind w:left="4320" w:hanging="360"/>
      </w:pPr>
      <w:rPr>
        <w:rFonts w:ascii="Arial" w:hAnsi="Arial" w:hint="default"/>
      </w:rPr>
    </w:lvl>
    <w:lvl w:ilvl="6" w:tplc="0B18071C" w:tentative="1">
      <w:start w:val="1"/>
      <w:numFmt w:val="bullet"/>
      <w:lvlText w:val="•"/>
      <w:lvlJc w:val="left"/>
      <w:pPr>
        <w:tabs>
          <w:tab w:val="num" w:pos="5040"/>
        </w:tabs>
        <w:ind w:left="5040" w:hanging="360"/>
      </w:pPr>
      <w:rPr>
        <w:rFonts w:ascii="Arial" w:hAnsi="Arial" w:hint="default"/>
      </w:rPr>
    </w:lvl>
    <w:lvl w:ilvl="7" w:tplc="2B885CC2" w:tentative="1">
      <w:start w:val="1"/>
      <w:numFmt w:val="bullet"/>
      <w:lvlText w:val="•"/>
      <w:lvlJc w:val="left"/>
      <w:pPr>
        <w:tabs>
          <w:tab w:val="num" w:pos="5760"/>
        </w:tabs>
        <w:ind w:left="5760" w:hanging="360"/>
      </w:pPr>
      <w:rPr>
        <w:rFonts w:ascii="Arial" w:hAnsi="Arial" w:hint="default"/>
      </w:rPr>
    </w:lvl>
    <w:lvl w:ilvl="8" w:tplc="F68E3D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BB43DB"/>
    <w:multiLevelType w:val="hybridMultilevel"/>
    <w:tmpl w:val="E692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20C2"/>
    <w:multiLevelType w:val="hybridMultilevel"/>
    <w:tmpl w:val="21C0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61D83"/>
    <w:multiLevelType w:val="hybridMultilevel"/>
    <w:tmpl w:val="BA6A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9CB0336"/>
    <w:multiLevelType w:val="hybridMultilevel"/>
    <w:tmpl w:val="70B09A60"/>
    <w:lvl w:ilvl="0" w:tplc="3AE49C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050C68"/>
    <w:multiLevelType w:val="hybridMultilevel"/>
    <w:tmpl w:val="6764DA1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A548AC"/>
    <w:multiLevelType w:val="hybridMultilevel"/>
    <w:tmpl w:val="4682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609D"/>
    <w:multiLevelType w:val="hybridMultilevel"/>
    <w:tmpl w:val="841A7A7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F609DA"/>
    <w:multiLevelType w:val="hybridMultilevel"/>
    <w:tmpl w:val="3D62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967E1B"/>
    <w:multiLevelType w:val="hybridMultilevel"/>
    <w:tmpl w:val="D45A1C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C201BEB"/>
    <w:multiLevelType w:val="hybridMultilevel"/>
    <w:tmpl w:val="56C2BAD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4E3484A"/>
    <w:multiLevelType w:val="hybridMultilevel"/>
    <w:tmpl w:val="159E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A0BAC"/>
    <w:multiLevelType w:val="hybridMultilevel"/>
    <w:tmpl w:val="E7D0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2D5A12"/>
    <w:multiLevelType w:val="hybridMultilevel"/>
    <w:tmpl w:val="9F3A2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AD26892"/>
    <w:multiLevelType w:val="hybridMultilevel"/>
    <w:tmpl w:val="33B61470"/>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963B7"/>
    <w:multiLevelType w:val="hybridMultilevel"/>
    <w:tmpl w:val="5C626E6A"/>
    <w:lvl w:ilvl="0" w:tplc="5942B42E">
      <w:start w:val="1"/>
      <w:numFmt w:val="bullet"/>
      <w:lvlText w:val="•"/>
      <w:lvlJc w:val="left"/>
      <w:pPr>
        <w:tabs>
          <w:tab w:val="num" w:pos="720"/>
        </w:tabs>
        <w:ind w:left="720" w:hanging="360"/>
      </w:pPr>
      <w:rPr>
        <w:rFonts w:ascii="Arial" w:hAnsi="Arial" w:hint="default"/>
      </w:rPr>
    </w:lvl>
    <w:lvl w:ilvl="1" w:tplc="BC082C76" w:tentative="1">
      <w:start w:val="1"/>
      <w:numFmt w:val="bullet"/>
      <w:lvlText w:val="•"/>
      <w:lvlJc w:val="left"/>
      <w:pPr>
        <w:tabs>
          <w:tab w:val="num" w:pos="1440"/>
        </w:tabs>
        <w:ind w:left="1440" w:hanging="360"/>
      </w:pPr>
      <w:rPr>
        <w:rFonts w:ascii="Arial" w:hAnsi="Arial" w:hint="default"/>
      </w:rPr>
    </w:lvl>
    <w:lvl w:ilvl="2" w:tplc="FFC03498" w:tentative="1">
      <w:start w:val="1"/>
      <w:numFmt w:val="bullet"/>
      <w:lvlText w:val="•"/>
      <w:lvlJc w:val="left"/>
      <w:pPr>
        <w:tabs>
          <w:tab w:val="num" w:pos="2160"/>
        </w:tabs>
        <w:ind w:left="2160" w:hanging="360"/>
      </w:pPr>
      <w:rPr>
        <w:rFonts w:ascii="Arial" w:hAnsi="Arial" w:hint="default"/>
      </w:rPr>
    </w:lvl>
    <w:lvl w:ilvl="3" w:tplc="2A06B0C6" w:tentative="1">
      <w:start w:val="1"/>
      <w:numFmt w:val="bullet"/>
      <w:lvlText w:val="•"/>
      <w:lvlJc w:val="left"/>
      <w:pPr>
        <w:tabs>
          <w:tab w:val="num" w:pos="2880"/>
        </w:tabs>
        <w:ind w:left="2880" w:hanging="360"/>
      </w:pPr>
      <w:rPr>
        <w:rFonts w:ascii="Arial" w:hAnsi="Arial" w:hint="default"/>
      </w:rPr>
    </w:lvl>
    <w:lvl w:ilvl="4" w:tplc="3D068260" w:tentative="1">
      <w:start w:val="1"/>
      <w:numFmt w:val="bullet"/>
      <w:lvlText w:val="•"/>
      <w:lvlJc w:val="left"/>
      <w:pPr>
        <w:tabs>
          <w:tab w:val="num" w:pos="3600"/>
        </w:tabs>
        <w:ind w:left="3600" w:hanging="360"/>
      </w:pPr>
      <w:rPr>
        <w:rFonts w:ascii="Arial" w:hAnsi="Arial" w:hint="default"/>
      </w:rPr>
    </w:lvl>
    <w:lvl w:ilvl="5" w:tplc="318ACA56" w:tentative="1">
      <w:start w:val="1"/>
      <w:numFmt w:val="bullet"/>
      <w:lvlText w:val="•"/>
      <w:lvlJc w:val="left"/>
      <w:pPr>
        <w:tabs>
          <w:tab w:val="num" w:pos="4320"/>
        </w:tabs>
        <w:ind w:left="4320" w:hanging="360"/>
      </w:pPr>
      <w:rPr>
        <w:rFonts w:ascii="Arial" w:hAnsi="Arial" w:hint="default"/>
      </w:rPr>
    </w:lvl>
    <w:lvl w:ilvl="6" w:tplc="BC9C4DEA" w:tentative="1">
      <w:start w:val="1"/>
      <w:numFmt w:val="bullet"/>
      <w:lvlText w:val="•"/>
      <w:lvlJc w:val="left"/>
      <w:pPr>
        <w:tabs>
          <w:tab w:val="num" w:pos="5040"/>
        </w:tabs>
        <w:ind w:left="5040" w:hanging="360"/>
      </w:pPr>
      <w:rPr>
        <w:rFonts w:ascii="Arial" w:hAnsi="Arial" w:hint="default"/>
      </w:rPr>
    </w:lvl>
    <w:lvl w:ilvl="7" w:tplc="9F109C70" w:tentative="1">
      <w:start w:val="1"/>
      <w:numFmt w:val="bullet"/>
      <w:lvlText w:val="•"/>
      <w:lvlJc w:val="left"/>
      <w:pPr>
        <w:tabs>
          <w:tab w:val="num" w:pos="5760"/>
        </w:tabs>
        <w:ind w:left="5760" w:hanging="360"/>
      </w:pPr>
      <w:rPr>
        <w:rFonts w:ascii="Arial" w:hAnsi="Arial" w:hint="default"/>
      </w:rPr>
    </w:lvl>
    <w:lvl w:ilvl="8" w:tplc="0948770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A60488"/>
    <w:multiLevelType w:val="hybridMultilevel"/>
    <w:tmpl w:val="29A878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5EB34D5"/>
    <w:multiLevelType w:val="hybridMultilevel"/>
    <w:tmpl w:val="37C61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26600352">
    <w:abstractNumId w:val="8"/>
  </w:num>
  <w:num w:numId="2" w16cid:durableId="335152292">
    <w:abstractNumId w:val="6"/>
  </w:num>
  <w:num w:numId="3" w16cid:durableId="2080781347">
    <w:abstractNumId w:val="9"/>
  </w:num>
  <w:num w:numId="4" w16cid:durableId="436021671">
    <w:abstractNumId w:val="12"/>
  </w:num>
  <w:num w:numId="5" w16cid:durableId="268661190">
    <w:abstractNumId w:val="2"/>
  </w:num>
  <w:num w:numId="6" w16cid:durableId="709380064">
    <w:abstractNumId w:val="15"/>
  </w:num>
  <w:num w:numId="7" w16cid:durableId="1522159836">
    <w:abstractNumId w:val="27"/>
  </w:num>
  <w:num w:numId="8" w16cid:durableId="651563281">
    <w:abstractNumId w:val="31"/>
  </w:num>
  <w:num w:numId="9" w16cid:durableId="2000308507">
    <w:abstractNumId w:val="29"/>
  </w:num>
  <w:num w:numId="10" w16cid:durableId="289366862">
    <w:abstractNumId w:val="28"/>
  </w:num>
  <w:num w:numId="11" w16cid:durableId="1842744493">
    <w:abstractNumId w:val="7"/>
  </w:num>
  <w:num w:numId="12" w16cid:durableId="232854880">
    <w:abstractNumId w:val="30"/>
  </w:num>
  <w:num w:numId="13" w16cid:durableId="853303533">
    <w:abstractNumId w:val="24"/>
  </w:num>
  <w:num w:numId="14" w16cid:durableId="269096254">
    <w:abstractNumId w:val="22"/>
  </w:num>
  <w:num w:numId="15" w16cid:durableId="435715986">
    <w:abstractNumId w:val="20"/>
  </w:num>
  <w:num w:numId="16" w16cid:durableId="649135327">
    <w:abstractNumId w:val="3"/>
  </w:num>
  <w:num w:numId="17" w16cid:durableId="1809977751">
    <w:abstractNumId w:val="0"/>
  </w:num>
  <w:num w:numId="18" w16cid:durableId="633213060">
    <w:abstractNumId w:val="18"/>
  </w:num>
  <w:num w:numId="19" w16cid:durableId="1757361773">
    <w:abstractNumId w:val="17"/>
  </w:num>
  <w:num w:numId="20" w16cid:durableId="161051334">
    <w:abstractNumId w:val="14"/>
  </w:num>
  <w:num w:numId="21" w16cid:durableId="1840608999">
    <w:abstractNumId w:val="11"/>
  </w:num>
  <w:num w:numId="22" w16cid:durableId="1254629835">
    <w:abstractNumId w:val="5"/>
  </w:num>
  <w:num w:numId="23" w16cid:durableId="2024430806">
    <w:abstractNumId w:val="4"/>
  </w:num>
  <w:num w:numId="24" w16cid:durableId="588197709">
    <w:abstractNumId w:val="13"/>
  </w:num>
  <w:num w:numId="25" w16cid:durableId="345979235">
    <w:abstractNumId w:val="16"/>
  </w:num>
  <w:num w:numId="26" w16cid:durableId="1627929825">
    <w:abstractNumId w:val="19"/>
  </w:num>
  <w:num w:numId="27" w16cid:durableId="306250905">
    <w:abstractNumId w:val="10"/>
  </w:num>
  <w:num w:numId="28" w16cid:durableId="1210189277">
    <w:abstractNumId w:val="23"/>
  </w:num>
  <w:num w:numId="29" w16cid:durableId="1786466024">
    <w:abstractNumId w:val="25"/>
  </w:num>
  <w:num w:numId="30" w16cid:durableId="852302081">
    <w:abstractNumId w:val="26"/>
  </w:num>
  <w:num w:numId="31" w16cid:durableId="923801403">
    <w:abstractNumId w:val="21"/>
  </w:num>
  <w:num w:numId="32" w16cid:durableId="159004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342"/>
    <w:rsid w:val="00066B73"/>
    <w:rsid w:val="00094663"/>
    <w:rsid w:val="000C4054"/>
    <w:rsid w:val="00120AB1"/>
    <w:rsid w:val="001379A9"/>
    <w:rsid w:val="001A0EF9"/>
    <w:rsid w:val="001E2AE9"/>
    <w:rsid w:val="001F7050"/>
    <w:rsid w:val="002349CC"/>
    <w:rsid w:val="002637BE"/>
    <w:rsid w:val="00282D52"/>
    <w:rsid w:val="002A4F1F"/>
    <w:rsid w:val="002C5536"/>
    <w:rsid w:val="002D4665"/>
    <w:rsid w:val="003502BC"/>
    <w:rsid w:val="003835EE"/>
    <w:rsid w:val="00390341"/>
    <w:rsid w:val="003C1CA8"/>
    <w:rsid w:val="003E2D6E"/>
    <w:rsid w:val="004044AA"/>
    <w:rsid w:val="00416D77"/>
    <w:rsid w:val="00431C8E"/>
    <w:rsid w:val="00501442"/>
    <w:rsid w:val="00503440"/>
    <w:rsid w:val="005102FA"/>
    <w:rsid w:val="00561459"/>
    <w:rsid w:val="00623F9E"/>
    <w:rsid w:val="00692928"/>
    <w:rsid w:val="006A6D5C"/>
    <w:rsid w:val="006D477A"/>
    <w:rsid w:val="006E7FB1"/>
    <w:rsid w:val="00707151"/>
    <w:rsid w:val="00712813"/>
    <w:rsid w:val="00725713"/>
    <w:rsid w:val="00741B9E"/>
    <w:rsid w:val="00775D79"/>
    <w:rsid w:val="007C2F04"/>
    <w:rsid w:val="007D72B2"/>
    <w:rsid w:val="007E62B9"/>
    <w:rsid w:val="00800AD0"/>
    <w:rsid w:val="008764DC"/>
    <w:rsid w:val="008C1268"/>
    <w:rsid w:val="009663A9"/>
    <w:rsid w:val="00973409"/>
    <w:rsid w:val="009C0122"/>
    <w:rsid w:val="009D71E8"/>
    <w:rsid w:val="009E555F"/>
    <w:rsid w:val="00A401FB"/>
    <w:rsid w:val="00AA4201"/>
    <w:rsid w:val="00AB4A8E"/>
    <w:rsid w:val="00AD4FA8"/>
    <w:rsid w:val="00B01CC6"/>
    <w:rsid w:val="00B034DE"/>
    <w:rsid w:val="00B21473"/>
    <w:rsid w:val="00B651D4"/>
    <w:rsid w:val="00B67562"/>
    <w:rsid w:val="00B67A51"/>
    <w:rsid w:val="00B84FB3"/>
    <w:rsid w:val="00B8580A"/>
    <w:rsid w:val="00BA19DB"/>
    <w:rsid w:val="00BF75D5"/>
    <w:rsid w:val="00C20D9E"/>
    <w:rsid w:val="00C61155"/>
    <w:rsid w:val="00C63468"/>
    <w:rsid w:val="00C74460"/>
    <w:rsid w:val="00C81987"/>
    <w:rsid w:val="00CE0303"/>
    <w:rsid w:val="00D202DC"/>
    <w:rsid w:val="00D33FE5"/>
    <w:rsid w:val="00D47B80"/>
    <w:rsid w:val="00D47EDE"/>
    <w:rsid w:val="00D85027"/>
    <w:rsid w:val="00DA6DA6"/>
    <w:rsid w:val="00DE5363"/>
    <w:rsid w:val="00DF115A"/>
    <w:rsid w:val="00E0453D"/>
    <w:rsid w:val="00E1269A"/>
    <w:rsid w:val="00E218AF"/>
    <w:rsid w:val="00E31107"/>
    <w:rsid w:val="00E33CAC"/>
    <w:rsid w:val="00E57BE1"/>
    <w:rsid w:val="00E66558"/>
    <w:rsid w:val="00EA73D1"/>
    <w:rsid w:val="00F11197"/>
    <w:rsid w:val="00F426F7"/>
    <w:rsid w:val="00F4558D"/>
    <w:rsid w:val="00F52EF7"/>
    <w:rsid w:val="00F60968"/>
    <w:rsid w:val="00F6354E"/>
    <w:rsid w:val="00F96165"/>
    <w:rsid w:val="00FE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C20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3250">
      <w:bodyDiv w:val="1"/>
      <w:marLeft w:val="0"/>
      <w:marRight w:val="0"/>
      <w:marTop w:val="0"/>
      <w:marBottom w:val="0"/>
      <w:divBdr>
        <w:top w:val="none" w:sz="0" w:space="0" w:color="auto"/>
        <w:left w:val="none" w:sz="0" w:space="0" w:color="auto"/>
        <w:bottom w:val="none" w:sz="0" w:space="0" w:color="auto"/>
        <w:right w:val="none" w:sz="0" w:space="0" w:color="auto"/>
      </w:divBdr>
    </w:div>
    <w:div w:id="598757963">
      <w:bodyDiv w:val="1"/>
      <w:marLeft w:val="0"/>
      <w:marRight w:val="0"/>
      <w:marTop w:val="0"/>
      <w:marBottom w:val="0"/>
      <w:divBdr>
        <w:top w:val="none" w:sz="0" w:space="0" w:color="auto"/>
        <w:left w:val="none" w:sz="0" w:space="0" w:color="auto"/>
        <w:bottom w:val="none" w:sz="0" w:space="0" w:color="auto"/>
        <w:right w:val="none" w:sz="0" w:space="0" w:color="auto"/>
      </w:divBdr>
      <w:divsChild>
        <w:div w:id="912395022">
          <w:marLeft w:val="446"/>
          <w:marRight w:val="0"/>
          <w:marTop w:val="0"/>
          <w:marBottom w:val="0"/>
          <w:divBdr>
            <w:top w:val="none" w:sz="0" w:space="0" w:color="auto"/>
            <w:left w:val="none" w:sz="0" w:space="0" w:color="auto"/>
            <w:bottom w:val="none" w:sz="0" w:space="0" w:color="auto"/>
            <w:right w:val="none" w:sz="0" w:space="0" w:color="auto"/>
          </w:divBdr>
        </w:div>
      </w:divsChild>
    </w:div>
    <w:div w:id="999694371">
      <w:bodyDiv w:val="1"/>
      <w:marLeft w:val="0"/>
      <w:marRight w:val="0"/>
      <w:marTop w:val="0"/>
      <w:marBottom w:val="0"/>
      <w:divBdr>
        <w:top w:val="none" w:sz="0" w:space="0" w:color="auto"/>
        <w:left w:val="none" w:sz="0" w:space="0" w:color="auto"/>
        <w:bottom w:val="none" w:sz="0" w:space="0" w:color="auto"/>
        <w:right w:val="none" w:sz="0" w:space="0" w:color="auto"/>
      </w:divBdr>
    </w:div>
    <w:div w:id="1000082006">
      <w:bodyDiv w:val="1"/>
      <w:marLeft w:val="0"/>
      <w:marRight w:val="0"/>
      <w:marTop w:val="0"/>
      <w:marBottom w:val="0"/>
      <w:divBdr>
        <w:top w:val="none" w:sz="0" w:space="0" w:color="auto"/>
        <w:left w:val="none" w:sz="0" w:space="0" w:color="auto"/>
        <w:bottom w:val="none" w:sz="0" w:space="0" w:color="auto"/>
        <w:right w:val="none" w:sz="0" w:space="0" w:color="auto"/>
      </w:divBdr>
    </w:div>
    <w:div w:id="1347246735">
      <w:bodyDiv w:val="1"/>
      <w:marLeft w:val="0"/>
      <w:marRight w:val="0"/>
      <w:marTop w:val="0"/>
      <w:marBottom w:val="0"/>
      <w:divBdr>
        <w:top w:val="none" w:sz="0" w:space="0" w:color="auto"/>
        <w:left w:val="none" w:sz="0" w:space="0" w:color="auto"/>
        <w:bottom w:val="none" w:sz="0" w:space="0" w:color="auto"/>
        <w:right w:val="none" w:sz="0" w:space="0" w:color="auto"/>
      </w:divBdr>
      <w:divsChild>
        <w:div w:id="765153021">
          <w:marLeft w:val="360"/>
          <w:marRight w:val="0"/>
          <w:marTop w:val="200"/>
          <w:marBottom w:val="0"/>
          <w:divBdr>
            <w:top w:val="none" w:sz="0" w:space="0" w:color="auto"/>
            <w:left w:val="none" w:sz="0" w:space="0" w:color="auto"/>
            <w:bottom w:val="none" w:sz="0" w:space="0" w:color="auto"/>
            <w:right w:val="none" w:sz="0" w:space="0" w:color="auto"/>
          </w:divBdr>
        </w:div>
      </w:divsChild>
    </w:div>
    <w:div w:id="1508404871">
      <w:bodyDiv w:val="1"/>
      <w:marLeft w:val="0"/>
      <w:marRight w:val="0"/>
      <w:marTop w:val="0"/>
      <w:marBottom w:val="0"/>
      <w:divBdr>
        <w:top w:val="none" w:sz="0" w:space="0" w:color="auto"/>
        <w:left w:val="none" w:sz="0" w:space="0" w:color="auto"/>
        <w:bottom w:val="none" w:sz="0" w:space="0" w:color="auto"/>
        <w:right w:val="none" w:sz="0" w:space="0" w:color="auto"/>
      </w:divBdr>
    </w:div>
    <w:div w:id="1812088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teaching-learning-toolkit/feedback" TargetMode="External"/><Relationship Id="rId18" Type="http://schemas.openxmlformats.org/officeDocument/2006/relationships/hyperlink" Target="https://educationendowmentfoundation.org.uk/education-evidence/teaching-learning-toolkit/oral-language-interventions" TargetMode="External"/><Relationship Id="rId26" Type="http://schemas.openxmlformats.org/officeDocument/2006/relationships/hyperlink" Target="https://educationendowmentfoundation.org.uk/education-evidence/teaching-learning-toolkit/social-and-emotional-learning"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mastery-learning" TargetMode="External"/><Relationship Id="rId34" Type="http://schemas.openxmlformats.org/officeDocument/2006/relationships/theme" Target="theme/theme1.xm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hyperlink" Target="https://educationendowmentfoundation.org.uk/education-evidence/teaching-learning-toolkit/mastery-learning" TargetMode="External"/><Relationship Id="rId17" Type="http://schemas.openxmlformats.org/officeDocument/2006/relationships/hyperlink" Target="https://educationendowmentfoundation.org.uk/education-evidence/teaching-learning-toolkit/reading-comprehension-strategies" TargetMode="External"/><Relationship Id="rId25" Type="http://schemas.openxmlformats.org/officeDocument/2006/relationships/hyperlink" Target="https://educationendowmentfoundation.org.uk/education-evidence/teaching-learning-toolkit/metacognition-and-self-regulatio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mastery-learning" TargetMode="External"/><Relationship Id="rId20" Type="http://schemas.openxmlformats.org/officeDocument/2006/relationships/hyperlink" Target="https://educationendowmentfoundation.org.uk/education-evidence/teaching-learning-toolkit/metacognition-and-self-regulation" TargetMode="External"/><Relationship Id="rId29" Type="http://schemas.openxmlformats.org/officeDocument/2006/relationships/hyperlink" Target="https://educationendowmentfoundation.org.uk/education-evidence/teaching-learning-toolkit/social-and-emotional-lear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yperlink" Target="https://educationendowmentfoundation.org.uk/education-evidence/teaching-learning-toolkit/parental-engagemen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teaching-learning-toolkit/mastery-learning" TargetMode="External"/><Relationship Id="rId28"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voice21.org/impact-report-20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reading-comprehension-strategies" TargetMode="External"/><Relationship Id="rId14" Type="http://schemas.openxmlformats.org/officeDocument/2006/relationships/hyperlink" Target="https://educationendowmentfoundation.org.uk/education-evidence/teaching-learning-toolkit/collaborative-learning-approaches" TargetMode="External"/><Relationship Id="rId22" Type="http://schemas.openxmlformats.org/officeDocument/2006/relationships/hyperlink" Target="https://educationendowmentfoundation.org.uk/education-evidence/teaching-learning-toolkit/teaching-assistant-interventions" TargetMode="External"/><Relationship Id="rId27" Type="http://schemas.openxmlformats.org/officeDocument/2006/relationships/hyperlink" Target="https://educationendowmentfoundation.org.uk/education-evidence/teaching-learning-toolkit/behaviour-interventions" TargetMode="External"/><Relationship Id="rId30" Type="http://schemas.openxmlformats.org/officeDocument/2006/relationships/hyperlink" Target="https://educationendowmentfoundation.org.uk/education-evidence/teaching-learning-toolkit/behaviour-interventions" TargetMode="External"/><Relationship Id="rId8" Type="http://schemas.openxmlformats.org/officeDocument/2006/relationships/hyperlink" Target="https://educationendowmentfoundation.org.uk/education-evidence/teaching-learning-toolkit/small-group-tu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3033</Words>
  <Characters>16899</Characters>
  <Application>Microsoft Office Word</Application>
  <DocSecurity>0</DocSecurity>
  <Lines>2816</Lines>
  <Paragraphs>996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The Brow - Head Teacher</cp:lastModifiedBy>
  <cp:revision>4</cp:revision>
  <cp:lastPrinted>2014-09-17T13:26:00Z</cp:lastPrinted>
  <dcterms:created xsi:type="dcterms:W3CDTF">2025-12-29T21:07:00Z</dcterms:created>
  <dcterms:modified xsi:type="dcterms:W3CDTF">2026-01-12T12:04:00Z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