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CURRICULUM MAP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3121975</wp:posOffset>
            </wp:positionH>
            <wp:positionV relativeFrom="paragraph">
              <wp:posOffset>-571495</wp:posOffset>
            </wp:positionV>
            <wp:extent cx="2619376" cy="571671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6" cy="5716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5420.0" w:type="dxa"/>
        <w:jc w:val="left"/>
        <w:tblInd w:w="-5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15"/>
        <w:gridCol w:w="2295"/>
        <w:gridCol w:w="2400"/>
        <w:gridCol w:w="2415"/>
        <w:gridCol w:w="2400"/>
        <w:gridCol w:w="2145"/>
        <w:gridCol w:w="2250"/>
        <w:tblGridChange w:id="0">
          <w:tblGrid>
            <w:gridCol w:w="1515"/>
            <w:gridCol w:w="2295"/>
            <w:gridCol w:w="2400"/>
            <w:gridCol w:w="2415"/>
            <w:gridCol w:w="2400"/>
            <w:gridCol w:w="2145"/>
            <w:gridCol w:w="2250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4a86e8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  <w:sz w:val="28"/>
                <w:szCs w:val="28"/>
                <w:shd w:fill="4a86e8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2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3</w:t>
            </w:r>
          </w:p>
        </w:tc>
      </w:tr>
      <w:tr>
        <w:trPr>
          <w:cantSplit w:val="0"/>
          <w:trHeight w:val="1089.2187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Autumn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Shakespeare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Romeo and Juliet</w:t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19th-Century Novel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A Christmas Carol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/The Sign of Four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Shakespeare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Macbeth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19th-Century Novel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Jekyll &amp; Hyde/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Frankenstein</w:t>
            </w:r>
          </w:p>
        </w:tc>
        <w:tc>
          <w:tcPr>
            <w:shd w:fill="e6b8af" w:val="clear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Shakespeare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Romeo and Juliet</w:t>
            </w:r>
          </w:p>
        </w:tc>
        <w:tc>
          <w:tcPr>
            <w:shd w:fill="e6b8af" w:val="clear"/>
          </w:tcPr>
          <w:p w:rsidR="00000000" w:rsidDel="00000000" w:rsidP="00000000" w:rsidRDefault="00000000" w:rsidRPr="00000000" w14:paraId="0000001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19th-Century Novel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A Christmas Carol/The sign of the four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Modern Novel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An Inspector Calls</w:t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2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Poetry Worlds and Lives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Agard, Nichols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Modern Drama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Blood Brothers – Willy Russell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Conflict Poetry</w:t>
            </w:r>
          </w:p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Charge of the Light Brigade, Exposure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b8af" w:val="clear"/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Modern Novel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The History Boys.</w:t>
            </w:r>
          </w:p>
        </w:tc>
        <w:tc>
          <w:tcPr>
            <w:shd w:fill="e6b8af" w:val="clear"/>
          </w:tcPr>
          <w:p w:rsidR="00000000" w:rsidDel="00000000" w:rsidP="00000000" w:rsidRDefault="00000000" w:rsidRPr="00000000" w14:paraId="0000002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Power &amp; Conflict Poetry Themes</w:t>
            </w:r>
          </w:p>
          <w:p w:rsidR="00000000" w:rsidDel="00000000" w:rsidP="00000000" w:rsidRDefault="00000000" w:rsidRPr="00000000" w14:paraId="0000002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Wilfred Owen, Ted Hughes, Seamus Heaney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Summer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Non-fiction: Voices for Change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Greta Thunberg, climate speech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11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Exam Skills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3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11 Exam Period/Revision</w:t>
            </w:r>
          </w:p>
          <w:p w:rsidR="00000000" w:rsidDel="00000000" w:rsidP="00000000" w:rsidRDefault="00000000" w:rsidRPr="00000000" w14:paraId="0000003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7-10</w:t>
            </w:r>
          </w:p>
          <w:p w:rsidR="00000000" w:rsidDel="00000000" w:rsidP="00000000" w:rsidRDefault="00000000" w:rsidRPr="00000000" w14:paraId="0000003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Creative Reading and Writing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Dystopian and future worlds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3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Non-fiction:  Exploring News and Opinion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Newspaper articles 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11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Exam Skills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4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11 Exam Period/Revision</w:t>
            </w:r>
          </w:p>
          <w:p w:rsidR="00000000" w:rsidDel="00000000" w:rsidP="00000000" w:rsidRDefault="00000000" w:rsidRPr="00000000" w14:paraId="0000004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7- 10</w:t>
            </w:r>
          </w:p>
          <w:p w:rsidR="00000000" w:rsidDel="00000000" w:rsidP="00000000" w:rsidRDefault="00000000" w:rsidRPr="00000000" w14:paraId="0000004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Creative Reading and Writing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Gothic and Horror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b8af" w:val="clear"/>
          </w:tcPr>
          <w:p w:rsidR="00000000" w:rsidDel="00000000" w:rsidP="00000000" w:rsidRDefault="00000000" w:rsidRPr="00000000" w14:paraId="0000004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Non-fiction: Speaking Out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Letters to the editor / speeches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11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Exam Skills</w:t>
            </w:r>
          </w:p>
        </w:tc>
        <w:tc>
          <w:tcPr>
            <w:shd w:fill="e6b8af" w:val="clear"/>
          </w:tcPr>
          <w:p w:rsidR="00000000" w:rsidDel="00000000" w:rsidP="00000000" w:rsidRDefault="00000000" w:rsidRPr="00000000" w14:paraId="0000004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11 Exam Period/Revision</w:t>
            </w:r>
          </w:p>
          <w:p w:rsidR="00000000" w:rsidDel="00000000" w:rsidP="00000000" w:rsidRDefault="00000000" w:rsidRPr="00000000" w14:paraId="0000004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7-10</w:t>
            </w:r>
          </w:p>
          <w:p w:rsidR="00000000" w:rsidDel="00000000" w:rsidP="00000000" w:rsidRDefault="00000000" w:rsidRPr="00000000" w14:paraId="0000005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Creative Reading and Writing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Adventure and Mystery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gridSpan w:val="2"/>
            <w:vMerge w:val="restart"/>
            <w:shd w:fill="cccccc" w:val="clear"/>
          </w:tcPr>
          <w:p w:rsidR="00000000" w:rsidDel="00000000" w:rsidP="00000000" w:rsidRDefault="00000000" w:rsidRPr="00000000" w14:paraId="0000005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Autumn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5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Shakespeare</w:t>
            </w:r>
          </w:p>
          <w:p w:rsidR="00000000" w:rsidDel="00000000" w:rsidP="00000000" w:rsidRDefault="00000000" w:rsidRPr="00000000" w14:paraId="0000005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Macbeth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5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19th-Century Novel</w:t>
            </w:r>
          </w:p>
          <w:p w:rsidR="00000000" w:rsidDel="00000000" w:rsidP="00000000" w:rsidRDefault="00000000" w:rsidRPr="00000000" w14:paraId="0000005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Jekyll &amp; Hyde/Frankenstein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4a7d6" w:val="clear"/>
          </w:tcPr>
          <w:p w:rsidR="00000000" w:rsidDel="00000000" w:rsidP="00000000" w:rsidRDefault="00000000" w:rsidRPr="00000000" w14:paraId="0000005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Shakespeare</w:t>
            </w:r>
          </w:p>
          <w:p w:rsidR="00000000" w:rsidDel="00000000" w:rsidP="00000000" w:rsidRDefault="00000000" w:rsidRPr="00000000" w14:paraId="0000006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Romeo and Juliet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4a7d6" w:val="clear"/>
          </w:tcPr>
          <w:p w:rsidR="00000000" w:rsidDel="00000000" w:rsidP="00000000" w:rsidRDefault="00000000" w:rsidRPr="00000000" w14:paraId="0000006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19th-Century Novel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A Christmas Carol/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The sign of the four</w:t>
            </w:r>
          </w:p>
        </w:tc>
        <w:tc>
          <w:tcPr>
            <w:gridSpan w:val="2"/>
            <w:vMerge w:val="continue"/>
            <w:shd w:fill="cccccc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5.5468749999995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6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Modern Text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An Inspector Calls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6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Poetry Anthology</w:t>
            </w:r>
          </w:p>
          <w:p w:rsidR="00000000" w:rsidDel="00000000" w:rsidP="00000000" w:rsidRDefault="00000000" w:rsidRPr="00000000" w14:paraId="0000006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Power &amp; Conflict cluster</w:t>
            </w:r>
          </w:p>
          <w:p w:rsidR="00000000" w:rsidDel="00000000" w:rsidP="00000000" w:rsidRDefault="00000000" w:rsidRPr="00000000" w14:paraId="0000006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Ozymandias, My Last Duchess, Charge of the Light Brigade, Bayonet Charge, Remains, Poppies, Checking Out Me History, Tissue.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a7d6" w:val="clear"/>
          </w:tcPr>
          <w:p w:rsidR="00000000" w:rsidDel="00000000" w:rsidP="00000000" w:rsidRDefault="00000000" w:rsidRPr="00000000" w14:paraId="0000006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Modern Text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Blood Brothers</w:t>
            </w:r>
          </w:p>
        </w:tc>
        <w:tc>
          <w:tcPr>
            <w:shd w:fill="b4a7d6" w:val="clear"/>
          </w:tcPr>
          <w:p w:rsidR="00000000" w:rsidDel="00000000" w:rsidP="00000000" w:rsidRDefault="00000000" w:rsidRPr="00000000" w14:paraId="0000007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Poetry Anthology</w:t>
            </w:r>
          </w:p>
          <w:p w:rsidR="00000000" w:rsidDel="00000000" w:rsidP="00000000" w:rsidRDefault="00000000" w:rsidRPr="00000000" w14:paraId="0000007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Love and relationships cluster</w:t>
            </w:r>
          </w:p>
          <w:p w:rsidR="00000000" w:rsidDel="00000000" w:rsidP="00000000" w:rsidRDefault="00000000" w:rsidRPr="00000000" w14:paraId="0000007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Cecil Day-Lewis, Charles Causley, Carol Ann Duffy, Owen Sheers, Daljit Nagra, Andrew Waterhouse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cccccc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Summer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Non-fiction: Discovery and Exploration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Travel writing, reviews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11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Exam Skills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7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11 Exam Period/Revision</w:t>
            </w:r>
          </w:p>
          <w:p w:rsidR="00000000" w:rsidDel="00000000" w:rsidP="00000000" w:rsidRDefault="00000000" w:rsidRPr="00000000" w14:paraId="0000007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7- 10</w:t>
            </w:r>
          </w:p>
          <w:p w:rsidR="00000000" w:rsidDel="00000000" w:rsidP="00000000" w:rsidRDefault="00000000" w:rsidRPr="00000000" w14:paraId="0000008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Creative Reading and Writing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Identity and Self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a7d6" w:val="clear"/>
          </w:tcPr>
          <w:p w:rsidR="00000000" w:rsidDel="00000000" w:rsidP="00000000" w:rsidRDefault="00000000" w:rsidRPr="00000000" w14:paraId="0000008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Non-fiction: Your Voice, Your Views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Blogs / opinion pieces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11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Exam Skills</w:t>
            </w:r>
          </w:p>
        </w:tc>
        <w:tc>
          <w:tcPr>
            <w:shd w:fill="b4a7d6" w:val="clear"/>
          </w:tcPr>
          <w:p w:rsidR="00000000" w:rsidDel="00000000" w:rsidP="00000000" w:rsidRDefault="00000000" w:rsidRPr="00000000" w14:paraId="0000008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11 Exam Period/Revision</w:t>
            </w:r>
          </w:p>
          <w:p w:rsidR="00000000" w:rsidDel="00000000" w:rsidP="00000000" w:rsidRDefault="00000000" w:rsidRPr="00000000" w14:paraId="0000008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7-10</w:t>
            </w:r>
          </w:p>
          <w:p w:rsidR="00000000" w:rsidDel="00000000" w:rsidP="00000000" w:rsidRDefault="00000000" w:rsidRPr="00000000" w14:paraId="0000008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Creative Reading and Writing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Myths and Legends</w:t>
            </w:r>
          </w:p>
        </w:tc>
        <w:tc>
          <w:tcPr>
            <w:gridSpan w:val="2"/>
            <w:vMerge w:val="continue"/>
            <w:shd w:fill="cccccc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Depending upon cohort, some texts/topics may be repeated to ensure enough depth is reached with students who will sit GCSEs.</w:t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2D59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2D590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TaMxhLr15rGqRsRXhr7rSGCa6Q==">CgMxLjA4AHIhMUktVUV5MGx2enh0MlFmSkFTNzQwSE00aTFraEttdG0t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2025-03-13T15:21:00Z</dcterms:created>
  <dc:creator>Amy Clewlow</dc:creator>
</cp:coreProperties>
</file>