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Curriculum Sequencing: History</w:t>
      </w:r>
    </w:p>
    <w:p>
      <w:pPr>
        <w:spacing w:after="160"/>
      </w:pPr>
      <w:r>
        <w:t>The curriculum mapping below shows how History is structured across each year group, ensuring clear progression in substantive knowledge, disciplinary knowledge and historical understanding. Learning builds cumulatively over time so that pupils develop increasingly secure chronology, make connections across periods, use evidence with greater sophistication and form increasingly well-reasoned historical interpretations.</w:t>
      </w:r>
    </w:p>
    <w:p>
      <w:pPr>
        <w:spacing w:after="80"/>
      </w:pPr>
      <w:r>
        <w:rPr>
          <w:b/>
          <w:color w:val="4F7D32"/>
          <w:sz w:val="30"/>
        </w:rPr>
        <w:t>Year 1</w:t>
      </w:r>
    </w:p>
    <w:tbl>
      <w:tblPr>
        <w:tblW w:type="auto" w:w="0"/>
        <w:jc w:val="center"/>
        <w:tblLayout w:type="fixed"/>
        <w:tblLook w:firstColumn="1" w:firstRow="1" w:lastColumn="0" w:lastRow="0" w:noHBand="0" w:noVBand="1" w:val="04A0"/>
      </w:tblPr>
      <w:tblGrid>
        <w:gridCol w:w="5179"/>
        <w:gridCol w:w="5179"/>
        <w:gridCol w:w="5179"/>
      </w:tblGrid>
      <w:tr>
        <w:trPr>
          <w:tblHeader w:val="true"/>
        </w:trPr>
        <w:tc>
          <w:tcPr>
            <w:tcW w:type="dxa" w:w="1944"/>
            <w:vAlign w:val="top"/>
            <w:shd w:fill="4F7D32"/>
          </w:tcPr>
          <w:p>
            <w:pPr>
              <w:spacing w:after="0" w:before="0"/>
            </w:pPr>
            <w:r/>
            <w:r>
              <w:rPr>
                <w:rFonts w:ascii="Aptos" w:hAnsi="Aptos"/>
                <w:b/>
                <w:color w:val="FFFFFF"/>
                <w:sz w:val="16"/>
              </w:rPr>
            </w:r>
          </w:p>
        </w:tc>
        <w:tc>
          <w:tcPr>
            <w:tcW w:type="dxa" w:w="6192"/>
            <w:vAlign w:val="top"/>
            <w:shd w:fill="4F7D32"/>
          </w:tcPr>
          <w:p>
            <w:pPr>
              <w:spacing w:after="0" w:before="0"/>
            </w:pPr>
            <w:r/>
            <w:r>
              <w:rPr>
                <w:rFonts w:ascii="Aptos" w:hAnsi="Aptos"/>
                <w:b/>
                <w:color w:val="FFFFFF"/>
                <w:sz w:val="18"/>
              </w:rPr>
              <w:t>Toys</w:t>
            </w:r>
          </w:p>
        </w:tc>
        <w:tc>
          <w:tcPr>
            <w:tcW w:type="dxa" w:w="6192"/>
            <w:vAlign w:val="top"/>
            <w:shd w:fill="4F7D32"/>
          </w:tcPr>
          <w:p>
            <w:pPr>
              <w:spacing w:after="0" w:before="0"/>
            </w:pPr>
            <w:r/>
            <w:r>
              <w:rPr>
                <w:rFonts w:ascii="Aptos" w:hAnsi="Aptos"/>
                <w:b/>
                <w:color w:val="FFFFFF"/>
                <w:sz w:val="18"/>
              </w:rPr>
              <w:t>The Great Fire of London</w:t>
            </w:r>
          </w:p>
        </w:tc>
      </w:tr>
      <w:tr>
        <w:tc>
          <w:tcPr>
            <w:tcW w:type="dxa" w:w="5179"/>
            <w:vAlign w:val="top"/>
            <w:shd w:fill="4F7D32"/>
          </w:tcPr>
          <w:p>
            <w:pPr>
              <w:spacing w:after="0" w:before="0"/>
            </w:pPr>
            <w:r/>
            <w:r>
              <w:rPr>
                <w:rFonts w:ascii="Aptos" w:hAnsi="Aptos"/>
                <w:b/>
                <w:color w:val="FFFFFF"/>
                <w:sz w:val="16"/>
              </w:rPr>
              <w:t>Big Question</w:t>
            </w:r>
          </w:p>
        </w:tc>
        <w:tc>
          <w:tcPr>
            <w:tcW w:type="dxa" w:w="5179"/>
            <w:vAlign w:val="top"/>
          </w:tcPr>
          <w:p>
            <w:pPr>
              <w:spacing w:after="0" w:before="0"/>
            </w:pPr>
            <w:r/>
            <w:r>
              <w:rPr>
                <w:rFonts w:ascii="Aptos" w:hAnsi="Aptos"/>
                <w:b w:val="0"/>
                <w:sz w:val="16"/>
              </w:rPr>
              <w:t>How have toys changed over time?</w:t>
            </w:r>
          </w:p>
        </w:tc>
        <w:tc>
          <w:tcPr>
            <w:tcW w:type="dxa" w:w="5179"/>
            <w:vAlign w:val="top"/>
          </w:tcPr>
          <w:p>
            <w:pPr>
              <w:spacing w:after="0" w:before="0"/>
            </w:pPr>
            <w:r/>
            <w:r>
              <w:rPr>
                <w:rFonts w:ascii="Aptos" w:hAnsi="Aptos"/>
                <w:b w:val="0"/>
                <w:sz w:val="16"/>
              </w:rPr>
              <w:t>Why did the Great Fire of London spread so quickly and how did it change London?</w:t>
            </w:r>
          </w:p>
        </w:tc>
      </w:tr>
      <w:tr>
        <w:tc>
          <w:tcPr>
            <w:tcW w:type="dxa" w:w="5179"/>
            <w:vAlign w:val="top"/>
            <w:shd w:fill="4F7D32"/>
          </w:tcPr>
          <w:p>
            <w:pPr>
              <w:spacing w:after="0" w:before="0"/>
            </w:pPr>
            <w:r/>
            <w:r>
              <w:rPr>
                <w:rFonts w:ascii="Aptos" w:hAnsi="Aptos"/>
                <w:b/>
                <w:color w:val="FFFFFF"/>
                <w:sz w:val="16"/>
              </w:rPr>
              <w:t>Substantive Knowledge</w:t>
            </w:r>
          </w:p>
        </w:tc>
        <w:tc>
          <w:tcPr>
            <w:tcW w:type="dxa" w:w="5179"/>
            <w:shd w:fill="EAF1E4"/>
          </w:tcPr>
          <w:p>
            <w:pPr>
              <w:spacing w:after="20"/>
              <w:ind w:left="115" w:hanging="115"/>
            </w:pPr>
            <w:r/>
            <w:r>
              <w:rPr>
                <w:sz w:val="16"/>
              </w:rPr>
              <w:t>• Recognise that toys change over time</w:t>
            </w:r>
          </w:p>
          <w:p>
            <w:pPr>
              <w:spacing w:after="20"/>
              <w:ind w:left="115" w:hanging="115"/>
            </w:pPr>
            <w:r>
              <w:rPr>
                <w:sz w:val="16"/>
              </w:rPr>
              <w:t>• compare modern, Victorian and older toys</w:t>
            </w:r>
          </w:p>
          <w:p>
            <w:pPr>
              <w:spacing w:after="20"/>
              <w:ind w:left="115" w:hanging="115"/>
            </w:pPr>
            <w:r>
              <w:rPr>
                <w:sz w:val="16"/>
              </w:rPr>
              <w:t>• understand changes in materials, manufacture and technology</w:t>
            </w:r>
          </w:p>
          <w:p>
            <w:pPr>
              <w:spacing w:after="20"/>
              <w:ind w:left="115" w:hanging="115"/>
            </w:pPr>
            <w:r>
              <w:rPr>
                <w:sz w:val="16"/>
              </w:rPr>
              <w:t>• recognise continuity as well as change in how children play.</w:t>
            </w:r>
          </w:p>
        </w:tc>
        <w:tc>
          <w:tcPr>
            <w:tcW w:type="dxa" w:w="5179"/>
            <w:shd w:fill="EAF1E4"/>
          </w:tcPr>
          <w:p>
            <w:pPr>
              <w:spacing w:after="20"/>
              <w:ind w:left="115" w:hanging="115"/>
            </w:pPr>
            <w:r/>
            <w:r>
              <w:rPr>
                <w:sz w:val="16"/>
              </w:rPr>
              <w:t>• Know the key events of the 1666 fire, including Pudding Lane and its four-day duration</w:t>
            </w:r>
          </w:p>
          <w:p>
            <w:pPr>
              <w:spacing w:after="20"/>
              <w:ind w:left="115" w:hanging="115"/>
            </w:pPr>
            <w:r>
              <w:rPr>
                <w:sz w:val="16"/>
              </w:rPr>
              <w:t>• understand factors that caused its spread</w:t>
            </w:r>
          </w:p>
          <w:p>
            <w:pPr>
              <w:spacing w:after="20"/>
              <w:ind w:left="115" w:hanging="115"/>
            </w:pPr>
            <w:r>
              <w:rPr>
                <w:sz w:val="16"/>
              </w:rPr>
              <w:t>• know how London was rebuilt and how fire safety changed afterwards.</w:t>
            </w:r>
          </w:p>
        </w:tc>
      </w:tr>
      <w:tr>
        <w:tc>
          <w:tcPr>
            <w:tcW w:type="dxa" w:w="5179"/>
            <w:vAlign w:val="top"/>
            <w:shd w:fill="4F7D32"/>
          </w:tcPr>
          <w:p>
            <w:pPr>
              <w:spacing w:after="0" w:before="0"/>
            </w:pPr>
            <w:r/>
            <w:r>
              <w:rPr>
                <w:rFonts w:ascii="Aptos" w:hAnsi="Aptos"/>
                <w:b/>
                <w:color w:val="FFFFFF"/>
                <w:sz w:val="16"/>
              </w:rPr>
              <w:t>Disciplinary Knowledge</w:t>
            </w:r>
          </w:p>
        </w:tc>
        <w:tc>
          <w:tcPr>
            <w:tcW w:type="dxa" w:w="5179"/>
          </w:tcPr>
          <w:p>
            <w:pPr>
              <w:spacing w:after="20"/>
              <w:ind w:left="115" w:hanging="115"/>
            </w:pPr>
            <w:r/>
            <w:r>
              <w:rPr>
                <w:sz w:val="16"/>
              </w:rPr>
              <w:t>• Use before/after, past/present and chronological language</w:t>
            </w:r>
          </w:p>
          <w:p>
            <w:pPr>
              <w:spacing w:after="20"/>
              <w:ind w:left="115" w:hanging="115"/>
            </w:pPr>
            <w:r>
              <w:rPr>
                <w:sz w:val="16"/>
              </w:rPr>
              <w:t>• compare and classify objects</w:t>
            </w:r>
          </w:p>
          <w:p>
            <w:pPr>
              <w:spacing w:after="20"/>
              <w:ind w:left="115" w:hanging="115"/>
            </w:pPr>
            <w:r>
              <w:rPr>
                <w:sz w:val="16"/>
              </w:rPr>
              <w:t>• ask and answer questions about artefacts</w:t>
            </w:r>
          </w:p>
          <w:p>
            <w:pPr>
              <w:spacing w:after="20"/>
              <w:ind w:left="115" w:hanging="115"/>
            </w:pPr>
            <w:r>
              <w:rPr>
                <w:sz w:val="16"/>
              </w:rPr>
              <w:t>• explain simple reasons for change</w:t>
            </w:r>
          </w:p>
          <w:p>
            <w:pPr>
              <w:spacing w:after="20"/>
              <w:ind w:left="115" w:hanging="115"/>
            </w:pPr>
            <w:r>
              <w:rPr>
                <w:sz w:val="16"/>
              </w:rPr>
              <w:t>• record observations from evidence.</w:t>
            </w:r>
          </w:p>
        </w:tc>
        <w:tc>
          <w:tcPr>
            <w:tcW w:type="dxa" w:w="5179"/>
          </w:tcPr>
          <w:p>
            <w:pPr>
              <w:spacing w:after="20"/>
              <w:ind w:left="115" w:hanging="115"/>
            </w:pPr>
            <w:r/>
            <w:r>
              <w:rPr>
                <w:sz w:val="16"/>
              </w:rPr>
              <w:t>• Sequence events</w:t>
            </w:r>
          </w:p>
          <w:p>
            <w:pPr>
              <w:spacing w:after="20"/>
              <w:ind w:left="115" w:hanging="115"/>
            </w:pPr>
            <w:r>
              <w:rPr>
                <w:sz w:val="16"/>
              </w:rPr>
              <w:t>• explain cause and consequence</w:t>
            </w:r>
          </w:p>
          <w:p>
            <w:pPr>
              <w:spacing w:after="20"/>
              <w:ind w:left="115" w:hanging="115"/>
            </w:pPr>
            <w:r>
              <w:rPr>
                <w:sz w:val="16"/>
              </w:rPr>
              <w:t>• use Samuel Pepys’ diary, paintings and written records as evidence</w:t>
            </w:r>
          </w:p>
          <w:p>
            <w:pPr>
              <w:spacing w:after="20"/>
              <w:ind w:left="115" w:hanging="115"/>
            </w:pPr>
            <w:r>
              <w:rPr>
                <w:sz w:val="16"/>
              </w:rPr>
              <w:t>• begin to consider whether an eyewitness source can be fully trusted</w:t>
            </w:r>
          </w:p>
          <w:p>
            <w:pPr>
              <w:spacing w:after="20"/>
              <w:ind w:left="115" w:hanging="115"/>
            </w:pPr>
            <w:r>
              <w:rPr>
                <w:sz w:val="16"/>
              </w:rPr>
              <w:t>• compare 1666 with today.</w:t>
            </w:r>
          </w:p>
        </w:tc>
      </w:tr>
      <w:tr>
        <w:tc>
          <w:tcPr>
            <w:tcW w:type="dxa" w:w="5179"/>
            <w:vAlign w:val="top"/>
            <w:shd w:fill="4F7D32"/>
          </w:tcPr>
          <w:p>
            <w:pPr>
              <w:spacing w:after="0" w:before="0"/>
            </w:pPr>
            <w:r/>
            <w:r>
              <w:rPr>
                <w:rFonts w:ascii="Aptos" w:hAnsi="Aptos"/>
                <w:b/>
                <w:color w:val="FFFFFF"/>
                <w:sz w:val="16"/>
              </w:rPr>
              <w:t>Key Vocabulary</w:t>
            </w:r>
          </w:p>
        </w:tc>
        <w:tc>
          <w:tcPr>
            <w:tcW w:type="dxa" w:w="5179"/>
            <w:vAlign w:val="top"/>
            <w:shd w:fill="EAF1E4"/>
          </w:tcPr>
          <w:p>
            <w:pPr>
              <w:spacing w:after="0" w:before="0"/>
            </w:pPr>
            <w:r/>
            <w:r>
              <w:rPr>
                <w:rFonts w:ascii="Aptos" w:hAnsi="Aptos"/>
                <w:b w:val="0"/>
                <w:sz w:val="16"/>
              </w:rPr>
              <w:t>past; present; before; after; old; new; modern; Victorian; material; handmade; technology</w:t>
            </w:r>
          </w:p>
        </w:tc>
        <w:tc>
          <w:tcPr>
            <w:tcW w:type="dxa" w:w="5179"/>
            <w:vAlign w:val="top"/>
            <w:shd w:fill="EAF1E4"/>
          </w:tcPr>
          <w:p>
            <w:pPr>
              <w:spacing w:after="0" w:before="0"/>
            </w:pPr>
            <w:r/>
            <w:r>
              <w:rPr>
                <w:rFonts w:ascii="Aptos" w:hAnsi="Aptos"/>
                <w:b w:val="0"/>
                <w:sz w:val="16"/>
              </w:rPr>
              <w:t>1666; Pudding Lane; Samuel Pepys; eyewitness; source; evidence; firebreak; past; present; event</w:t>
            </w:r>
          </w:p>
        </w:tc>
      </w:tr>
      <w:tr>
        <w:tc>
          <w:tcPr>
            <w:tcW w:type="dxa" w:w="5179"/>
            <w:vAlign w:val="top"/>
            <w:shd w:fill="4F7D32"/>
          </w:tcPr>
          <w:p>
            <w:pPr>
              <w:spacing w:after="0" w:before="0"/>
            </w:pPr>
            <w:r/>
            <w:r>
              <w:rPr>
                <w:rFonts w:ascii="Aptos" w:hAnsi="Aptos"/>
                <w:b/>
                <w:color w:val="FFFFFF"/>
                <w:sz w:val="16"/>
              </w:rPr>
              <w:t>Sources / Figures / Enrichment</w:t>
            </w:r>
          </w:p>
        </w:tc>
        <w:tc>
          <w:tcPr>
            <w:tcW w:type="dxa" w:w="5179"/>
          </w:tcPr>
          <w:p>
            <w:pPr>
              <w:spacing w:after="20"/>
              <w:ind w:left="115" w:hanging="115"/>
            </w:pPr>
            <w:r/>
            <w:r>
              <w:rPr>
                <w:sz w:val="16"/>
              </w:rPr>
              <w:t>• Historical toys and artefacts</w:t>
            </w:r>
          </w:p>
          <w:p>
            <w:pPr>
              <w:spacing w:after="20"/>
              <w:ind w:left="115" w:hanging="115"/>
            </w:pPr>
            <w:r>
              <w:rPr>
                <w:sz w:val="16"/>
              </w:rPr>
              <w:t>• comparison with pupils’ own toys</w:t>
            </w:r>
          </w:p>
          <w:p>
            <w:pPr>
              <w:spacing w:after="20"/>
              <w:ind w:left="115" w:hanging="115"/>
            </w:pPr>
            <w:r>
              <w:rPr>
                <w:sz w:val="16"/>
              </w:rPr>
              <w:t>• links to changes within living memory.</w:t>
            </w:r>
          </w:p>
        </w:tc>
        <w:tc>
          <w:tcPr>
            <w:tcW w:type="dxa" w:w="5179"/>
          </w:tcPr>
          <w:p>
            <w:pPr>
              <w:spacing w:after="20"/>
              <w:ind w:left="115" w:hanging="115"/>
            </w:pPr>
            <w:r/>
            <w:r>
              <w:rPr>
                <w:sz w:val="16"/>
              </w:rPr>
              <w:t>• Samuel Pepys’ diary and contemporary images</w:t>
            </w:r>
          </w:p>
          <w:p>
            <w:pPr>
              <w:spacing w:after="20"/>
              <w:ind w:left="115" w:hanging="115"/>
            </w:pPr>
            <w:r>
              <w:rPr>
                <w:sz w:val="16"/>
              </w:rPr>
              <w:t>• links forward to the Plague and later work on historical sources.</w:t>
            </w:r>
          </w:p>
        </w:tc>
      </w:tr>
    </w:tbl>
    <w:p>
      <w:r>
        <w:br w:type="page"/>
      </w:r>
    </w:p>
    <w:p>
      <w:pPr>
        <w:spacing w:after="80"/>
      </w:pPr>
      <w:r>
        <w:rPr>
          <w:b/>
          <w:color w:val="4F7D32"/>
          <w:sz w:val="30"/>
        </w:rPr>
        <w:t>Year 2</w:t>
      </w:r>
    </w:p>
    <w:tbl>
      <w:tblPr>
        <w:tblW w:type="auto" w:w="0"/>
        <w:jc w:val="center"/>
        <w:tblLayout w:type="fixed"/>
        <w:tblLook w:firstColumn="1" w:firstRow="1" w:lastColumn="0" w:lastRow="0" w:noHBand="0" w:noVBand="1" w:val="04A0"/>
      </w:tblPr>
      <w:tblGrid>
        <w:gridCol w:w="3884"/>
        <w:gridCol w:w="3884"/>
        <w:gridCol w:w="3884"/>
        <w:gridCol w:w="3884"/>
      </w:tblGrid>
      <w:tr>
        <w:trPr>
          <w:tblHeader w:val="true"/>
        </w:trPr>
        <w:tc>
          <w:tcPr>
            <w:tcW w:type="dxa" w:w="1944"/>
            <w:vAlign w:val="top"/>
            <w:shd w:fill="4F7D32"/>
          </w:tcPr>
          <w:p>
            <w:pPr>
              <w:spacing w:after="0" w:before="0"/>
            </w:pPr>
            <w:r/>
            <w:r>
              <w:rPr>
                <w:rFonts w:ascii="Aptos" w:hAnsi="Aptos"/>
                <w:b/>
                <w:color w:val="FFFFFF"/>
                <w:sz w:val="16"/>
              </w:rPr>
            </w:r>
          </w:p>
        </w:tc>
        <w:tc>
          <w:tcPr>
            <w:tcW w:type="dxa" w:w="4128"/>
            <w:vAlign w:val="top"/>
            <w:shd w:fill="4F7D32"/>
          </w:tcPr>
          <w:p>
            <w:pPr>
              <w:spacing w:after="0" w:before="0"/>
            </w:pPr>
            <w:r/>
            <w:r>
              <w:rPr>
                <w:rFonts w:ascii="Aptos" w:hAnsi="Aptos"/>
                <w:b/>
                <w:color w:val="FFFFFF"/>
                <w:sz w:val="18"/>
              </w:rPr>
              <w:t>Holidays / Blackpool</w:t>
            </w:r>
          </w:p>
        </w:tc>
        <w:tc>
          <w:tcPr>
            <w:tcW w:type="dxa" w:w="4128"/>
            <w:vAlign w:val="top"/>
            <w:shd w:fill="4F7D32"/>
          </w:tcPr>
          <w:p>
            <w:pPr>
              <w:spacing w:after="0" w:before="0"/>
            </w:pPr>
            <w:r/>
            <w:r>
              <w:rPr>
                <w:rFonts w:ascii="Aptos" w:hAnsi="Aptos"/>
                <w:b/>
                <w:color w:val="FFFFFF"/>
                <w:sz w:val="18"/>
              </w:rPr>
              <w:t>Local History: Barton</w:t>
            </w:r>
          </w:p>
        </w:tc>
        <w:tc>
          <w:tcPr>
            <w:tcW w:type="dxa" w:w="4128"/>
            <w:vAlign w:val="top"/>
            <w:shd w:fill="4F7D32"/>
          </w:tcPr>
          <w:p>
            <w:pPr>
              <w:spacing w:after="0" w:before="0"/>
            </w:pPr>
            <w:r/>
            <w:r>
              <w:rPr>
                <w:rFonts w:ascii="Aptos" w:hAnsi="Aptos"/>
                <w:b/>
                <w:color w:val="FFFFFF"/>
                <w:sz w:val="18"/>
              </w:rPr>
              <w:t>Explorers</w:t>
            </w:r>
          </w:p>
        </w:tc>
      </w:tr>
      <w:tr>
        <w:tc>
          <w:tcPr>
            <w:tcW w:type="dxa" w:w="3884"/>
            <w:vAlign w:val="top"/>
            <w:shd w:fill="4F7D32"/>
          </w:tcPr>
          <w:p>
            <w:pPr>
              <w:spacing w:after="0" w:before="0"/>
            </w:pPr>
            <w:r/>
            <w:r>
              <w:rPr>
                <w:rFonts w:ascii="Aptos" w:hAnsi="Aptos"/>
                <w:b/>
                <w:color w:val="FFFFFF"/>
                <w:sz w:val="16"/>
              </w:rPr>
              <w:t>Big Question</w:t>
            </w:r>
          </w:p>
        </w:tc>
        <w:tc>
          <w:tcPr>
            <w:tcW w:type="dxa" w:w="3884"/>
            <w:vAlign w:val="top"/>
          </w:tcPr>
          <w:p>
            <w:pPr>
              <w:spacing w:after="0" w:before="0"/>
            </w:pPr>
            <w:r/>
            <w:r>
              <w:rPr>
                <w:rFonts w:ascii="Aptos" w:hAnsi="Aptos"/>
                <w:b w:val="0"/>
                <w:sz w:val="16"/>
              </w:rPr>
              <w:t>How have holidays and seaside experiences changed over time?</w:t>
            </w:r>
          </w:p>
        </w:tc>
        <w:tc>
          <w:tcPr>
            <w:tcW w:type="dxa" w:w="3884"/>
            <w:vAlign w:val="top"/>
          </w:tcPr>
          <w:p>
            <w:pPr>
              <w:spacing w:after="0" w:before="0"/>
            </w:pPr>
            <w:r/>
            <w:r>
              <w:rPr>
                <w:rFonts w:ascii="Aptos" w:hAnsi="Aptos"/>
                <w:b w:val="0"/>
                <w:sz w:val="16"/>
              </w:rPr>
              <w:t>How has Barton changed within living memory?</w:t>
            </w:r>
          </w:p>
        </w:tc>
        <w:tc>
          <w:tcPr>
            <w:tcW w:type="dxa" w:w="3884"/>
            <w:vAlign w:val="top"/>
          </w:tcPr>
          <w:p>
            <w:pPr>
              <w:spacing w:after="0" w:before="0"/>
            </w:pPr>
            <w:r/>
            <w:r>
              <w:rPr>
                <w:rFonts w:ascii="Aptos" w:hAnsi="Aptos"/>
                <w:b w:val="0"/>
                <w:sz w:val="16"/>
              </w:rPr>
              <w:t>Why are some explorers remembered as significant?</w:t>
            </w:r>
          </w:p>
        </w:tc>
      </w:tr>
      <w:tr>
        <w:tc>
          <w:tcPr>
            <w:tcW w:type="dxa" w:w="3884"/>
            <w:vAlign w:val="top"/>
            <w:shd w:fill="4F7D32"/>
          </w:tcPr>
          <w:p>
            <w:pPr>
              <w:spacing w:after="0" w:before="0"/>
            </w:pPr>
            <w:r/>
            <w:r>
              <w:rPr>
                <w:rFonts w:ascii="Aptos" w:hAnsi="Aptos"/>
                <w:b/>
                <w:color w:val="FFFFFF"/>
                <w:sz w:val="16"/>
              </w:rPr>
              <w:t>Substantive Knowledge</w:t>
            </w:r>
          </w:p>
        </w:tc>
        <w:tc>
          <w:tcPr>
            <w:tcW w:type="dxa" w:w="3884"/>
            <w:shd w:fill="EAF1E4"/>
          </w:tcPr>
          <w:p>
            <w:pPr>
              <w:spacing w:after="20"/>
              <w:ind w:left="115" w:hanging="115"/>
            </w:pPr>
            <w:r/>
            <w:r>
              <w:rPr>
                <w:sz w:val="16"/>
              </w:rPr>
              <w:t>• Understand how seaside holidays developed and changed, with a focus on Blackpool</w:t>
            </w:r>
          </w:p>
          <w:p>
            <w:pPr>
              <w:spacing w:after="20"/>
              <w:ind w:left="115" w:hanging="115"/>
            </w:pPr>
            <w:r>
              <w:rPr>
                <w:sz w:val="16"/>
              </w:rPr>
              <w:t>• compare past and present travel, entertainment, clothing and experiences</w:t>
            </w:r>
          </w:p>
          <w:p>
            <w:pPr>
              <w:spacing w:after="20"/>
              <w:ind w:left="115" w:hanging="115"/>
            </w:pPr>
            <w:r>
              <w:rPr>
                <w:sz w:val="16"/>
              </w:rPr>
              <w:t>• recognise the impact of transport and tourism.</w:t>
            </w:r>
          </w:p>
        </w:tc>
        <w:tc>
          <w:tcPr>
            <w:tcW w:type="dxa" w:w="3884"/>
            <w:shd w:fill="EAF1E4"/>
          </w:tcPr>
          <w:p>
            <w:pPr>
              <w:spacing w:after="20"/>
              <w:ind w:left="115" w:hanging="115"/>
            </w:pPr>
            <w:r/>
            <w:r>
              <w:rPr>
                <w:sz w:val="16"/>
              </w:rPr>
              <w:t>• Develop knowledge of Barton’s recent past, including life in and around the village in the mid-20th century</w:t>
            </w:r>
          </w:p>
          <w:p>
            <w:pPr>
              <w:spacing w:after="20"/>
              <w:ind w:left="115" w:hanging="115"/>
            </w:pPr>
            <w:r>
              <w:rPr>
                <w:sz w:val="16"/>
              </w:rPr>
              <w:t>• recognise changes to homes, school, work, transport and community life.</w:t>
            </w:r>
          </w:p>
        </w:tc>
        <w:tc>
          <w:tcPr>
            <w:tcW w:type="dxa" w:w="3884"/>
            <w:shd w:fill="EAF1E4"/>
          </w:tcPr>
          <w:p>
            <w:pPr>
              <w:spacing w:after="20"/>
              <w:ind w:left="115" w:hanging="115"/>
            </w:pPr>
            <w:r/>
            <w:r>
              <w:rPr>
                <w:sz w:val="16"/>
              </w:rPr>
              <w:t>• Know about significant explorers and journeys</w:t>
            </w:r>
          </w:p>
          <w:p>
            <w:pPr>
              <w:spacing w:after="20"/>
              <w:ind w:left="115" w:hanging="115"/>
            </w:pPr>
            <w:r>
              <w:rPr>
                <w:sz w:val="16"/>
              </w:rPr>
              <w:t>• understand motives for exploration, challenges faced and the impact of journeys</w:t>
            </w:r>
          </w:p>
          <w:p>
            <w:pPr>
              <w:spacing w:after="20"/>
              <w:ind w:left="115" w:hanging="115"/>
            </w:pPr>
            <w:r>
              <w:rPr>
                <w:sz w:val="16"/>
              </w:rPr>
              <w:t>• recognise that exploration has taken place in different periods and places.</w:t>
            </w:r>
          </w:p>
        </w:tc>
      </w:tr>
      <w:tr>
        <w:tc>
          <w:tcPr>
            <w:tcW w:type="dxa" w:w="3884"/>
            <w:vAlign w:val="top"/>
            <w:shd w:fill="4F7D32"/>
          </w:tcPr>
          <w:p>
            <w:pPr>
              <w:spacing w:after="0" w:before="0"/>
            </w:pPr>
            <w:r/>
            <w:r>
              <w:rPr>
                <w:rFonts w:ascii="Aptos" w:hAnsi="Aptos"/>
                <w:b/>
                <w:color w:val="FFFFFF"/>
                <w:sz w:val="16"/>
              </w:rPr>
              <w:t>Disciplinary Knowledge</w:t>
            </w:r>
          </w:p>
        </w:tc>
        <w:tc>
          <w:tcPr>
            <w:tcW w:type="dxa" w:w="3884"/>
          </w:tcPr>
          <w:p>
            <w:pPr>
              <w:spacing w:after="20"/>
              <w:ind w:left="115" w:hanging="115"/>
            </w:pPr>
            <w:r/>
            <w:r>
              <w:rPr>
                <w:sz w:val="16"/>
              </w:rPr>
              <w:t>• Use chronology within living memory and beyond</w:t>
            </w:r>
          </w:p>
          <w:p>
            <w:pPr>
              <w:spacing w:after="20"/>
              <w:ind w:left="115" w:hanging="115"/>
            </w:pPr>
            <w:r>
              <w:rPr>
                <w:sz w:val="16"/>
              </w:rPr>
              <w:t>• compare similarity and difference</w:t>
            </w:r>
          </w:p>
          <w:p>
            <w:pPr>
              <w:spacing w:after="20"/>
              <w:ind w:left="115" w:hanging="115"/>
            </w:pPr>
            <w:r>
              <w:rPr>
                <w:sz w:val="16"/>
              </w:rPr>
              <w:t>• use photographs, postcards and other sources to infer what holidays were like</w:t>
            </w:r>
          </w:p>
          <w:p>
            <w:pPr>
              <w:spacing w:after="20"/>
              <w:ind w:left="115" w:hanging="115"/>
            </w:pPr>
            <w:r>
              <w:rPr>
                <w:sz w:val="16"/>
              </w:rPr>
              <w:t>• explain reasons for change.</w:t>
            </w:r>
          </w:p>
        </w:tc>
        <w:tc>
          <w:tcPr>
            <w:tcW w:type="dxa" w:w="3884"/>
          </w:tcPr>
          <w:p>
            <w:pPr>
              <w:spacing w:after="20"/>
              <w:ind w:left="115" w:hanging="115"/>
            </w:pPr>
            <w:r/>
            <w:r>
              <w:rPr>
                <w:sz w:val="16"/>
              </w:rPr>
              <w:t>• Compare then and now</w:t>
            </w:r>
          </w:p>
          <w:p>
            <w:pPr>
              <w:spacing w:after="20"/>
              <w:ind w:left="115" w:hanging="115"/>
            </w:pPr>
            <w:r>
              <w:rPr>
                <w:sz w:val="16"/>
              </w:rPr>
              <w:t>• use local photographs, maps, memories and records as evidence</w:t>
            </w:r>
          </w:p>
          <w:p>
            <w:pPr>
              <w:spacing w:after="20"/>
              <w:ind w:left="115" w:hanging="115"/>
            </w:pPr>
            <w:r>
              <w:rPr>
                <w:sz w:val="16"/>
              </w:rPr>
              <w:t>• ask historical questions</w:t>
            </w:r>
          </w:p>
          <w:p>
            <w:pPr>
              <w:spacing w:after="20"/>
              <w:ind w:left="115" w:hanging="115"/>
            </w:pPr>
            <w:r>
              <w:rPr>
                <w:sz w:val="16"/>
              </w:rPr>
              <w:t>• identify change and continuity in a familiar place.</w:t>
            </w:r>
          </w:p>
        </w:tc>
        <w:tc>
          <w:tcPr>
            <w:tcW w:type="dxa" w:w="3884"/>
          </w:tcPr>
          <w:p>
            <w:pPr>
              <w:spacing w:after="20"/>
              <w:ind w:left="115" w:hanging="115"/>
            </w:pPr>
            <w:r/>
            <w:r>
              <w:rPr>
                <w:sz w:val="16"/>
              </w:rPr>
              <w:t>• Place people/events in chronological order</w:t>
            </w:r>
          </w:p>
          <w:p>
            <w:pPr>
              <w:spacing w:after="20"/>
              <w:ind w:left="115" w:hanging="115"/>
            </w:pPr>
            <w:r>
              <w:rPr>
                <w:sz w:val="16"/>
              </w:rPr>
              <w:t>• use maps and sources</w:t>
            </w:r>
          </w:p>
          <w:p>
            <w:pPr>
              <w:spacing w:after="20"/>
              <w:ind w:left="115" w:hanging="115"/>
            </w:pPr>
            <w:r>
              <w:rPr>
                <w:sz w:val="16"/>
              </w:rPr>
              <w:t>• compare explorers</w:t>
            </w:r>
          </w:p>
          <w:p>
            <w:pPr>
              <w:spacing w:after="20"/>
              <w:ind w:left="115" w:hanging="115"/>
            </w:pPr>
            <w:r>
              <w:rPr>
                <w:sz w:val="16"/>
              </w:rPr>
              <w:t>• explain cause, consequence and significance</w:t>
            </w:r>
          </w:p>
          <w:p>
            <w:pPr>
              <w:spacing w:after="20"/>
              <w:ind w:left="115" w:hanging="115"/>
            </w:pPr>
            <w:r>
              <w:rPr>
                <w:sz w:val="16"/>
              </w:rPr>
              <w:t>• recognise that accounts can reflect different perspectives.</w:t>
            </w:r>
          </w:p>
        </w:tc>
      </w:tr>
      <w:tr>
        <w:tc>
          <w:tcPr>
            <w:tcW w:type="dxa" w:w="3884"/>
            <w:vAlign w:val="top"/>
            <w:shd w:fill="4F7D32"/>
          </w:tcPr>
          <w:p>
            <w:pPr>
              <w:spacing w:after="0" w:before="0"/>
            </w:pPr>
            <w:r/>
            <w:r>
              <w:rPr>
                <w:rFonts w:ascii="Aptos" w:hAnsi="Aptos"/>
                <w:b/>
                <w:color w:val="FFFFFF"/>
                <w:sz w:val="16"/>
              </w:rPr>
              <w:t>Key Vocabulary</w:t>
            </w:r>
          </w:p>
        </w:tc>
        <w:tc>
          <w:tcPr>
            <w:tcW w:type="dxa" w:w="3884"/>
            <w:vAlign w:val="top"/>
            <w:shd w:fill="EAF1E4"/>
          </w:tcPr>
          <w:p>
            <w:pPr>
              <w:spacing w:after="0" w:before="0"/>
            </w:pPr>
            <w:r/>
            <w:r>
              <w:rPr>
                <w:rFonts w:ascii="Aptos" w:hAnsi="Aptos"/>
                <w:b w:val="0"/>
                <w:sz w:val="16"/>
              </w:rPr>
              <w:t>holiday; seaside; resort; Blackpool; past; present; transport; tourism; entertainment; compare</w:t>
            </w:r>
          </w:p>
        </w:tc>
        <w:tc>
          <w:tcPr>
            <w:tcW w:type="dxa" w:w="3884"/>
            <w:vAlign w:val="top"/>
            <w:shd w:fill="EAF1E4"/>
          </w:tcPr>
          <w:p>
            <w:pPr>
              <w:spacing w:after="0" w:before="0"/>
            </w:pPr>
            <w:r/>
            <w:r>
              <w:rPr>
                <w:rFonts w:ascii="Aptos" w:hAnsi="Aptos"/>
                <w:b w:val="0"/>
                <w:sz w:val="16"/>
              </w:rPr>
              <w:t>Barton; local; community; living memory; change; continuity; photograph; map; evidence; timeline</w:t>
            </w:r>
          </w:p>
        </w:tc>
        <w:tc>
          <w:tcPr>
            <w:tcW w:type="dxa" w:w="3884"/>
            <w:vAlign w:val="top"/>
            <w:shd w:fill="EAF1E4"/>
          </w:tcPr>
          <w:p>
            <w:pPr>
              <w:spacing w:after="0" w:before="0"/>
            </w:pPr>
            <w:r/>
            <w:r>
              <w:rPr>
                <w:rFonts w:ascii="Aptos" w:hAnsi="Aptos"/>
                <w:b w:val="0"/>
                <w:sz w:val="16"/>
              </w:rPr>
              <w:t>explorer; voyage; expedition; journey; discovery; navigation; significant; source; evidence; chronology</w:t>
            </w:r>
          </w:p>
        </w:tc>
      </w:tr>
      <w:tr>
        <w:tc>
          <w:tcPr>
            <w:tcW w:type="dxa" w:w="3884"/>
            <w:vAlign w:val="top"/>
            <w:shd w:fill="4F7D32"/>
          </w:tcPr>
          <w:p>
            <w:pPr>
              <w:spacing w:after="0" w:before="0"/>
            </w:pPr>
            <w:r/>
            <w:r>
              <w:rPr>
                <w:rFonts w:ascii="Aptos" w:hAnsi="Aptos"/>
                <w:b/>
                <w:color w:val="FFFFFF"/>
                <w:sz w:val="16"/>
              </w:rPr>
              <w:t>Sources / Figures / Enrichment</w:t>
            </w:r>
          </w:p>
        </w:tc>
        <w:tc>
          <w:tcPr>
            <w:tcW w:type="dxa" w:w="3884"/>
          </w:tcPr>
          <w:p>
            <w:pPr>
              <w:spacing w:after="20"/>
              <w:ind w:left="115" w:hanging="115"/>
            </w:pPr>
            <w:r/>
            <w:r>
              <w:rPr>
                <w:sz w:val="16"/>
              </w:rPr>
              <w:t>• Local/regional study of Blackpool</w:t>
            </w:r>
          </w:p>
          <w:p>
            <w:pPr>
              <w:spacing w:after="20"/>
              <w:ind w:left="115" w:hanging="115"/>
            </w:pPr>
            <w:r>
              <w:rPr>
                <w:sz w:val="16"/>
              </w:rPr>
              <w:t>• photographs, postcards and visual evidence.</w:t>
            </w:r>
          </w:p>
        </w:tc>
        <w:tc>
          <w:tcPr>
            <w:tcW w:type="dxa" w:w="3884"/>
          </w:tcPr>
          <w:p>
            <w:pPr>
              <w:spacing w:after="20"/>
              <w:ind w:left="115" w:hanging="115"/>
            </w:pPr>
            <w:r/>
            <w:r>
              <w:rPr>
                <w:sz w:val="16"/>
              </w:rPr>
              <w:t>• Direct local-history connection</w:t>
            </w:r>
          </w:p>
          <w:p>
            <w:pPr>
              <w:spacing w:after="20"/>
              <w:ind w:left="115" w:hanging="115"/>
            </w:pPr>
            <w:r>
              <w:rPr>
                <w:sz w:val="16"/>
              </w:rPr>
              <w:t>• local photographs, maps, school/community records and memories.</w:t>
            </w:r>
          </w:p>
        </w:tc>
        <w:tc>
          <w:tcPr>
            <w:tcW w:type="dxa" w:w="3884"/>
          </w:tcPr>
          <w:p>
            <w:pPr>
              <w:spacing w:after="20"/>
              <w:ind w:left="115" w:hanging="115"/>
            </w:pPr>
            <w:r/>
            <w:r>
              <w:rPr>
                <w:sz w:val="16"/>
              </w:rPr>
              <w:t>• Maps, accounts and images linked to significant explorers</w:t>
            </w:r>
          </w:p>
          <w:p>
            <w:pPr>
              <w:spacing w:after="20"/>
              <w:ind w:left="115" w:hanging="115"/>
            </w:pPr>
            <w:r>
              <w:rPr>
                <w:sz w:val="16"/>
              </w:rPr>
              <w:t>• comparison across time and place.</w:t>
            </w:r>
          </w:p>
        </w:tc>
      </w:tr>
    </w:tbl>
    <w:p>
      <w:r>
        <w:br w:type="page"/>
      </w:r>
    </w:p>
    <w:p>
      <w:pPr>
        <w:spacing w:after="80"/>
      </w:pPr>
      <w:r>
        <w:rPr>
          <w:b/>
          <w:color w:val="4F7D32"/>
          <w:sz w:val="30"/>
        </w:rPr>
        <w:t>Year 3</w:t>
      </w:r>
    </w:p>
    <w:tbl>
      <w:tblPr>
        <w:tblW w:type="auto" w:w="0"/>
        <w:jc w:val="center"/>
        <w:tblLayout w:type="fixed"/>
        <w:tblLook w:firstColumn="1" w:firstRow="1" w:lastColumn="0" w:lastRow="0" w:noHBand="0" w:noVBand="1" w:val="04A0"/>
      </w:tblPr>
      <w:tblGrid>
        <w:gridCol w:w="3884"/>
        <w:gridCol w:w="3884"/>
        <w:gridCol w:w="3884"/>
        <w:gridCol w:w="3884"/>
      </w:tblGrid>
      <w:tr>
        <w:trPr>
          <w:tblHeader w:val="true"/>
        </w:trPr>
        <w:tc>
          <w:tcPr>
            <w:tcW w:type="dxa" w:w="1944"/>
            <w:vAlign w:val="top"/>
            <w:shd w:fill="4F7D32"/>
          </w:tcPr>
          <w:p>
            <w:pPr>
              <w:spacing w:after="0" w:before="0"/>
            </w:pPr>
            <w:r/>
            <w:r>
              <w:rPr>
                <w:rFonts w:ascii="Aptos" w:hAnsi="Aptos"/>
                <w:b/>
                <w:color w:val="FFFFFF"/>
                <w:sz w:val="16"/>
              </w:rPr>
            </w:r>
          </w:p>
        </w:tc>
        <w:tc>
          <w:tcPr>
            <w:tcW w:type="dxa" w:w="4128"/>
            <w:vAlign w:val="top"/>
            <w:shd w:fill="4F7D32"/>
          </w:tcPr>
          <w:p>
            <w:pPr>
              <w:spacing w:after="0" w:before="0"/>
            </w:pPr>
            <w:r/>
            <w:r>
              <w:rPr>
                <w:rFonts w:ascii="Aptos" w:hAnsi="Aptos"/>
                <w:b/>
                <w:color w:val="FFFFFF"/>
                <w:sz w:val="18"/>
              </w:rPr>
              <w:t>Stone Age</w:t>
            </w:r>
          </w:p>
        </w:tc>
        <w:tc>
          <w:tcPr>
            <w:tcW w:type="dxa" w:w="4128"/>
            <w:vAlign w:val="top"/>
            <w:shd w:fill="4F7D32"/>
          </w:tcPr>
          <w:p>
            <w:pPr>
              <w:spacing w:after="0" w:before="0"/>
            </w:pPr>
            <w:r/>
            <w:r>
              <w:rPr>
                <w:rFonts w:ascii="Aptos" w:hAnsi="Aptos"/>
                <w:b/>
                <w:color w:val="FFFFFF"/>
                <w:sz w:val="18"/>
              </w:rPr>
              <w:t>Romans</w:t>
            </w:r>
          </w:p>
        </w:tc>
        <w:tc>
          <w:tcPr>
            <w:tcW w:type="dxa" w:w="4128"/>
            <w:vAlign w:val="top"/>
            <w:shd w:fill="4F7D32"/>
          </w:tcPr>
          <w:p>
            <w:pPr>
              <w:spacing w:after="0" w:before="0"/>
            </w:pPr>
            <w:r/>
            <w:r>
              <w:rPr>
                <w:rFonts w:ascii="Aptos" w:hAnsi="Aptos"/>
                <w:b/>
                <w:color w:val="FFFFFF"/>
                <w:sz w:val="18"/>
              </w:rPr>
              <w:t>Local History: Preston</w:t>
            </w:r>
          </w:p>
        </w:tc>
      </w:tr>
      <w:tr>
        <w:tc>
          <w:tcPr>
            <w:tcW w:type="dxa" w:w="3884"/>
            <w:vAlign w:val="top"/>
            <w:shd w:fill="4F7D32"/>
          </w:tcPr>
          <w:p>
            <w:pPr>
              <w:spacing w:after="0" w:before="0"/>
            </w:pPr>
            <w:r/>
            <w:r>
              <w:rPr>
                <w:rFonts w:ascii="Aptos" w:hAnsi="Aptos"/>
                <w:b/>
                <w:color w:val="FFFFFF"/>
                <w:sz w:val="16"/>
              </w:rPr>
              <w:t>Big Question</w:t>
            </w:r>
          </w:p>
        </w:tc>
        <w:tc>
          <w:tcPr>
            <w:tcW w:type="dxa" w:w="3884"/>
            <w:vAlign w:val="top"/>
          </w:tcPr>
          <w:p>
            <w:pPr>
              <w:spacing w:after="0" w:before="0"/>
            </w:pPr>
            <w:r/>
            <w:r>
              <w:rPr>
                <w:rFonts w:ascii="Aptos" w:hAnsi="Aptos"/>
                <w:b w:val="0"/>
                <w:sz w:val="16"/>
              </w:rPr>
              <w:t>How did life in Britain change from the Stone Age onwards?</w:t>
            </w:r>
          </w:p>
        </w:tc>
        <w:tc>
          <w:tcPr>
            <w:tcW w:type="dxa" w:w="3884"/>
            <w:vAlign w:val="top"/>
          </w:tcPr>
          <w:p>
            <w:pPr>
              <w:spacing w:after="0" w:before="0"/>
            </w:pPr>
            <w:r/>
            <w:r>
              <w:rPr>
                <w:rFonts w:ascii="Aptos" w:hAnsi="Aptos"/>
                <w:b w:val="0"/>
                <w:sz w:val="16"/>
              </w:rPr>
              <w:t>What changed in Britain because of the Roman invasion and settlement?</w:t>
            </w:r>
          </w:p>
        </w:tc>
        <w:tc>
          <w:tcPr>
            <w:tcW w:type="dxa" w:w="3884"/>
            <w:vAlign w:val="top"/>
          </w:tcPr>
          <w:p>
            <w:pPr>
              <w:spacing w:after="0" w:before="0"/>
            </w:pPr>
            <w:r/>
            <w:r>
              <w:rPr>
                <w:rFonts w:ascii="Aptos" w:hAnsi="Aptos"/>
                <w:b w:val="0"/>
                <w:sz w:val="16"/>
              </w:rPr>
              <w:t>How has Preston changed over the last 100 years?</w:t>
            </w:r>
          </w:p>
        </w:tc>
      </w:tr>
      <w:tr>
        <w:tc>
          <w:tcPr>
            <w:tcW w:type="dxa" w:w="3884"/>
            <w:vAlign w:val="top"/>
            <w:shd w:fill="4F7D32"/>
          </w:tcPr>
          <w:p>
            <w:pPr>
              <w:spacing w:after="0" w:before="0"/>
            </w:pPr>
            <w:r/>
            <w:r>
              <w:rPr>
                <w:rFonts w:ascii="Aptos" w:hAnsi="Aptos"/>
                <w:b/>
                <w:color w:val="FFFFFF"/>
                <w:sz w:val="16"/>
              </w:rPr>
              <w:t>Substantive Knowledge</w:t>
            </w:r>
          </w:p>
        </w:tc>
        <w:tc>
          <w:tcPr>
            <w:tcW w:type="dxa" w:w="3884"/>
            <w:shd w:fill="EAF1E4"/>
          </w:tcPr>
          <w:p>
            <w:pPr>
              <w:spacing w:after="20"/>
              <w:ind w:left="115" w:hanging="115"/>
            </w:pPr>
            <w:r/>
            <w:r>
              <w:rPr>
                <w:sz w:val="16"/>
              </w:rPr>
              <w:t>• Understand major changes in prehistoric Britain, including hunter-gatherer life, farming, settlements, tools and monuments</w:t>
            </w:r>
          </w:p>
          <w:p>
            <w:pPr>
              <w:spacing w:after="20"/>
              <w:ind w:left="115" w:hanging="115"/>
            </w:pPr>
            <w:r>
              <w:rPr>
                <w:sz w:val="16"/>
              </w:rPr>
              <w:t>• recognise that the period spans a very long time and contains substantial change.</w:t>
            </w:r>
          </w:p>
        </w:tc>
        <w:tc>
          <w:tcPr>
            <w:tcW w:type="dxa" w:w="3884"/>
            <w:shd w:fill="EAF1E4"/>
          </w:tcPr>
          <w:p>
            <w:pPr>
              <w:spacing w:after="20"/>
              <w:ind w:left="115" w:hanging="115"/>
            </w:pPr>
            <w:r/>
            <w:r>
              <w:rPr>
                <w:sz w:val="16"/>
              </w:rPr>
              <w:t>• Know why Rome invaded Britain</w:t>
            </w:r>
          </w:p>
          <w:p>
            <w:pPr>
              <w:spacing w:after="20"/>
              <w:ind w:left="115" w:hanging="115"/>
            </w:pPr>
            <w:r>
              <w:rPr>
                <w:sz w:val="16"/>
              </w:rPr>
              <w:t>• understand conquest, resistance and Roman control</w:t>
            </w:r>
          </w:p>
          <w:p>
            <w:pPr>
              <w:spacing w:after="20"/>
              <w:ind w:left="115" w:hanging="115"/>
            </w:pPr>
            <w:r>
              <w:rPr>
                <w:sz w:val="16"/>
              </w:rPr>
              <w:t>• study Boudicca and aspects of Roman society, infrastructure and legacy</w:t>
            </w:r>
          </w:p>
          <w:p>
            <w:pPr>
              <w:spacing w:after="20"/>
              <w:ind w:left="115" w:hanging="115"/>
            </w:pPr>
            <w:r>
              <w:rPr>
                <w:sz w:val="16"/>
              </w:rPr>
              <w:t>• recognise Britain as part of a wider empire.</w:t>
            </w:r>
          </w:p>
        </w:tc>
        <w:tc>
          <w:tcPr>
            <w:tcW w:type="dxa" w:w="3884"/>
            <w:shd w:fill="EAF1E4"/>
          </w:tcPr>
          <w:p>
            <w:pPr>
              <w:spacing w:after="20"/>
              <w:ind w:left="115" w:hanging="115"/>
            </w:pPr>
            <w:r/>
            <w:r>
              <w:rPr>
                <w:sz w:val="16"/>
              </w:rPr>
              <w:t>• Understand key changes in Preston across the last century, including the 1940s</w:t>
            </w:r>
          </w:p>
          <w:p>
            <w:pPr>
              <w:spacing w:after="20"/>
              <w:ind w:left="115" w:hanging="115"/>
            </w:pPr>
            <w:r>
              <w:rPr>
                <w:sz w:val="16"/>
              </w:rPr>
              <w:t>• explore how buildings, work, transport and community life have changed while some features remain.</w:t>
            </w:r>
          </w:p>
        </w:tc>
      </w:tr>
      <w:tr>
        <w:tc>
          <w:tcPr>
            <w:tcW w:type="dxa" w:w="3884"/>
            <w:vAlign w:val="top"/>
            <w:shd w:fill="4F7D32"/>
          </w:tcPr>
          <w:p>
            <w:pPr>
              <w:spacing w:after="0" w:before="0"/>
            </w:pPr>
            <w:r/>
            <w:r>
              <w:rPr>
                <w:rFonts w:ascii="Aptos" w:hAnsi="Aptos"/>
                <w:b/>
                <w:color w:val="FFFFFF"/>
                <w:sz w:val="16"/>
              </w:rPr>
              <w:t>Disciplinary Knowledge</w:t>
            </w:r>
          </w:p>
        </w:tc>
        <w:tc>
          <w:tcPr>
            <w:tcW w:type="dxa" w:w="3884"/>
          </w:tcPr>
          <w:p>
            <w:pPr>
              <w:spacing w:after="20"/>
              <w:ind w:left="115" w:hanging="115"/>
            </w:pPr>
            <w:r/>
            <w:r>
              <w:rPr>
                <w:sz w:val="16"/>
              </w:rPr>
              <w:t>• Develop chronological scale</w:t>
            </w:r>
          </w:p>
          <w:p>
            <w:pPr>
              <w:spacing w:after="20"/>
              <w:ind w:left="115" w:hanging="115"/>
            </w:pPr>
            <w:r>
              <w:rPr>
                <w:sz w:val="16"/>
              </w:rPr>
              <w:t>• use archaeological evidence and artefacts to make inferences</w:t>
            </w:r>
          </w:p>
          <w:p>
            <w:pPr>
              <w:spacing w:after="20"/>
              <w:ind w:left="115" w:hanging="115"/>
            </w:pPr>
            <w:r>
              <w:rPr>
                <w:sz w:val="16"/>
              </w:rPr>
              <w:t>• compare periods</w:t>
            </w:r>
          </w:p>
          <w:p>
            <w:pPr>
              <w:spacing w:after="20"/>
              <w:ind w:left="115" w:hanging="115"/>
            </w:pPr>
            <w:r>
              <w:rPr>
                <w:sz w:val="16"/>
              </w:rPr>
              <w:t>• explain change and continuity</w:t>
            </w:r>
          </w:p>
          <w:p>
            <w:pPr>
              <w:spacing w:after="20"/>
              <w:ind w:left="115" w:hanging="115"/>
            </w:pPr>
            <w:r>
              <w:rPr>
                <w:sz w:val="16"/>
              </w:rPr>
              <w:t>• ask questions where written evidence is unavailable.</w:t>
            </w:r>
          </w:p>
        </w:tc>
        <w:tc>
          <w:tcPr>
            <w:tcW w:type="dxa" w:w="3884"/>
          </w:tcPr>
          <w:p>
            <w:pPr>
              <w:spacing w:after="20"/>
              <w:ind w:left="115" w:hanging="115"/>
            </w:pPr>
            <w:r/>
            <w:r>
              <w:rPr>
                <w:sz w:val="16"/>
              </w:rPr>
              <w:t>• Sequence invasion and occupation</w:t>
            </w:r>
          </w:p>
          <w:p>
            <w:pPr>
              <w:spacing w:after="20"/>
              <w:ind w:left="115" w:hanging="115"/>
            </w:pPr>
            <w:r>
              <w:rPr>
                <w:sz w:val="16"/>
              </w:rPr>
              <w:t>• explain causes and consequences</w:t>
            </w:r>
          </w:p>
          <w:p>
            <w:pPr>
              <w:spacing w:after="20"/>
              <w:ind w:left="115" w:hanging="115"/>
            </w:pPr>
            <w:r>
              <w:rPr>
                <w:sz w:val="16"/>
              </w:rPr>
              <w:t>• compare Roman and British perspectives</w:t>
            </w:r>
          </w:p>
          <w:p>
            <w:pPr>
              <w:spacing w:after="20"/>
              <w:ind w:left="115" w:hanging="115"/>
            </w:pPr>
            <w:r>
              <w:rPr>
                <w:sz w:val="16"/>
              </w:rPr>
              <w:t>• use artefacts and written/visual sources</w:t>
            </w:r>
          </w:p>
          <w:p>
            <w:pPr>
              <w:spacing w:after="20"/>
              <w:ind w:left="115" w:hanging="115"/>
            </w:pPr>
            <w:r>
              <w:rPr>
                <w:sz w:val="16"/>
              </w:rPr>
              <w:t>• evaluate legacy and significance.</w:t>
            </w:r>
          </w:p>
        </w:tc>
        <w:tc>
          <w:tcPr>
            <w:tcW w:type="dxa" w:w="3884"/>
          </w:tcPr>
          <w:p>
            <w:pPr>
              <w:spacing w:after="20"/>
              <w:ind w:left="115" w:hanging="115"/>
            </w:pPr>
            <w:r/>
            <w:r>
              <w:rPr>
                <w:sz w:val="16"/>
              </w:rPr>
              <w:t>• Use maps, photographs and local records to track change over time</w:t>
            </w:r>
          </w:p>
          <w:p>
            <w:pPr>
              <w:spacing w:after="20"/>
              <w:ind w:left="115" w:hanging="115"/>
            </w:pPr>
            <w:r>
              <w:rPr>
                <w:sz w:val="16"/>
              </w:rPr>
              <w:t>• compare periods</w:t>
            </w:r>
          </w:p>
          <w:p>
            <w:pPr>
              <w:spacing w:after="20"/>
              <w:ind w:left="115" w:hanging="115"/>
            </w:pPr>
            <w:r>
              <w:rPr>
                <w:sz w:val="16"/>
              </w:rPr>
              <w:t>• connect local history to national events</w:t>
            </w:r>
          </w:p>
          <w:p>
            <w:pPr>
              <w:spacing w:after="20"/>
              <w:ind w:left="115" w:hanging="115"/>
            </w:pPr>
            <w:r>
              <w:rPr>
                <w:sz w:val="16"/>
              </w:rPr>
              <w:t>• construct chronological narratives and justify observations with evidence.</w:t>
            </w:r>
          </w:p>
        </w:tc>
      </w:tr>
      <w:tr>
        <w:tc>
          <w:tcPr>
            <w:tcW w:type="dxa" w:w="3884"/>
            <w:vAlign w:val="top"/>
            <w:shd w:fill="4F7D32"/>
          </w:tcPr>
          <w:p>
            <w:pPr>
              <w:spacing w:after="0" w:before="0"/>
            </w:pPr>
            <w:r/>
            <w:r>
              <w:rPr>
                <w:rFonts w:ascii="Aptos" w:hAnsi="Aptos"/>
                <w:b/>
                <w:color w:val="FFFFFF"/>
                <w:sz w:val="16"/>
              </w:rPr>
              <w:t>Key Vocabulary</w:t>
            </w:r>
          </w:p>
        </w:tc>
        <w:tc>
          <w:tcPr>
            <w:tcW w:type="dxa" w:w="3884"/>
            <w:vAlign w:val="top"/>
            <w:shd w:fill="EAF1E4"/>
          </w:tcPr>
          <w:p>
            <w:pPr>
              <w:spacing w:after="0" w:before="0"/>
            </w:pPr>
            <w:r/>
            <w:r>
              <w:rPr>
                <w:rFonts w:ascii="Aptos" w:hAnsi="Aptos"/>
                <w:b w:val="0"/>
                <w:sz w:val="16"/>
              </w:rPr>
              <w:t>prehistory; Stone Age; Palaeolithic; Mesolithic; Neolithic; hunter-gatherer; settlement; archaeology; artefact; Stonehenge</w:t>
            </w:r>
          </w:p>
        </w:tc>
        <w:tc>
          <w:tcPr>
            <w:tcW w:type="dxa" w:w="3884"/>
            <w:vAlign w:val="top"/>
            <w:shd w:fill="EAF1E4"/>
          </w:tcPr>
          <w:p>
            <w:pPr>
              <w:spacing w:after="0" w:before="0"/>
            </w:pPr>
            <w:r/>
            <w:r>
              <w:rPr>
                <w:rFonts w:ascii="Aptos" w:hAnsi="Aptos"/>
                <w:b w:val="0"/>
                <w:sz w:val="16"/>
              </w:rPr>
              <w:t>Roman; empire; invasion; conquest; resistance; Boudicca; legion; settlement; legacy; source</w:t>
            </w:r>
          </w:p>
        </w:tc>
        <w:tc>
          <w:tcPr>
            <w:tcW w:type="dxa" w:w="3884"/>
            <w:vAlign w:val="top"/>
            <w:shd w:fill="EAF1E4"/>
          </w:tcPr>
          <w:p>
            <w:pPr>
              <w:spacing w:after="0" w:before="0"/>
            </w:pPr>
            <w:r/>
            <w:r>
              <w:rPr>
                <w:rFonts w:ascii="Aptos" w:hAnsi="Aptos"/>
                <w:b w:val="0"/>
                <w:sz w:val="16"/>
              </w:rPr>
              <w:t>Preston; Lancashire; local history; decade; century; change; continuity; industry; community; evidence</w:t>
            </w:r>
          </w:p>
        </w:tc>
      </w:tr>
      <w:tr>
        <w:tc>
          <w:tcPr>
            <w:tcW w:type="dxa" w:w="3884"/>
            <w:vAlign w:val="top"/>
            <w:shd w:fill="4F7D32"/>
          </w:tcPr>
          <w:p>
            <w:pPr>
              <w:spacing w:after="0" w:before="0"/>
            </w:pPr>
            <w:r/>
            <w:r>
              <w:rPr>
                <w:rFonts w:ascii="Aptos" w:hAnsi="Aptos"/>
                <w:b/>
                <w:color w:val="FFFFFF"/>
                <w:sz w:val="16"/>
              </w:rPr>
              <w:t>Sources / Figures / Enrichment</w:t>
            </w:r>
          </w:p>
        </w:tc>
        <w:tc>
          <w:tcPr>
            <w:tcW w:type="dxa" w:w="3884"/>
          </w:tcPr>
          <w:p>
            <w:pPr>
              <w:spacing w:after="20"/>
              <w:ind w:left="115" w:hanging="115"/>
            </w:pPr>
            <w:r/>
            <w:r>
              <w:rPr>
                <w:sz w:val="16"/>
              </w:rPr>
              <w:t>• Archaeological evidence, artefacts and monuments such as Stonehenge</w:t>
            </w:r>
          </w:p>
          <w:p>
            <w:pPr>
              <w:spacing w:after="20"/>
              <w:ind w:left="115" w:hanging="115"/>
            </w:pPr>
            <w:r>
              <w:rPr>
                <w:sz w:val="16"/>
              </w:rPr>
              <w:t>• foundation for later ancient-civilisation comparisons.</w:t>
            </w:r>
          </w:p>
        </w:tc>
        <w:tc>
          <w:tcPr>
            <w:tcW w:type="dxa" w:w="3884"/>
          </w:tcPr>
          <w:p>
            <w:pPr>
              <w:spacing w:after="20"/>
              <w:ind w:left="115" w:hanging="115"/>
            </w:pPr>
            <w:r/>
            <w:r>
              <w:rPr>
                <w:sz w:val="16"/>
              </w:rPr>
              <w:t>• Boudicca and Roman Britain</w:t>
            </w:r>
          </w:p>
          <w:p>
            <w:pPr>
              <w:spacing w:after="20"/>
              <w:ind w:left="115" w:hanging="115"/>
            </w:pPr>
            <w:r>
              <w:rPr>
                <w:sz w:val="16"/>
              </w:rPr>
              <w:t>• links forward to later invasion, empire and settlement units.</w:t>
            </w:r>
          </w:p>
        </w:tc>
        <w:tc>
          <w:tcPr>
            <w:tcW w:type="dxa" w:w="3884"/>
          </w:tcPr>
          <w:p>
            <w:pPr>
              <w:spacing w:after="20"/>
              <w:ind w:left="115" w:hanging="115"/>
            </w:pPr>
            <w:r/>
            <w:r>
              <w:rPr>
                <w:sz w:val="16"/>
              </w:rPr>
              <w:t>• Strong local-history thread</w:t>
            </w:r>
          </w:p>
          <w:p>
            <w:pPr>
              <w:spacing w:after="20"/>
              <w:ind w:left="115" w:hanging="115"/>
            </w:pPr>
            <w:r>
              <w:rPr>
                <w:sz w:val="16"/>
              </w:rPr>
              <w:t>• provides knowledge of Preston in the 1940s for the Year 6 Battle of Britain unit.</w:t>
            </w:r>
          </w:p>
        </w:tc>
      </w:tr>
    </w:tbl>
    <w:p>
      <w:r>
        <w:br w:type="page"/>
      </w:r>
    </w:p>
    <w:p>
      <w:pPr>
        <w:spacing w:after="80"/>
      </w:pPr>
      <w:r>
        <w:rPr>
          <w:b/>
          <w:color w:val="4F7D32"/>
          <w:sz w:val="30"/>
        </w:rPr>
        <w:t>Year 4</w:t>
      </w:r>
    </w:p>
    <w:tbl>
      <w:tblPr>
        <w:tblW w:type="auto" w:w="0"/>
        <w:jc w:val="center"/>
        <w:tblLayout w:type="fixed"/>
        <w:tblLook w:firstColumn="1" w:firstRow="1" w:lastColumn="0" w:lastRow="0" w:noHBand="0" w:noVBand="1" w:val="04A0"/>
      </w:tblPr>
      <w:tblGrid>
        <w:gridCol w:w="5179"/>
        <w:gridCol w:w="5179"/>
        <w:gridCol w:w="5179"/>
      </w:tblGrid>
      <w:tr>
        <w:trPr>
          <w:tblHeader w:val="true"/>
        </w:trPr>
        <w:tc>
          <w:tcPr>
            <w:tcW w:type="dxa" w:w="1944"/>
            <w:vAlign w:val="top"/>
            <w:shd w:fill="4F7D32"/>
          </w:tcPr>
          <w:p>
            <w:pPr>
              <w:spacing w:after="0" w:before="0"/>
            </w:pPr>
            <w:r/>
            <w:r>
              <w:rPr>
                <w:rFonts w:ascii="Aptos" w:hAnsi="Aptos"/>
                <w:b/>
                <w:color w:val="FFFFFF"/>
                <w:sz w:val="16"/>
              </w:rPr>
            </w:r>
          </w:p>
        </w:tc>
        <w:tc>
          <w:tcPr>
            <w:tcW w:type="dxa" w:w="6192"/>
            <w:vAlign w:val="top"/>
            <w:shd w:fill="4F7D32"/>
          </w:tcPr>
          <w:p>
            <w:pPr>
              <w:spacing w:after="0" w:before="0"/>
            </w:pPr>
            <w:r/>
            <w:r>
              <w:rPr>
                <w:rFonts w:ascii="Aptos" w:hAnsi="Aptos"/>
                <w:b/>
                <w:color w:val="FFFFFF"/>
                <w:sz w:val="18"/>
              </w:rPr>
              <w:t>Ancient Egypt</w:t>
            </w:r>
          </w:p>
        </w:tc>
        <w:tc>
          <w:tcPr>
            <w:tcW w:type="dxa" w:w="6192"/>
            <w:vAlign w:val="top"/>
            <w:shd w:fill="4F7D32"/>
          </w:tcPr>
          <w:p>
            <w:pPr>
              <w:spacing w:after="0" w:before="0"/>
            </w:pPr>
            <w:r/>
            <w:r>
              <w:rPr>
                <w:rFonts w:ascii="Aptos" w:hAnsi="Aptos"/>
                <w:b/>
                <w:color w:val="FFFFFF"/>
                <w:sz w:val="18"/>
              </w:rPr>
              <w:t>The Plague</w:t>
            </w:r>
          </w:p>
        </w:tc>
      </w:tr>
      <w:tr>
        <w:tc>
          <w:tcPr>
            <w:tcW w:type="dxa" w:w="5179"/>
            <w:vAlign w:val="top"/>
            <w:shd w:fill="4F7D32"/>
          </w:tcPr>
          <w:p>
            <w:pPr>
              <w:spacing w:after="0" w:before="0"/>
            </w:pPr>
            <w:r/>
            <w:r>
              <w:rPr>
                <w:rFonts w:ascii="Aptos" w:hAnsi="Aptos"/>
                <w:b/>
                <w:color w:val="FFFFFF"/>
                <w:sz w:val="16"/>
              </w:rPr>
              <w:t>Big Question</w:t>
            </w:r>
          </w:p>
        </w:tc>
        <w:tc>
          <w:tcPr>
            <w:tcW w:type="dxa" w:w="5179"/>
            <w:vAlign w:val="top"/>
          </w:tcPr>
          <w:p>
            <w:pPr>
              <w:spacing w:after="0" w:before="0"/>
            </w:pPr>
            <w:r/>
            <w:r>
              <w:rPr>
                <w:rFonts w:ascii="Aptos" w:hAnsi="Aptos"/>
                <w:b w:val="0"/>
                <w:sz w:val="16"/>
              </w:rPr>
              <w:t>What can evidence tell us about life and belief in Ancient Egypt?</w:t>
            </w:r>
          </w:p>
        </w:tc>
        <w:tc>
          <w:tcPr>
            <w:tcW w:type="dxa" w:w="5179"/>
            <w:vAlign w:val="top"/>
          </w:tcPr>
          <w:p>
            <w:pPr>
              <w:spacing w:after="0" w:before="0"/>
            </w:pPr>
            <w:r/>
            <w:r>
              <w:rPr>
                <w:rFonts w:ascii="Aptos" w:hAnsi="Aptos"/>
                <w:b w:val="0"/>
                <w:sz w:val="16"/>
              </w:rPr>
              <w:t>Why did the Plague have such a major impact on Britain?</w:t>
            </w:r>
          </w:p>
        </w:tc>
      </w:tr>
      <w:tr>
        <w:tc>
          <w:tcPr>
            <w:tcW w:type="dxa" w:w="5179"/>
            <w:vAlign w:val="top"/>
            <w:shd w:fill="4F7D32"/>
          </w:tcPr>
          <w:p>
            <w:pPr>
              <w:spacing w:after="0" w:before="0"/>
            </w:pPr>
            <w:r/>
            <w:r>
              <w:rPr>
                <w:rFonts w:ascii="Aptos" w:hAnsi="Aptos"/>
                <w:b/>
                <w:color w:val="FFFFFF"/>
                <w:sz w:val="16"/>
              </w:rPr>
              <w:t>Substantive Knowledge</w:t>
            </w:r>
          </w:p>
        </w:tc>
        <w:tc>
          <w:tcPr>
            <w:tcW w:type="dxa" w:w="5179"/>
            <w:shd w:fill="EAF1E4"/>
          </w:tcPr>
          <w:p>
            <w:pPr>
              <w:spacing w:after="20"/>
              <w:ind w:left="115" w:hanging="115"/>
            </w:pPr>
            <w:r/>
            <w:r>
              <w:rPr>
                <w:sz w:val="16"/>
              </w:rPr>
              <w:t>• Understand Egyptian civilisation, including pharaohs, social organisation, religion, burial, daily life and achievements</w:t>
            </w:r>
          </w:p>
          <w:p>
            <w:pPr>
              <w:spacing w:after="20"/>
              <w:ind w:left="115" w:hanging="115"/>
            </w:pPr>
            <w:r>
              <w:rPr>
                <w:sz w:val="16"/>
              </w:rPr>
              <w:t>• locate Egypt in time and place and understand the importance of the Nile.</w:t>
            </w:r>
          </w:p>
        </w:tc>
        <w:tc>
          <w:tcPr>
            <w:tcW w:type="dxa" w:w="5179"/>
            <w:shd w:fill="EAF1E4"/>
          </w:tcPr>
          <w:p>
            <w:pPr>
              <w:spacing w:after="20"/>
              <w:ind w:left="115" w:hanging="115"/>
            </w:pPr>
            <w:r/>
            <w:r>
              <w:rPr>
                <w:sz w:val="16"/>
              </w:rPr>
              <w:t>• Understand causes, symptoms, spread and responses to plague</w:t>
            </w:r>
          </w:p>
          <w:p>
            <w:pPr>
              <w:spacing w:after="20"/>
              <w:ind w:left="115" w:hanging="115"/>
            </w:pPr>
            <w:r>
              <w:rPr>
                <w:sz w:val="16"/>
              </w:rPr>
              <w:t>• place the event within British history and connect it chronologically with the Great Fire of London</w:t>
            </w:r>
          </w:p>
          <w:p>
            <w:pPr>
              <w:spacing w:after="20"/>
              <w:ind w:left="115" w:hanging="115"/>
            </w:pPr>
            <w:r>
              <w:rPr>
                <w:sz w:val="16"/>
              </w:rPr>
              <w:t>• compare historical and modern public health knowledge.</w:t>
            </w:r>
          </w:p>
        </w:tc>
      </w:tr>
      <w:tr>
        <w:tc>
          <w:tcPr>
            <w:tcW w:type="dxa" w:w="5179"/>
            <w:vAlign w:val="top"/>
            <w:shd w:fill="4F7D32"/>
          </w:tcPr>
          <w:p>
            <w:pPr>
              <w:spacing w:after="0" w:before="0"/>
            </w:pPr>
            <w:r/>
            <w:r>
              <w:rPr>
                <w:rFonts w:ascii="Aptos" w:hAnsi="Aptos"/>
                <w:b/>
                <w:color w:val="FFFFFF"/>
                <w:sz w:val="16"/>
              </w:rPr>
              <w:t>Disciplinary Knowledge</w:t>
            </w:r>
          </w:p>
        </w:tc>
        <w:tc>
          <w:tcPr>
            <w:tcW w:type="dxa" w:w="5179"/>
          </w:tcPr>
          <w:p>
            <w:pPr>
              <w:spacing w:after="20"/>
              <w:ind w:left="115" w:hanging="115"/>
            </w:pPr>
            <w:r/>
            <w:r>
              <w:rPr>
                <w:sz w:val="16"/>
              </w:rPr>
              <w:t>• Use artefacts, tomb evidence and written/visual sources to make inferences</w:t>
            </w:r>
          </w:p>
          <w:p>
            <w:pPr>
              <w:spacing w:after="20"/>
              <w:ind w:left="115" w:hanging="115"/>
            </w:pPr>
            <w:r>
              <w:rPr>
                <w:sz w:val="16"/>
              </w:rPr>
              <w:t>• develop chronology across ancient civilisations</w:t>
            </w:r>
          </w:p>
          <w:p>
            <w:pPr>
              <w:spacing w:after="20"/>
              <w:ind w:left="115" w:hanging="115"/>
            </w:pPr>
            <w:r>
              <w:rPr>
                <w:sz w:val="16"/>
              </w:rPr>
              <w:t>• compare society, government and belief</w:t>
            </w:r>
          </w:p>
          <w:p>
            <w:pPr>
              <w:spacing w:after="20"/>
              <w:ind w:left="115" w:hanging="115"/>
            </w:pPr>
            <w:r>
              <w:rPr>
                <w:sz w:val="16"/>
              </w:rPr>
              <w:t>• consider significance and legacy.</w:t>
            </w:r>
          </w:p>
        </w:tc>
        <w:tc>
          <w:tcPr>
            <w:tcW w:type="dxa" w:w="5179"/>
          </w:tcPr>
          <w:p>
            <w:pPr>
              <w:spacing w:after="20"/>
              <w:ind w:left="115" w:hanging="115"/>
            </w:pPr>
            <w:r/>
            <w:r>
              <w:rPr>
                <w:sz w:val="16"/>
              </w:rPr>
              <w:t>• Explore cause and consequence</w:t>
            </w:r>
          </w:p>
          <w:p>
            <w:pPr>
              <w:spacing w:after="20"/>
              <w:ind w:left="115" w:hanging="115"/>
            </w:pPr>
            <w:r>
              <w:rPr>
                <w:sz w:val="16"/>
              </w:rPr>
              <w:t>• use primary sources including Samuel Pepys, medical drawings and contemporary accounts</w:t>
            </w:r>
          </w:p>
          <w:p>
            <w:pPr>
              <w:spacing w:after="20"/>
              <w:ind w:left="115" w:hanging="115"/>
            </w:pPr>
            <w:r>
              <w:rPr>
                <w:sz w:val="16"/>
              </w:rPr>
              <w:t>• compare past and present explanations</w:t>
            </w:r>
          </w:p>
          <w:p>
            <w:pPr>
              <w:spacing w:after="20"/>
              <w:ind w:left="115" w:hanging="115"/>
            </w:pPr>
            <w:r>
              <w:rPr>
                <w:sz w:val="16"/>
              </w:rPr>
              <w:t>• assess what sources reveal and their limitations.</w:t>
            </w:r>
          </w:p>
        </w:tc>
      </w:tr>
      <w:tr>
        <w:tc>
          <w:tcPr>
            <w:tcW w:type="dxa" w:w="5179"/>
            <w:vAlign w:val="top"/>
            <w:shd w:fill="4F7D32"/>
          </w:tcPr>
          <w:p>
            <w:pPr>
              <w:spacing w:after="0" w:before="0"/>
            </w:pPr>
            <w:r/>
            <w:r>
              <w:rPr>
                <w:rFonts w:ascii="Aptos" w:hAnsi="Aptos"/>
                <w:b/>
                <w:color w:val="FFFFFF"/>
                <w:sz w:val="16"/>
              </w:rPr>
              <w:t>Key Vocabulary</w:t>
            </w:r>
          </w:p>
        </w:tc>
        <w:tc>
          <w:tcPr>
            <w:tcW w:type="dxa" w:w="5179"/>
            <w:vAlign w:val="top"/>
            <w:shd w:fill="EAF1E4"/>
          </w:tcPr>
          <w:p>
            <w:pPr>
              <w:spacing w:after="0" w:before="0"/>
            </w:pPr>
            <w:r/>
            <w:r>
              <w:rPr>
                <w:rFonts w:ascii="Aptos" w:hAnsi="Aptos"/>
                <w:b w:val="0"/>
                <w:sz w:val="16"/>
              </w:rPr>
              <w:t>Ancient Egypt; pharaoh; Nile; hieroglyphics; pyramid; mummification; afterlife; civilisation; artefact; archaeology</w:t>
            </w:r>
          </w:p>
        </w:tc>
        <w:tc>
          <w:tcPr>
            <w:tcW w:type="dxa" w:w="5179"/>
            <w:vAlign w:val="top"/>
            <w:shd w:fill="EAF1E4"/>
          </w:tcPr>
          <w:p>
            <w:pPr>
              <w:spacing w:after="0" w:before="0"/>
            </w:pPr>
            <w:r/>
            <w:r>
              <w:rPr>
                <w:rFonts w:ascii="Aptos" w:hAnsi="Aptos"/>
                <w:b w:val="0"/>
                <w:sz w:val="16"/>
              </w:rPr>
              <w:t>plague; epidemic; bubonic; quarantine; contagious; symptoms; infection; source; consequence; public health</w:t>
            </w:r>
          </w:p>
        </w:tc>
      </w:tr>
      <w:tr>
        <w:tc>
          <w:tcPr>
            <w:tcW w:type="dxa" w:w="5179"/>
            <w:vAlign w:val="top"/>
            <w:shd w:fill="4F7D32"/>
          </w:tcPr>
          <w:p>
            <w:pPr>
              <w:spacing w:after="0" w:before="0"/>
            </w:pPr>
            <w:r/>
            <w:r>
              <w:rPr>
                <w:rFonts w:ascii="Aptos" w:hAnsi="Aptos"/>
                <w:b/>
                <w:color w:val="FFFFFF"/>
                <w:sz w:val="16"/>
              </w:rPr>
              <w:t>Sources / Figures / Enrichment</w:t>
            </w:r>
          </w:p>
        </w:tc>
        <w:tc>
          <w:tcPr>
            <w:tcW w:type="dxa" w:w="5179"/>
          </w:tcPr>
          <w:p>
            <w:pPr>
              <w:spacing w:after="20"/>
              <w:ind w:left="115" w:hanging="115"/>
            </w:pPr>
            <w:r/>
            <w:r>
              <w:rPr>
                <w:sz w:val="16"/>
              </w:rPr>
              <w:t>• Artefacts, tombs, hieroglyphics and archaeological evidence</w:t>
            </w:r>
          </w:p>
          <w:p>
            <w:pPr>
              <w:spacing w:after="20"/>
              <w:ind w:left="115" w:hanging="115"/>
            </w:pPr>
            <w:r>
              <w:rPr>
                <w:sz w:val="16"/>
              </w:rPr>
              <w:t>• comparison with later ancient empires.</w:t>
            </w:r>
          </w:p>
        </w:tc>
        <w:tc>
          <w:tcPr>
            <w:tcW w:type="dxa" w:w="5179"/>
          </w:tcPr>
          <w:p>
            <w:pPr>
              <w:spacing w:after="20"/>
              <w:ind w:left="115" w:hanging="115"/>
            </w:pPr>
            <w:r/>
            <w:r>
              <w:rPr>
                <w:sz w:val="16"/>
              </w:rPr>
              <w:t>• Samuel Pepys and contemporary evidence</w:t>
            </w:r>
          </w:p>
          <w:p>
            <w:pPr>
              <w:spacing w:after="20"/>
              <w:ind w:left="115" w:hanging="115"/>
            </w:pPr>
            <w:r>
              <w:rPr>
                <w:sz w:val="16"/>
              </w:rPr>
              <w:t>• deliberate return to Year 1 Great Fire learning and links with science/public health.</w:t>
            </w:r>
          </w:p>
        </w:tc>
      </w:tr>
    </w:tbl>
    <w:p>
      <w:r>
        <w:br w:type="page"/>
      </w:r>
    </w:p>
    <w:p>
      <w:pPr>
        <w:spacing w:after="80"/>
      </w:pPr>
      <w:r>
        <w:rPr>
          <w:b/>
          <w:color w:val="4F7D32"/>
          <w:sz w:val="30"/>
        </w:rPr>
        <w:t>Year 5</w:t>
      </w:r>
    </w:p>
    <w:tbl>
      <w:tblPr>
        <w:tblW w:type="auto" w:w="0"/>
        <w:jc w:val="center"/>
        <w:tblLayout w:type="fixed"/>
        <w:tblLook w:firstColumn="1" w:firstRow="1" w:lastColumn="0" w:lastRow="0" w:noHBand="0" w:noVBand="1" w:val="04A0"/>
      </w:tblPr>
      <w:tblGrid>
        <w:gridCol w:w="3884"/>
        <w:gridCol w:w="3884"/>
        <w:gridCol w:w="3884"/>
        <w:gridCol w:w="3884"/>
      </w:tblGrid>
      <w:tr>
        <w:trPr>
          <w:tblHeader w:val="true"/>
        </w:trPr>
        <w:tc>
          <w:tcPr>
            <w:tcW w:type="dxa" w:w="1944"/>
            <w:vAlign w:val="top"/>
            <w:shd w:fill="4F7D32"/>
          </w:tcPr>
          <w:p>
            <w:pPr>
              <w:spacing w:after="0" w:before="0"/>
            </w:pPr>
            <w:r/>
            <w:r>
              <w:rPr>
                <w:rFonts w:ascii="Aptos" w:hAnsi="Aptos"/>
                <w:b/>
                <w:color w:val="FFFFFF"/>
                <w:sz w:val="16"/>
              </w:rPr>
            </w:r>
          </w:p>
        </w:tc>
        <w:tc>
          <w:tcPr>
            <w:tcW w:type="dxa" w:w="4128"/>
            <w:vAlign w:val="top"/>
            <w:shd w:fill="4F7D32"/>
          </w:tcPr>
          <w:p>
            <w:pPr>
              <w:spacing w:after="0" w:before="0"/>
            </w:pPr>
            <w:r/>
            <w:r>
              <w:rPr>
                <w:rFonts w:ascii="Aptos" w:hAnsi="Aptos"/>
                <w:b/>
                <w:color w:val="FFFFFF"/>
                <w:sz w:val="18"/>
              </w:rPr>
              <w:t>Anglo-Saxons</w:t>
            </w:r>
          </w:p>
        </w:tc>
        <w:tc>
          <w:tcPr>
            <w:tcW w:type="dxa" w:w="4128"/>
            <w:vAlign w:val="top"/>
            <w:shd w:fill="4F7D32"/>
          </w:tcPr>
          <w:p>
            <w:pPr>
              <w:spacing w:after="0" w:before="0"/>
            </w:pPr>
            <w:r/>
            <w:r>
              <w:rPr>
                <w:rFonts w:ascii="Aptos" w:hAnsi="Aptos"/>
                <w:b/>
                <w:color w:val="FFFFFF"/>
                <w:sz w:val="18"/>
              </w:rPr>
              <w:t>Ancient Greece</w:t>
            </w:r>
          </w:p>
        </w:tc>
        <w:tc>
          <w:tcPr>
            <w:tcW w:type="dxa" w:w="4128"/>
            <w:vAlign w:val="top"/>
            <w:shd w:fill="4F7D32"/>
          </w:tcPr>
          <w:p>
            <w:pPr>
              <w:spacing w:after="0" w:before="0"/>
            </w:pPr>
            <w:r/>
            <w:r>
              <w:rPr>
                <w:rFonts w:ascii="Aptos" w:hAnsi="Aptos"/>
                <w:b/>
                <w:color w:val="FFFFFF"/>
                <w:sz w:val="18"/>
              </w:rPr>
              <w:t>Ancient Islamic Civilisation</w:t>
            </w:r>
          </w:p>
        </w:tc>
      </w:tr>
      <w:tr>
        <w:tc>
          <w:tcPr>
            <w:tcW w:type="dxa" w:w="3884"/>
            <w:vAlign w:val="top"/>
            <w:shd w:fill="4F7D32"/>
          </w:tcPr>
          <w:p>
            <w:pPr>
              <w:spacing w:after="0" w:before="0"/>
            </w:pPr>
            <w:r/>
            <w:r>
              <w:rPr>
                <w:rFonts w:ascii="Aptos" w:hAnsi="Aptos"/>
                <w:b/>
                <w:color w:val="FFFFFF"/>
                <w:sz w:val="16"/>
              </w:rPr>
              <w:t>Big Question</w:t>
            </w:r>
          </w:p>
        </w:tc>
        <w:tc>
          <w:tcPr>
            <w:tcW w:type="dxa" w:w="3884"/>
            <w:vAlign w:val="top"/>
          </w:tcPr>
          <w:p>
            <w:pPr>
              <w:spacing w:after="0" w:before="0"/>
            </w:pPr>
            <w:r/>
            <w:r>
              <w:rPr>
                <w:rFonts w:ascii="Aptos" w:hAnsi="Aptos"/>
                <w:b w:val="0"/>
                <w:sz w:val="16"/>
              </w:rPr>
              <w:t>How did the Anglo-Saxons change Britain after Roman rule?</w:t>
            </w:r>
          </w:p>
        </w:tc>
        <w:tc>
          <w:tcPr>
            <w:tcW w:type="dxa" w:w="3884"/>
            <w:vAlign w:val="top"/>
          </w:tcPr>
          <w:p>
            <w:pPr>
              <w:spacing w:after="0" w:before="0"/>
            </w:pPr>
            <w:r/>
            <w:r>
              <w:rPr>
                <w:rFonts w:ascii="Aptos" w:hAnsi="Aptos"/>
                <w:b w:val="0"/>
                <w:sz w:val="16"/>
              </w:rPr>
              <w:t>How has Ancient Greece influenced the modern world?</w:t>
            </w:r>
          </w:p>
        </w:tc>
        <w:tc>
          <w:tcPr>
            <w:tcW w:type="dxa" w:w="3884"/>
            <w:vAlign w:val="top"/>
          </w:tcPr>
          <w:p>
            <w:pPr>
              <w:spacing w:after="0" w:before="0"/>
            </w:pPr>
            <w:r/>
            <w:r>
              <w:rPr>
                <w:rFonts w:ascii="Aptos" w:hAnsi="Aptos"/>
                <w:b w:val="0"/>
                <w:sz w:val="16"/>
              </w:rPr>
              <w:t>Why was the Islamic Golden Age significant to the wider world?</w:t>
            </w:r>
          </w:p>
        </w:tc>
      </w:tr>
      <w:tr>
        <w:tc>
          <w:tcPr>
            <w:tcW w:type="dxa" w:w="3884"/>
            <w:vAlign w:val="top"/>
            <w:shd w:fill="4F7D32"/>
          </w:tcPr>
          <w:p>
            <w:pPr>
              <w:spacing w:after="0" w:before="0"/>
            </w:pPr>
            <w:r/>
            <w:r>
              <w:rPr>
                <w:rFonts w:ascii="Aptos" w:hAnsi="Aptos"/>
                <w:b/>
                <w:color w:val="FFFFFF"/>
                <w:sz w:val="16"/>
              </w:rPr>
              <w:t>Substantive Knowledge</w:t>
            </w:r>
          </w:p>
        </w:tc>
        <w:tc>
          <w:tcPr>
            <w:tcW w:type="dxa" w:w="3884"/>
            <w:shd w:fill="EAF1E4"/>
          </w:tcPr>
          <w:p>
            <w:pPr>
              <w:spacing w:after="20"/>
              <w:ind w:left="115" w:hanging="115"/>
            </w:pPr>
            <w:r/>
            <w:r>
              <w:rPr>
                <w:sz w:val="16"/>
              </w:rPr>
              <w:t>• Know the chronology from c.410 to 1066</w:t>
            </w:r>
          </w:p>
          <w:p>
            <w:pPr>
              <w:spacing w:after="20"/>
              <w:ind w:left="115" w:hanging="115"/>
            </w:pPr>
            <w:r>
              <w:rPr>
                <w:sz w:val="16"/>
              </w:rPr>
              <w:t>• understand migration and settlement, kingdoms, society, beliefs and Christian conversion, language, law, culture and early Viking incursions</w:t>
            </w:r>
          </w:p>
          <w:p>
            <w:pPr>
              <w:spacing w:after="20"/>
              <w:ind w:left="115" w:hanging="115"/>
            </w:pPr>
            <w:r>
              <w:rPr>
                <w:sz w:val="16"/>
              </w:rPr>
              <w:t>• explore Anglo-Saxon legacy.</w:t>
            </w:r>
          </w:p>
        </w:tc>
        <w:tc>
          <w:tcPr>
            <w:tcW w:type="dxa" w:w="3884"/>
            <w:shd w:fill="EAF1E4"/>
          </w:tcPr>
          <w:p>
            <w:pPr>
              <w:spacing w:after="20"/>
              <w:ind w:left="115" w:hanging="115"/>
            </w:pPr>
            <w:r/>
            <w:r>
              <w:rPr>
                <w:sz w:val="16"/>
              </w:rPr>
              <w:t>• Understand Greek city-states, Athens and Sparta, society, religion and mythology, the Olympics, philosophy, mathematics, science, art and architecture</w:t>
            </w:r>
          </w:p>
          <w:p>
            <w:pPr>
              <w:spacing w:after="20"/>
              <w:ind w:left="115" w:hanging="115"/>
            </w:pPr>
            <w:r>
              <w:rPr>
                <w:sz w:val="16"/>
              </w:rPr>
              <w:t>• recognise the enduring legacy of Greek ideas.</w:t>
            </w:r>
          </w:p>
        </w:tc>
        <w:tc>
          <w:tcPr>
            <w:tcW w:type="dxa" w:w="3884"/>
            <w:shd w:fill="EAF1E4"/>
          </w:tcPr>
          <w:p>
            <w:pPr>
              <w:spacing w:after="20"/>
              <w:ind w:left="115" w:hanging="115"/>
            </w:pPr>
            <w:r/>
            <w:r>
              <w:rPr>
                <w:sz w:val="16"/>
              </w:rPr>
              <w:t>• Know the origins and spread of Islam</w:t>
            </w:r>
          </w:p>
          <w:p>
            <w:pPr>
              <w:spacing w:after="20"/>
              <w:ind w:left="115" w:hanging="115"/>
            </w:pPr>
            <w:r>
              <w:rPr>
                <w:sz w:val="16"/>
              </w:rPr>
              <w:t>• understand the Umayyad and Abbasid Caliphates</w:t>
            </w:r>
          </w:p>
          <w:p>
            <w:pPr>
              <w:spacing w:after="20"/>
              <w:ind w:left="115" w:hanging="115"/>
            </w:pPr>
            <w:r>
              <w:rPr>
                <w:sz w:val="16"/>
              </w:rPr>
              <w:t>• study the Golden Age and contributions to mathematics, medicine, science, astronomy, architecture and culture</w:t>
            </w:r>
          </w:p>
          <w:p>
            <w:pPr>
              <w:spacing w:after="20"/>
              <w:ind w:left="115" w:hanging="115"/>
            </w:pPr>
            <w:r>
              <w:rPr>
                <w:sz w:val="16"/>
              </w:rPr>
              <w:t>• recognise intercultural exchange and legacy.</w:t>
            </w:r>
          </w:p>
        </w:tc>
      </w:tr>
      <w:tr>
        <w:tc>
          <w:tcPr>
            <w:tcW w:type="dxa" w:w="3884"/>
            <w:vAlign w:val="top"/>
            <w:shd w:fill="4F7D32"/>
          </w:tcPr>
          <w:p>
            <w:pPr>
              <w:spacing w:after="0" w:before="0"/>
            </w:pPr>
            <w:r/>
            <w:r>
              <w:rPr>
                <w:rFonts w:ascii="Aptos" w:hAnsi="Aptos"/>
                <w:b/>
                <w:color w:val="FFFFFF"/>
                <w:sz w:val="16"/>
              </w:rPr>
              <w:t>Disciplinary Knowledge</w:t>
            </w:r>
          </w:p>
        </w:tc>
        <w:tc>
          <w:tcPr>
            <w:tcW w:type="dxa" w:w="3884"/>
          </w:tcPr>
          <w:p>
            <w:pPr>
              <w:spacing w:after="20"/>
              <w:ind w:left="115" w:hanging="115"/>
            </w:pPr>
            <w:r/>
            <w:r>
              <w:rPr>
                <w:sz w:val="16"/>
              </w:rPr>
              <w:t>• Analyse primary and secondary sources and artefacts</w:t>
            </w:r>
          </w:p>
          <w:p>
            <w:pPr>
              <w:spacing w:after="20"/>
              <w:ind w:left="115" w:hanging="115"/>
            </w:pPr>
            <w:r>
              <w:rPr>
                <w:sz w:val="16"/>
              </w:rPr>
              <w:t>• construct timelines</w:t>
            </w:r>
          </w:p>
          <w:p>
            <w:pPr>
              <w:spacing w:after="20"/>
              <w:ind w:left="115" w:hanging="115"/>
            </w:pPr>
            <w:r>
              <w:rPr>
                <w:sz w:val="16"/>
              </w:rPr>
              <w:t>• explain migration using push/pull factors</w:t>
            </w:r>
          </w:p>
          <w:p>
            <w:pPr>
              <w:spacing w:after="20"/>
              <w:ind w:left="115" w:hanging="115"/>
            </w:pPr>
            <w:r>
              <w:rPr>
                <w:sz w:val="16"/>
              </w:rPr>
              <w:t>• compare civilisations</w:t>
            </w:r>
          </w:p>
          <w:p>
            <w:pPr>
              <w:spacing w:after="20"/>
              <w:ind w:left="115" w:hanging="115"/>
            </w:pPr>
            <w:r>
              <w:rPr>
                <w:sz w:val="16"/>
              </w:rPr>
              <w:t>• evaluate legacy and significance</w:t>
            </w:r>
          </w:p>
          <w:p>
            <w:pPr>
              <w:spacing w:after="20"/>
              <w:ind w:left="115" w:hanging="115"/>
            </w:pPr>
            <w:r>
              <w:rPr>
                <w:sz w:val="16"/>
              </w:rPr>
              <w:t>• develop justified arguments about leaders such as Alfred.</w:t>
            </w:r>
          </w:p>
        </w:tc>
        <w:tc>
          <w:tcPr>
            <w:tcW w:type="dxa" w:w="3884"/>
          </w:tcPr>
          <w:p>
            <w:pPr>
              <w:spacing w:after="20"/>
              <w:ind w:left="115" w:hanging="115"/>
            </w:pPr>
            <w:r/>
            <w:r>
              <w:rPr>
                <w:sz w:val="16"/>
              </w:rPr>
              <w:t>• Compare political and social systems</w:t>
            </w:r>
          </w:p>
          <w:p>
            <w:pPr>
              <w:spacing w:after="20"/>
              <w:ind w:left="115" w:hanging="115"/>
            </w:pPr>
            <w:r>
              <w:rPr>
                <w:sz w:val="16"/>
              </w:rPr>
              <w:t>• investigate pottery, texts and ruins</w:t>
            </w:r>
          </w:p>
          <w:p>
            <w:pPr>
              <w:spacing w:after="20"/>
              <w:ind w:left="115" w:hanging="115"/>
            </w:pPr>
            <w:r>
              <w:rPr>
                <w:sz w:val="16"/>
              </w:rPr>
              <w:t>• ask historically valid questions</w:t>
            </w:r>
          </w:p>
          <w:p>
            <w:pPr>
              <w:spacing w:after="20"/>
              <w:ind w:left="115" w:hanging="115"/>
            </w:pPr>
            <w:r>
              <w:rPr>
                <w:sz w:val="16"/>
              </w:rPr>
              <w:t>• examine interpretations</w:t>
            </w:r>
          </w:p>
          <w:p>
            <w:pPr>
              <w:spacing w:after="20"/>
              <w:ind w:left="115" w:hanging="115"/>
            </w:pPr>
            <w:r>
              <w:rPr>
                <w:sz w:val="16"/>
              </w:rPr>
              <w:t>• evaluate significance and legacy</w:t>
            </w:r>
          </w:p>
          <w:p>
            <w:pPr>
              <w:spacing w:after="20"/>
              <w:ind w:left="115" w:hanging="115"/>
            </w:pPr>
            <w:r>
              <w:rPr>
                <w:sz w:val="16"/>
              </w:rPr>
              <w:t>• make connections with Egypt and Rome.</w:t>
            </w:r>
          </w:p>
        </w:tc>
        <w:tc>
          <w:tcPr>
            <w:tcW w:type="dxa" w:w="3884"/>
          </w:tcPr>
          <w:p>
            <w:pPr>
              <w:spacing w:after="20"/>
              <w:ind w:left="115" w:hanging="115"/>
            </w:pPr>
            <w:r/>
            <w:r>
              <w:rPr>
                <w:sz w:val="16"/>
              </w:rPr>
              <w:t>• Trace expansion using chronology and maps</w:t>
            </w:r>
          </w:p>
          <w:p>
            <w:pPr>
              <w:spacing w:after="20"/>
              <w:ind w:left="115" w:hanging="115"/>
            </w:pPr>
            <w:r>
              <w:rPr>
                <w:sz w:val="16"/>
              </w:rPr>
              <w:t>• evaluate manuscripts, artefacts, coins and architecture</w:t>
            </w:r>
          </w:p>
          <w:p>
            <w:pPr>
              <w:spacing w:after="20"/>
              <w:ind w:left="115" w:hanging="115"/>
            </w:pPr>
            <w:r>
              <w:rPr>
                <w:sz w:val="16"/>
              </w:rPr>
              <w:t>• explain cause and consequence</w:t>
            </w:r>
          </w:p>
          <w:p>
            <w:pPr>
              <w:spacing w:after="20"/>
              <w:ind w:left="115" w:hanging="115"/>
            </w:pPr>
            <w:r>
              <w:rPr>
                <w:sz w:val="16"/>
              </w:rPr>
              <w:t>• compare with contemporary societies</w:t>
            </w:r>
          </w:p>
          <w:p>
            <w:pPr>
              <w:spacing w:after="20"/>
              <w:ind w:left="115" w:hanging="115"/>
            </w:pPr>
            <w:r>
              <w:rPr>
                <w:sz w:val="16"/>
              </w:rPr>
              <w:t>• connect Islamic scholarship with later European/global developments.</w:t>
            </w:r>
          </w:p>
        </w:tc>
      </w:tr>
      <w:tr>
        <w:tc>
          <w:tcPr>
            <w:tcW w:type="dxa" w:w="3884"/>
            <w:vAlign w:val="top"/>
            <w:shd w:fill="4F7D32"/>
          </w:tcPr>
          <w:p>
            <w:pPr>
              <w:spacing w:after="0" w:before="0"/>
            </w:pPr>
            <w:r/>
            <w:r>
              <w:rPr>
                <w:rFonts w:ascii="Aptos" w:hAnsi="Aptos"/>
                <w:b/>
                <w:color w:val="FFFFFF"/>
                <w:sz w:val="16"/>
              </w:rPr>
              <w:t>Key Vocabulary</w:t>
            </w:r>
          </w:p>
        </w:tc>
        <w:tc>
          <w:tcPr>
            <w:tcW w:type="dxa" w:w="3884"/>
            <w:vAlign w:val="top"/>
            <w:shd w:fill="EAF1E4"/>
          </w:tcPr>
          <w:p>
            <w:pPr>
              <w:spacing w:after="0" w:before="0"/>
            </w:pPr>
            <w:r/>
            <w:r>
              <w:rPr>
                <w:rFonts w:ascii="Aptos" w:hAnsi="Aptos"/>
                <w:b w:val="0"/>
                <w:sz w:val="16"/>
              </w:rPr>
              <w:t>Anglo-Saxon; invade; settle; settlement; kingdom; village; pagan; missionary; Christianity; runes; legacy</w:t>
            </w:r>
          </w:p>
        </w:tc>
        <w:tc>
          <w:tcPr>
            <w:tcW w:type="dxa" w:w="3884"/>
            <w:vAlign w:val="top"/>
            <w:shd w:fill="EAF1E4"/>
          </w:tcPr>
          <w:p>
            <w:pPr>
              <w:spacing w:after="0" w:before="0"/>
            </w:pPr>
            <w:r/>
            <w:r>
              <w:rPr>
                <w:rFonts w:ascii="Aptos" w:hAnsi="Aptos"/>
                <w:b w:val="0"/>
                <w:sz w:val="16"/>
              </w:rPr>
              <w:t>democracy; city-state; philosophy; Olympics; mythology; citizenship; Sparta; Athens; legacy; source</w:t>
            </w:r>
          </w:p>
        </w:tc>
        <w:tc>
          <w:tcPr>
            <w:tcW w:type="dxa" w:w="3884"/>
            <w:vAlign w:val="top"/>
            <w:shd w:fill="EAF1E4"/>
          </w:tcPr>
          <w:p>
            <w:pPr>
              <w:spacing w:after="0" w:before="0"/>
            </w:pPr>
            <w:r/>
            <w:r>
              <w:rPr>
                <w:rFonts w:ascii="Aptos" w:hAnsi="Aptos"/>
                <w:b w:val="0"/>
                <w:sz w:val="16"/>
              </w:rPr>
              <w:t>Islam; Prophet Muhammad; Mecca; Medina; Quran; caliph; caliphate; Abbasid; Umayyad; Baghdad; Golden Age; madrasa</w:t>
            </w:r>
          </w:p>
        </w:tc>
      </w:tr>
      <w:tr>
        <w:tc>
          <w:tcPr>
            <w:tcW w:type="dxa" w:w="3884"/>
            <w:vAlign w:val="top"/>
            <w:shd w:fill="4F7D32"/>
          </w:tcPr>
          <w:p>
            <w:pPr>
              <w:spacing w:after="0" w:before="0"/>
            </w:pPr>
            <w:r/>
            <w:r>
              <w:rPr>
                <w:rFonts w:ascii="Aptos" w:hAnsi="Aptos"/>
                <w:b/>
                <w:color w:val="FFFFFF"/>
                <w:sz w:val="16"/>
              </w:rPr>
              <w:t>Sources / Figures / Enrichment</w:t>
            </w:r>
          </w:p>
        </w:tc>
        <w:tc>
          <w:tcPr>
            <w:tcW w:type="dxa" w:w="3884"/>
          </w:tcPr>
          <w:p>
            <w:pPr>
              <w:spacing w:after="20"/>
              <w:ind w:left="115" w:hanging="115"/>
            </w:pPr>
            <w:r/>
            <w:r>
              <w:rPr>
                <w:sz w:val="16"/>
              </w:rPr>
              <w:t>• Sutton Hoo, manuscripts and place-name evidence</w:t>
            </w:r>
          </w:p>
          <w:p>
            <w:pPr>
              <w:spacing w:after="20"/>
              <w:ind w:left="115" w:hanging="115"/>
            </w:pPr>
            <w:r>
              <w:rPr>
                <w:sz w:val="16"/>
              </w:rPr>
              <w:t>• Alfred the Great, Offa, Hengist and Horsa</w:t>
            </w:r>
          </w:p>
          <w:p>
            <w:pPr>
              <w:spacing w:after="20"/>
              <w:ind w:left="115" w:hanging="115"/>
            </w:pPr>
            <w:r>
              <w:rPr>
                <w:sz w:val="16"/>
              </w:rPr>
              <w:t>• direct foundation for Year 6 Vikings.</w:t>
            </w:r>
          </w:p>
        </w:tc>
        <w:tc>
          <w:tcPr>
            <w:tcW w:type="dxa" w:w="3884"/>
          </w:tcPr>
          <w:p>
            <w:pPr>
              <w:spacing w:after="20"/>
              <w:ind w:left="115" w:hanging="115"/>
            </w:pPr>
            <w:r/>
            <w:r>
              <w:rPr>
                <w:sz w:val="16"/>
              </w:rPr>
              <w:t>• Socrates, Plato, Aristotle, Pythagoras, Alexander the Great and Homer</w:t>
            </w:r>
          </w:p>
          <w:p>
            <w:pPr>
              <w:spacing w:after="20"/>
              <w:ind w:left="115" w:hanging="115"/>
            </w:pPr>
            <w:r>
              <w:rPr>
                <w:sz w:val="16"/>
              </w:rPr>
              <w:t>• pottery and Parthenon evidence</w:t>
            </w:r>
          </w:p>
          <w:p>
            <w:pPr>
              <w:spacing w:after="20"/>
              <w:ind w:left="115" w:hanging="115"/>
            </w:pPr>
            <w:r>
              <w:rPr>
                <w:sz w:val="16"/>
              </w:rPr>
              <w:t>• ancient/modern Olympics comparison.</w:t>
            </w:r>
          </w:p>
        </w:tc>
        <w:tc>
          <w:tcPr>
            <w:tcW w:type="dxa" w:w="3884"/>
          </w:tcPr>
          <w:p>
            <w:pPr>
              <w:spacing w:after="20"/>
              <w:ind w:left="115" w:hanging="115"/>
            </w:pPr>
            <w:r/>
            <w:r>
              <w:rPr>
                <w:sz w:val="16"/>
              </w:rPr>
              <w:t>• Prophet Muhammad, Al-Khwarizmi and Harun al-Rashid</w:t>
            </w:r>
          </w:p>
          <w:p>
            <w:pPr>
              <w:spacing w:after="20"/>
              <w:ind w:left="115" w:hanging="115"/>
            </w:pPr>
            <w:r>
              <w:rPr>
                <w:sz w:val="16"/>
              </w:rPr>
              <w:t>• manuscripts, scientific texts, coins and architecture</w:t>
            </w:r>
          </w:p>
          <w:p>
            <w:pPr>
              <w:spacing w:after="20"/>
              <w:ind w:left="115" w:hanging="115"/>
            </w:pPr>
            <w:r>
              <w:rPr>
                <w:sz w:val="16"/>
              </w:rPr>
              <w:t>• connections with Greek, Roman and Indian knowledge.</w:t>
            </w:r>
          </w:p>
        </w:tc>
      </w:tr>
    </w:tbl>
    <w:p>
      <w:r>
        <w:br w:type="page"/>
      </w:r>
    </w:p>
    <w:p>
      <w:pPr>
        <w:spacing w:after="80"/>
      </w:pPr>
      <w:r>
        <w:rPr>
          <w:b/>
          <w:color w:val="4F7D32"/>
          <w:sz w:val="30"/>
        </w:rPr>
        <w:t>Year 6</w:t>
      </w:r>
    </w:p>
    <w:tbl>
      <w:tblPr>
        <w:tblW w:type="auto" w:w="0"/>
        <w:jc w:val="center"/>
        <w:tblLayout w:type="fixed"/>
        <w:tblLook w:firstColumn="1" w:firstRow="1" w:lastColumn="0" w:lastRow="0" w:noHBand="0" w:noVBand="1" w:val="04A0"/>
      </w:tblPr>
      <w:tblGrid>
        <w:gridCol w:w="5179"/>
        <w:gridCol w:w="5179"/>
        <w:gridCol w:w="5179"/>
      </w:tblGrid>
      <w:tr>
        <w:trPr>
          <w:tblHeader w:val="true"/>
        </w:trPr>
        <w:tc>
          <w:tcPr>
            <w:tcW w:type="dxa" w:w="1944"/>
            <w:vAlign w:val="top"/>
            <w:shd w:fill="4F7D32"/>
          </w:tcPr>
          <w:p>
            <w:pPr>
              <w:spacing w:after="0" w:before="0"/>
            </w:pPr>
            <w:r/>
            <w:r>
              <w:rPr>
                <w:rFonts w:ascii="Aptos" w:hAnsi="Aptos"/>
                <w:b/>
                <w:color w:val="FFFFFF"/>
                <w:sz w:val="16"/>
              </w:rPr>
            </w:r>
          </w:p>
        </w:tc>
        <w:tc>
          <w:tcPr>
            <w:tcW w:type="dxa" w:w="6192"/>
            <w:vAlign w:val="top"/>
            <w:shd w:fill="4F7D32"/>
          </w:tcPr>
          <w:p>
            <w:pPr>
              <w:spacing w:after="0" w:before="0"/>
            </w:pPr>
            <w:r/>
            <w:r>
              <w:rPr>
                <w:rFonts w:ascii="Aptos" w:hAnsi="Aptos"/>
                <w:b/>
                <w:color w:val="FFFFFF"/>
                <w:sz w:val="18"/>
              </w:rPr>
              <w:t>Vikings</w:t>
            </w:r>
          </w:p>
        </w:tc>
        <w:tc>
          <w:tcPr>
            <w:tcW w:type="dxa" w:w="6192"/>
            <w:vAlign w:val="top"/>
            <w:shd w:fill="4F7D32"/>
          </w:tcPr>
          <w:p>
            <w:pPr>
              <w:spacing w:after="0" w:before="0"/>
            </w:pPr>
            <w:r/>
            <w:r>
              <w:rPr>
                <w:rFonts w:ascii="Aptos" w:hAnsi="Aptos"/>
                <w:b/>
                <w:color w:val="FFFFFF"/>
                <w:sz w:val="18"/>
              </w:rPr>
              <w:t>Battle of Britain / WWII</w:t>
            </w:r>
          </w:p>
        </w:tc>
      </w:tr>
      <w:tr>
        <w:tc>
          <w:tcPr>
            <w:tcW w:type="dxa" w:w="5179"/>
            <w:vAlign w:val="top"/>
            <w:shd w:fill="4F7D32"/>
          </w:tcPr>
          <w:p>
            <w:pPr>
              <w:spacing w:after="0" w:before="0"/>
            </w:pPr>
            <w:r/>
            <w:r>
              <w:rPr>
                <w:rFonts w:ascii="Aptos" w:hAnsi="Aptos"/>
                <w:b/>
                <w:color w:val="FFFFFF"/>
                <w:sz w:val="16"/>
              </w:rPr>
              <w:t>Big Question</w:t>
            </w:r>
          </w:p>
        </w:tc>
        <w:tc>
          <w:tcPr>
            <w:tcW w:type="dxa" w:w="5179"/>
            <w:vAlign w:val="top"/>
          </w:tcPr>
          <w:p>
            <w:pPr>
              <w:spacing w:after="0" w:before="0"/>
            </w:pPr>
            <w:r/>
            <w:r>
              <w:rPr>
                <w:rFonts w:ascii="Aptos" w:hAnsi="Aptos"/>
                <w:b w:val="0"/>
                <w:sz w:val="16"/>
              </w:rPr>
              <w:t>Were the Vikings only raiders?</w:t>
            </w:r>
          </w:p>
        </w:tc>
        <w:tc>
          <w:tcPr>
            <w:tcW w:type="dxa" w:w="5179"/>
            <w:vAlign w:val="top"/>
          </w:tcPr>
          <w:p>
            <w:pPr>
              <w:spacing w:after="0" w:before="0"/>
            </w:pPr>
            <w:r/>
            <w:r>
              <w:rPr>
                <w:rFonts w:ascii="Aptos" w:hAnsi="Aptos"/>
                <w:b w:val="0"/>
                <w:sz w:val="16"/>
              </w:rPr>
              <w:t>Why was the Battle of Britain significant, and how did the Second World War shape Britain and the wider world?</w:t>
            </w:r>
          </w:p>
        </w:tc>
      </w:tr>
      <w:tr>
        <w:tc>
          <w:tcPr>
            <w:tcW w:type="dxa" w:w="5179"/>
            <w:vAlign w:val="top"/>
            <w:shd w:fill="4F7D32"/>
          </w:tcPr>
          <w:p>
            <w:pPr>
              <w:spacing w:after="0" w:before="0"/>
            </w:pPr>
            <w:r/>
            <w:r>
              <w:rPr>
                <w:rFonts w:ascii="Aptos" w:hAnsi="Aptos"/>
                <w:b/>
                <w:color w:val="FFFFFF"/>
                <w:sz w:val="16"/>
              </w:rPr>
              <w:t>Substantive Knowledge</w:t>
            </w:r>
          </w:p>
        </w:tc>
        <w:tc>
          <w:tcPr>
            <w:tcW w:type="dxa" w:w="5179"/>
            <w:shd w:fill="EAF1E4"/>
          </w:tcPr>
          <w:p>
            <w:pPr>
              <w:spacing w:after="20"/>
              <w:ind w:left="115" w:hanging="115"/>
            </w:pPr>
            <w:r/>
            <w:r>
              <w:rPr>
                <w:sz w:val="16"/>
              </w:rPr>
              <w:t>• Know Viking activity in Britain from Lindisfarne (793) to 1066</w:t>
            </w:r>
          </w:p>
          <w:p>
            <w:pPr>
              <w:spacing w:after="20"/>
              <w:ind w:left="115" w:hanging="115"/>
            </w:pPr>
            <w:r>
              <w:rPr>
                <w:sz w:val="16"/>
              </w:rPr>
              <w:t>• understand raids, the Great Heathen Army, Danelaw, settlement, beliefs, trade, Alfred’s resistance, Cnut’s rule, decline and lasting influence on language, law and place names.</w:t>
            </w:r>
          </w:p>
        </w:tc>
        <w:tc>
          <w:tcPr>
            <w:tcW w:type="dxa" w:w="5179"/>
            <w:shd w:fill="EAF1E4"/>
          </w:tcPr>
          <w:p>
            <w:pPr>
              <w:spacing w:after="20"/>
              <w:ind w:left="115" w:hanging="115"/>
            </w:pPr>
            <w:r/>
            <w:r>
              <w:rPr>
                <w:sz w:val="16"/>
              </w:rPr>
              <w:t>• Understand the chronology and causes of WWII, Axis and Allied powers, Poland, Dunkirk, Battle of Britain, Blitz, home front, radar/code-breaking, D-Day and post-war legacy</w:t>
            </w:r>
          </w:p>
          <w:p>
            <w:pPr>
              <w:spacing w:after="20"/>
              <w:ind w:left="115" w:hanging="115"/>
            </w:pPr>
            <w:r>
              <w:rPr>
                <w:sz w:val="16"/>
              </w:rPr>
              <w:t>• recognise global contributions and local experiences.</w:t>
            </w:r>
          </w:p>
        </w:tc>
      </w:tr>
      <w:tr>
        <w:tc>
          <w:tcPr>
            <w:tcW w:type="dxa" w:w="5179"/>
            <w:vAlign w:val="top"/>
            <w:shd w:fill="4F7D32"/>
          </w:tcPr>
          <w:p>
            <w:pPr>
              <w:spacing w:after="0" w:before="0"/>
            </w:pPr>
            <w:r/>
            <w:r>
              <w:rPr>
                <w:rFonts w:ascii="Aptos" w:hAnsi="Aptos"/>
                <w:b/>
                <w:color w:val="FFFFFF"/>
                <w:sz w:val="16"/>
              </w:rPr>
              <w:t>Disciplinary Knowledge</w:t>
            </w:r>
          </w:p>
        </w:tc>
        <w:tc>
          <w:tcPr>
            <w:tcW w:type="dxa" w:w="5179"/>
          </w:tcPr>
          <w:p>
            <w:pPr>
              <w:spacing w:after="20"/>
              <w:ind w:left="115" w:hanging="115"/>
            </w:pPr>
            <w:r/>
            <w:r>
              <w:rPr>
                <w:sz w:val="16"/>
              </w:rPr>
              <w:t>• Handle longer chronology and turning points</w:t>
            </w:r>
          </w:p>
          <w:p>
            <w:pPr>
              <w:spacing w:after="20"/>
              <w:ind w:left="115" w:hanging="115"/>
            </w:pPr>
            <w:r>
              <w:rPr>
                <w:sz w:val="16"/>
              </w:rPr>
              <w:t>• analyse Alcuin’s letter, sagas, artefacts and maps</w:t>
            </w:r>
          </w:p>
          <w:p>
            <w:pPr>
              <w:spacing w:after="20"/>
              <w:ind w:left="115" w:hanging="115"/>
            </w:pPr>
            <w:r>
              <w:rPr>
                <w:sz w:val="16"/>
              </w:rPr>
              <w:t>• compare Viking and Anglo-Saxon perspectives</w:t>
            </w:r>
          </w:p>
          <w:p>
            <w:pPr>
              <w:spacing w:after="20"/>
              <w:ind w:left="115" w:hanging="115"/>
            </w:pPr>
            <w:r>
              <w:rPr>
                <w:sz w:val="16"/>
              </w:rPr>
              <w:t>• explain multi-causal change</w:t>
            </w:r>
          </w:p>
          <w:p>
            <w:pPr>
              <w:spacing w:after="20"/>
              <w:ind w:left="115" w:hanging="115"/>
            </w:pPr>
            <w:r>
              <w:rPr>
                <w:sz w:val="16"/>
              </w:rPr>
              <w:t>• evaluate leaders and changing interpretations of the Vikings.</w:t>
            </w:r>
          </w:p>
        </w:tc>
        <w:tc>
          <w:tcPr>
            <w:tcW w:type="dxa" w:w="5179"/>
          </w:tcPr>
          <w:p>
            <w:pPr>
              <w:spacing w:after="20"/>
              <w:ind w:left="115" w:hanging="115"/>
            </w:pPr>
            <w:r/>
            <w:r>
              <w:rPr>
                <w:sz w:val="16"/>
              </w:rPr>
              <w:t>• Construct complex chronological narratives</w:t>
            </w:r>
          </w:p>
          <w:p>
            <w:pPr>
              <w:spacing w:after="20"/>
              <w:ind w:left="115" w:hanging="115"/>
            </w:pPr>
            <w:r>
              <w:rPr>
                <w:sz w:val="16"/>
              </w:rPr>
              <w:t>• analyse multiple causes and consequences</w:t>
            </w:r>
          </w:p>
          <w:p>
            <w:pPr>
              <w:spacing w:after="20"/>
              <w:ind w:left="115" w:hanging="115"/>
            </w:pPr>
            <w:r>
              <w:rPr>
                <w:sz w:val="16"/>
              </w:rPr>
              <w:t>• evaluate primary/secondary sources, propaganda and personal accounts</w:t>
            </w:r>
          </w:p>
          <w:p>
            <w:pPr>
              <w:spacing w:after="20"/>
              <w:ind w:left="115" w:hanging="115"/>
            </w:pPr>
            <w:r>
              <w:rPr>
                <w:sz w:val="16"/>
              </w:rPr>
              <w:t>• compare perspectives</w:t>
            </w:r>
          </w:p>
          <w:p>
            <w:pPr>
              <w:spacing w:after="20"/>
              <w:ind w:left="115" w:hanging="115"/>
            </w:pPr>
            <w:r>
              <w:rPr>
                <w:sz w:val="16"/>
              </w:rPr>
              <w:t>• question reliability and bias</w:t>
            </w:r>
          </w:p>
          <w:p>
            <w:pPr>
              <w:spacing w:after="20"/>
              <w:ind w:left="115" w:hanging="115"/>
            </w:pPr>
            <w:r>
              <w:rPr>
                <w:sz w:val="16"/>
              </w:rPr>
              <w:t>• evaluate significance and legacy.</w:t>
            </w:r>
          </w:p>
        </w:tc>
      </w:tr>
      <w:tr>
        <w:tc>
          <w:tcPr>
            <w:tcW w:type="dxa" w:w="5179"/>
            <w:vAlign w:val="top"/>
            <w:shd w:fill="4F7D32"/>
          </w:tcPr>
          <w:p>
            <w:pPr>
              <w:spacing w:after="0" w:before="0"/>
            </w:pPr>
            <w:r/>
            <w:r>
              <w:rPr>
                <w:rFonts w:ascii="Aptos" w:hAnsi="Aptos"/>
                <w:b/>
                <w:color w:val="FFFFFF"/>
                <w:sz w:val="16"/>
              </w:rPr>
              <w:t>Key Vocabulary</w:t>
            </w:r>
          </w:p>
        </w:tc>
        <w:tc>
          <w:tcPr>
            <w:tcW w:type="dxa" w:w="5179"/>
            <w:vAlign w:val="top"/>
            <w:shd w:fill="EAF1E4"/>
          </w:tcPr>
          <w:p>
            <w:pPr>
              <w:spacing w:after="0" w:before="0"/>
            </w:pPr>
            <w:r/>
            <w:r>
              <w:rPr>
                <w:rFonts w:ascii="Aptos" w:hAnsi="Aptos"/>
                <w:b w:val="0"/>
                <w:sz w:val="16"/>
              </w:rPr>
              <w:t>raid; invasion; settlement; Danelaw; longship; chieftain; berserker; Thing; monastery; treaty; succession; Wessex; chronicle</w:t>
            </w:r>
          </w:p>
        </w:tc>
        <w:tc>
          <w:tcPr>
            <w:tcW w:type="dxa" w:w="5179"/>
            <w:vAlign w:val="top"/>
            <w:shd w:fill="EAF1E4"/>
          </w:tcPr>
          <w:p>
            <w:pPr>
              <w:spacing w:after="0" w:before="0"/>
            </w:pPr>
            <w:r/>
            <w:r>
              <w:rPr>
                <w:rFonts w:ascii="Aptos" w:hAnsi="Aptos"/>
                <w:b w:val="0"/>
                <w:sz w:val="16"/>
              </w:rPr>
              <w:t>Blitz; Allies; Axis; evacuation; evacuee; rationing; air raid; invasion; alliance; propaganda; radar; code-breaking; D-Day</w:t>
            </w:r>
          </w:p>
        </w:tc>
      </w:tr>
      <w:tr>
        <w:tc>
          <w:tcPr>
            <w:tcW w:type="dxa" w:w="5179"/>
            <w:vAlign w:val="top"/>
            <w:shd w:fill="4F7D32"/>
          </w:tcPr>
          <w:p>
            <w:pPr>
              <w:spacing w:after="0" w:before="0"/>
            </w:pPr>
            <w:r/>
            <w:r>
              <w:rPr>
                <w:rFonts w:ascii="Aptos" w:hAnsi="Aptos"/>
                <w:b/>
                <w:color w:val="FFFFFF"/>
                <w:sz w:val="16"/>
              </w:rPr>
              <w:t>Sources / Figures / Enrichment</w:t>
            </w:r>
          </w:p>
        </w:tc>
        <w:tc>
          <w:tcPr>
            <w:tcW w:type="dxa" w:w="5179"/>
          </w:tcPr>
          <w:p>
            <w:pPr>
              <w:spacing w:after="20"/>
              <w:ind w:left="115" w:hanging="115"/>
            </w:pPr>
            <w:r/>
            <w:r>
              <w:rPr>
                <w:sz w:val="16"/>
              </w:rPr>
              <w:t>• Alcuin’s letter, sagas and archaeological evidence</w:t>
            </w:r>
          </w:p>
          <w:p>
            <w:pPr>
              <w:spacing w:after="20"/>
              <w:ind w:left="115" w:hanging="115"/>
            </w:pPr>
            <w:r>
              <w:rPr>
                <w:sz w:val="16"/>
              </w:rPr>
              <w:t>• Alfred the Great and Cnut</w:t>
            </w:r>
          </w:p>
          <w:p>
            <w:pPr>
              <w:spacing w:after="20"/>
              <w:ind w:left="115" w:hanging="115"/>
            </w:pPr>
            <w:r>
              <w:rPr>
                <w:sz w:val="16"/>
              </w:rPr>
              <w:t>• local place-name links and wide Viking trade networks.</w:t>
            </w:r>
          </w:p>
        </w:tc>
        <w:tc>
          <w:tcPr>
            <w:tcW w:type="dxa" w:w="5179"/>
          </w:tcPr>
          <w:p>
            <w:pPr>
              <w:spacing w:after="20"/>
              <w:ind w:left="115" w:hanging="115"/>
            </w:pPr>
            <w:r/>
            <w:r>
              <w:rPr>
                <w:sz w:val="16"/>
              </w:rPr>
              <w:t>• Churchill, Dowding, Alan Turing, Charles de Gaulle and diverse Allied participants</w:t>
            </w:r>
          </w:p>
          <w:p>
            <w:pPr>
              <w:spacing w:after="20"/>
              <w:ind w:left="115" w:hanging="115"/>
            </w:pPr>
            <w:r>
              <w:rPr>
                <w:sz w:val="16"/>
              </w:rPr>
              <w:t>• Barton evacuees/school logs and local remembrance</w:t>
            </w:r>
          </w:p>
          <w:p>
            <w:pPr>
              <w:spacing w:after="20"/>
              <w:ind w:left="115" w:hanging="115"/>
            </w:pPr>
            <w:r>
              <w:rPr>
                <w:sz w:val="16"/>
              </w:rPr>
              <w:t>• links back to London, Barton and Preston.</w:t>
            </w:r>
          </w:p>
        </w:tc>
      </w:tr>
    </w:tbl>
    <w:p>
      <w:r>
        <w:br w:type="page"/>
      </w:r>
    </w:p>
    <w:p>
      <w:r>
        <w:rPr>
          <w:b/>
          <w:color w:val="4F7D32"/>
          <w:sz w:val="32"/>
        </w:rPr>
        <w:t>Whole-School Disciplinary Progression</w:t>
      </w:r>
    </w:p>
    <w:tbl>
      <w:tblPr>
        <w:tblW w:type="auto" w:w="0"/>
        <w:jc w:val="center"/>
        <w:tblLayout w:type="fixed"/>
        <w:tblLook w:firstColumn="1" w:firstRow="1" w:lastColumn="0" w:lastRow="0" w:noHBand="0" w:noVBand="1" w:val="04A0"/>
      </w:tblPr>
      <w:tblGrid>
        <w:gridCol w:w="3884"/>
        <w:gridCol w:w="3884"/>
        <w:gridCol w:w="3884"/>
        <w:gridCol w:w="3884"/>
      </w:tblGrid>
      <w:tr>
        <w:tc>
          <w:tcPr>
            <w:tcW w:type="dxa" w:w="2088"/>
            <w:vAlign w:val="top"/>
            <w:shd w:fill="4F7D32"/>
          </w:tcPr>
          <w:p>
            <w:pPr>
              <w:spacing w:after="0" w:before="0"/>
            </w:pPr>
            <w:r/>
            <w:r>
              <w:rPr>
                <w:rFonts w:ascii="Aptos" w:hAnsi="Aptos"/>
                <w:b/>
                <w:color w:val="FFFFFF"/>
                <w:sz w:val="17"/>
              </w:rPr>
              <w:t>Disciplinary strand</w:t>
            </w:r>
          </w:p>
        </w:tc>
        <w:tc>
          <w:tcPr>
            <w:tcW w:type="dxa" w:w="4032"/>
            <w:vAlign w:val="top"/>
            <w:shd w:fill="4F7D32"/>
          </w:tcPr>
          <w:p>
            <w:pPr>
              <w:spacing w:after="0" w:before="0"/>
            </w:pPr>
            <w:r/>
            <w:r>
              <w:rPr>
                <w:rFonts w:ascii="Aptos" w:hAnsi="Aptos"/>
                <w:b/>
                <w:color w:val="FFFFFF"/>
                <w:sz w:val="17"/>
              </w:rPr>
              <w:t>Early KS1</w:t>
            </w:r>
          </w:p>
        </w:tc>
        <w:tc>
          <w:tcPr>
            <w:tcW w:type="dxa" w:w="4032"/>
            <w:vAlign w:val="top"/>
            <w:shd w:fill="4F7D32"/>
          </w:tcPr>
          <w:p>
            <w:pPr>
              <w:spacing w:after="0" w:before="0"/>
            </w:pPr>
            <w:r/>
            <w:r>
              <w:rPr>
                <w:rFonts w:ascii="Aptos" w:hAnsi="Aptos"/>
                <w:b/>
                <w:color w:val="FFFFFF"/>
                <w:sz w:val="17"/>
              </w:rPr>
              <w:t>Lower KS2</w:t>
            </w:r>
          </w:p>
        </w:tc>
        <w:tc>
          <w:tcPr>
            <w:tcW w:type="dxa" w:w="4968"/>
            <w:vAlign w:val="top"/>
            <w:shd w:fill="4F7D32"/>
          </w:tcPr>
          <w:p>
            <w:pPr>
              <w:spacing w:after="0" w:before="0"/>
            </w:pPr>
            <w:r/>
            <w:r>
              <w:rPr>
                <w:rFonts w:ascii="Aptos" w:hAnsi="Aptos"/>
                <w:b/>
                <w:color w:val="FFFFFF"/>
                <w:sz w:val="17"/>
              </w:rPr>
              <w:t>Upper KS2</w:t>
            </w:r>
          </w:p>
        </w:tc>
      </w:tr>
      <w:tr>
        <w:tc>
          <w:tcPr>
            <w:tcW w:type="dxa" w:w="3884"/>
            <w:vAlign w:val="top"/>
            <w:shd w:fill="EAF1E4"/>
          </w:tcPr>
          <w:p>
            <w:pPr>
              <w:spacing w:after="0" w:before="0"/>
            </w:pPr>
            <w:r/>
            <w:r>
              <w:rPr>
                <w:rFonts w:ascii="Aptos" w:hAnsi="Aptos"/>
                <w:b/>
                <w:sz w:val="16"/>
              </w:rPr>
              <w:t>Chronology</w:t>
            </w:r>
          </w:p>
        </w:tc>
        <w:tc>
          <w:tcPr>
            <w:tcW w:type="dxa" w:w="3884"/>
            <w:vAlign w:val="top"/>
          </w:tcPr>
          <w:p>
            <w:pPr>
              <w:spacing w:after="0" w:before="0"/>
            </w:pPr>
            <w:r/>
            <w:r>
              <w:rPr>
                <w:rFonts w:ascii="Aptos" w:hAnsi="Aptos"/>
                <w:b w:val="0"/>
                <w:sz w:val="16"/>
              </w:rPr>
              <w:t>Y1–2: sequence familiar events and use everyday chronological language.</w:t>
            </w:r>
          </w:p>
        </w:tc>
        <w:tc>
          <w:tcPr>
            <w:tcW w:type="dxa" w:w="3884"/>
            <w:vAlign w:val="top"/>
          </w:tcPr>
          <w:p>
            <w:pPr>
              <w:spacing w:after="0" w:before="0"/>
            </w:pPr>
            <w:r/>
            <w:r>
              <w:rPr>
                <w:rFonts w:ascii="Aptos" w:hAnsi="Aptos"/>
                <w:b w:val="0"/>
                <w:sz w:val="16"/>
              </w:rPr>
              <w:t>Y3–4: place periods on broader timelines and recognise duration/overlap.</w:t>
            </w:r>
          </w:p>
        </w:tc>
        <w:tc>
          <w:tcPr>
            <w:tcW w:type="dxa" w:w="3884"/>
            <w:vAlign w:val="top"/>
          </w:tcPr>
          <w:p>
            <w:pPr>
              <w:spacing w:after="0" w:before="0"/>
            </w:pPr>
            <w:r/>
            <w:r>
              <w:rPr>
                <w:rFonts w:ascii="Aptos" w:hAnsi="Aptos"/>
                <w:b w:val="0"/>
                <w:sz w:val="16"/>
              </w:rPr>
              <w:t>Y5–6: construct secure narratives across periods, use dates/centuries accurately and connect turning points across British and world history.</w:t>
            </w:r>
          </w:p>
        </w:tc>
      </w:tr>
      <w:tr>
        <w:tc>
          <w:tcPr>
            <w:tcW w:type="dxa" w:w="3884"/>
            <w:vAlign w:val="top"/>
            <w:shd w:fill="EAF1E4"/>
          </w:tcPr>
          <w:p>
            <w:pPr>
              <w:spacing w:after="0" w:before="0"/>
            </w:pPr>
            <w:r/>
            <w:r>
              <w:rPr>
                <w:rFonts w:ascii="Aptos" w:hAnsi="Aptos"/>
                <w:b/>
                <w:sz w:val="16"/>
              </w:rPr>
              <w:t>Sources &amp; Evidence</w:t>
            </w:r>
          </w:p>
        </w:tc>
        <w:tc>
          <w:tcPr>
            <w:tcW w:type="dxa" w:w="3884"/>
            <w:vAlign w:val="top"/>
          </w:tcPr>
          <w:p>
            <w:pPr>
              <w:spacing w:after="0" w:before="0"/>
            </w:pPr>
            <w:r/>
            <w:r>
              <w:rPr>
                <w:rFonts w:ascii="Aptos" w:hAnsi="Aptos"/>
                <w:b w:val="0"/>
                <w:sz w:val="16"/>
              </w:rPr>
              <w:t>Y1–2: ask questions of objects, photographs, diaries and simple records.</w:t>
            </w:r>
          </w:p>
        </w:tc>
        <w:tc>
          <w:tcPr>
            <w:tcW w:type="dxa" w:w="3884"/>
            <w:vAlign w:val="top"/>
          </w:tcPr>
          <w:p>
            <w:pPr>
              <w:spacing w:after="0" w:before="0"/>
            </w:pPr>
            <w:r/>
            <w:r>
              <w:rPr>
                <w:rFonts w:ascii="Aptos" w:hAnsi="Aptos"/>
                <w:b w:val="0"/>
                <w:sz w:val="16"/>
              </w:rPr>
              <w:t>Y3–4: make inferences from archaeological, written and visual evidence and recognise limitations.</w:t>
            </w:r>
          </w:p>
        </w:tc>
        <w:tc>
          <w:tcPr>
            <w:tcW w:type="dxa" w:w="3884"/>
            <w:vAlign w:val="top"/>
          </w:tcPr>
          <w:p>
            <w:pPr>
              <w:spacing w:after="0" w:before="0"/>
            </w:pPr>
            <w:r/>
            <w:r>
              <w:rPr>
                <w:rFonts w:ascii="Aptos" w:hAnsi="Aptos"/>
                <w:b w:val="0"/>
                <w:sz w:val="16"/>
              </w:rPr>
              <w:t>Y5–6: select, compare and evaluate primary/secondary sources, considering provenance, reliability, bias and what evidence can/cannot establish.</w:t>
            </w:r>
          </w:p>
        </w:tc>
      </w:tr>
      <w:tr>
        <w:tc>
          <w:tcPr>
            <w:tcW w:type="dxa" w:w="3884"/>
            <w:vAlign w:val="top"/>
            <w:shd w:fill="EAF1E4"/>
          </w:tcPr>
          <w:p>
            <w:pPr>
              <w:spacing w:after="0" w:before="0"/>
            </w:pPr>
            <w:r/>
            <w:r>
              <w:rPr>
                <w:rFonts w:ascii="Aptos" w:hAnsi="Aptos"/>
                <w:b/>
                <w:sz w:val="16"/>
              </w:rPr>
              <w:t>Cause &amp; Consequence</w:t>
            </w:r>
          </w:p>
        </w:tc>
        <w:tc>
          <w:tcPr>
            <w:tcW w:type="dxa" w:w="3884"/>
            <w:vAlign w:val="top"/>
          </w:tcPr>
          <w:p>
            <w:pPr>
              <w:spacing w:after="0" w:before="0"/>
            </w:pPr>
            <w:r/>
            <w:r>
              <w:rPr>
                <w:rFonts w:ascii="Aptos" w:hAnsi="Aptos"/>
                <w:b w:val="0"/>
                <w:sz w:val="16"/>
              </w:rPr>
              <w:t>Y1–2: give simple reasons why things happened or changed.</w:t>
            </w:r>
          </w:p>
        </w:tc>
        <w:tc>
          <w:tcPr>
            <w:tcW w:type="dxa" w:w="3884"/>
            <w:vAlign w:val="top"/>
          </w:tcPr>
          <w:p>
            <w:pPr>
              <w:spacing w:after="0" w:before="0"/>
            </w:pPr>
            <w:r/>
            <w:r>
              <w:rPr>
                <w:rFonts w:ascii="Aptos" w:hAnsi="Aptos"/>
                <w:b w:val="0"/>
                <w:sz w:val="16"/>
              </w:rPr>
              <w:t>Y3–4: identify several causes and consequences and connect them to wider change.</w:t>
            </w:r>
          </w:p>
        </w:tc>
        <w:tc>
          <w:tcPr>
            <w:tcW w:type="dxa" w:w="3884"/>
            <w:vAlign w:val="top"/>
          </w:tcPr>
          <w:p>
            <w:pPr>
              <w:spacing w:after="0" w:before="0"/>
            </w:pPr>
            <w:r/>
            <w:r>
              <w:rPr>
                <w:rFonts w:ascii="Aptos" w:hAnsi="Aptos"/>
                <w:b w:val="0"/>
                <w:sz w:val="16"/>
              </w:rPr>
              <w:t>Y5–6: explain interacting causes, evaluate consequences and consider the relative importance of factors.</w:t>
            </w:r>
          </w:p>
        </w:tc>
      </w:tr>
      <w:tr>
        <w:tc>
          <w:tcPr>
            <w:tcW w:type="dxa" w:w="3884"/>
            <w:vAlign w:val="top"/>
            <w:shd w:fill="EAF1E4"/>
          </w:tcPr>
          <w:p>
            <w:pPr>
              <w:spacing w:after="0" w:before="0"/>
            </w:pPr>
            <w:r/>
            <w:r>
              <w:rPr>
                <w:rFonts w:ascii="Aptos" w:hAnsi="Aptos"/>
                <w:b/>
                <w:sz w:val="16"/>
              </w:rPr>
              <w:t>Change &amp; Continuity</w:t>
            </w:r>
          </w:p>
        </w:tc>
        <w:tc>
          <w:tcPr>
            <w:tcW w:type="dxa" w:w="3884"/>
            <w:vAlign w:val="top"/>
          </w:tcPr>
          <w:p>
            <w:pPr>
              <w:spacing w:after="0" w:before="0"/>
            </w:pPr>
            <w:r/>
            <w:r>
              <w:rPr>
                <w:rFonts w:ascii="Aptos" w:hAnsi="Aptos"/>
                <w:b w:val="0"/>
                <w:sz w:val="16"/>
              </w:rPr>
              <w:t>Y1–2: identify what is different and what has stayed the same.</w:t>
            </w:r>
          </w:p>
        </w:tc>
        <w:tc>
          <w:tcPr>
            <w:tcW w:type="dxa" w:w="3884"/>
            <w:vAlign w:val="top"/>
          </w:tcPr>
          <w:p>
            <w:pPr>
              <w:spacing w:after="0" w:before="0"/>
            </w:pPr>
            <w:r/>
            <w:r>
              <w:rPr>
                <w:rFonts w:ascii="Aptos" w:hAnsi="Aptos"/>
                <w:b w:val="0"/>
                <w:sz w:val="16"/>
              </w:rPr>
              <w:t>Y3–4: describe patterns of change across longer periods and local/national contexts.</w:t>
            </w:r>
          </w:p>
        </w:tc>
        <w:tc>
          <w:tcPr>
            <w:tcW w:type="dxa" w:w="3884"/>
            <w:vAlign w:val="top"/>
          </w:tcPr>
          <w:p>
            <w:pPr>
              <w:spacing w:after="0" w:before="0"/>
            </w:pPr>
            <w:r/>
            <w:r>
              <w:rPr>
                <w:rFonts w:ascii="Aptos" w:hAnsi="Aptos"/>
                <w:b w:val="0"/>
                <w:sz w:val="16"/>
              </w:rPr>
              <w:t>Y5–6: make connections and identify trends across multiple periods, explaining the pace and extent of change.</w:t>
            </w:r>
          </w:p>
        </w:tc>
      </w:tr>
      <w:tr>
        <w:tc>
          <w:tcPr>
            <w:tcW w:type="dxa" w:w="3884"/>
            <w:vAlign w:val="top"/>
            <w:shd w:fill="EAF1E4"/>
          </w:tcPr>
          <w:p>
            <w:pPr>
              <w:spacing w:after="0" w:before="0"/>
            </w:pPr>
            <w:r/>
            <w:r>
              <w:rPr>
                <w:rFonts w:ascii="Aptos" w:hAnsi="Aptos"/>
                <w:b/>
                <w:sz w:val="16"/>
              </w:rPr>
              <w:t>Similarity &amp; Difference</w:t>
            </w:r>
          </w:p>
        </w:tc>
        <w:tc>
          <w:tcPr>
            <w:tcW w:type="dxa" w:w="3884"/>
            <w:vAlign w:val="top"/>
          </w:tcPr>
          <w:p>
            <w:pPr>
              <w:spacing w:after="0" w:before="0"/>
            </w:pPr>
            <w:r/>
            <w:r>
              <w:rPr>
                <w:rFonts w:ascii="Aptos" w:hAnsi="Aptos"/>
                <w:b w:val="0"/>
                <w:sz w:val="16"/>
              </w:rPr>
              <w:t>Y1–2: compare people, objects and experiences from then and now.</w:t>
            </w:r>
          </w:p>
        </w:tc>
        <w:tc>
          <w:tcPr>
            <w:tcW w:type="dxa" w:w="3884"/>
            <w:vAlign w:val="top"/>
          </w:tcPr>
          <w:p>
            <w:pPr>
              <w:spacing w:after="0" w:before="0"/>
            </w:pPr>
            <w:r/>
            <w:r>
              <w:rPr>
                <w:rFonts w:ascii="Aptos" w:hAnsi="Aptos"/>
                <w:b w:val="0"/>
                <w:sz w:val="16"/>
              </w:rPr>
              <w:t>Y3–4: compare societies, beliefs and experiences within and across periods.</w:t>
            </w:r>
          </w:p>
        </w:tc>
        <w:tc>
          <w:tcPr>
            <w:tcW w:type="dxa" w:w="3884"/>
            <w:vAlign w:val="top"/>
          </w:tcPr>
          <w:p>
            <w:pPr>
              <w:spacing w:after="0" w:before="0"/>
            </w:pPr>
            <w:r/>
            <w:r>
              <w:rPr>
                <w:rFonts w:ascii="Aptos" w:hAnsi="Aptos"/>
                <w:b w:val="0"/>
                <w:sz w:val="16"/>
              </w:rPr>
              <w:t>Y5–6: make nuanced comparisons across civilisations and groups, using contextual knowledge to explain differences.</w:t>
            </w:r>
          </w:p>
        </w:tc>
      </w:tr>
      <w:tr>
        <w:tc>
          <w:tcPr>
            <w:tcW w:type="dxa" w:w="3884"/>
            <w:vAlign w:val="top"/>
            <w:shd w:fill="EAF1E4"/>
          </w:tcPr>
          <w:p>
            <w:pPr>
              <w:spacing w:after="0" w:before="0"/>
            </w:pPr>
            <w:r/>
            <w:r>
              <w:rPr>
                <w:rFonts w:ascii="Aptos" w:hAnsi="Aptos"/>
                <w:b/>
                <w:sz w:val="16"/>
              </w:rPr>
              <w:t>Significance</w:t>
            </w:r>
          </w:p>
        </w:tc>
        <w:tc>
          <w:tcPr>
            <w:tcW w:type="dxa" w:w="3884"/>
            <w:vAlign w:val="top"/>
          </w:tcPr>
          <w:p>
            <w:pPr>
              <w:spacing w:after="0" w:before="0"/>
            </w:pPr>
            <w:r/>
            <w:r>
              <w:rPr>
                <w:rFonts w:ascii="Aptos" w:hAnsi="Aptos"/>
                <w:b w:val="0"/>
                <w:sz w:val="16"/>
              </w:rPr>
              <w:t>Y1–2: recognise why a person or event is remembered.</w:t>
            </w:r>
          </w:p>
        </w:tc>
        <w:tc>
          <w:tcPr>
            <w:tcW w:type="dxa" w:w="3884"/>
            <w:vAlign w:val="top"/>
          </w:tcPr>
          <w:p>
            <w:pPr>
              <w:spacing w:after="0" w:before="0"/>
            </w:pPr>
            <w:r/>
            <w:r>
              <w:rPr>
                <w:rFonts w:ascii="Aptos" w:hAnsi="Aptos"/>
                <w:b w:val="0"/>
                <w:sz w:val="16"/>
              </w:rPr>
              <w:t>Y3–4: explain historical importance using evidence and consequences.</w:t>
            </w:r>
          </w:p>
        </w:tc>
        <w:tc>
          <w:tcPr>
            <w:tcW w:type="dxa" w:w="3884"/>
            <w:vAlign w:val="top"/>
          </w:tcPr>
          <w:p>
            <w:pPr>
              <w:spacing w:after="0" w:before="0"/>
            </w:pPr>
            <w:r/>
            <w:r>
              <w:rPr>
                <w:rFonts w:ascii="Aptos" w:hAnsi="Aptos"/>
                <w:b w:val="0"/>
                <w:sz w:val="16"/>
              </w:rPr>
              <w:t>Y5–6: evaluate significance and legacy, justifying conclusions and recognising that judgements may differ.</w:t>
            </w:r>
          </w:p>
        </w:tc>
      </w:tr>
      <w:tr>
        <w:tc>
          <w:tcPr>
            <w:tcW w:type="dxa" w:w="3884"/>
            <w:vAlign w:val="top"/>
            <w:shd w:fill="EAF1E4"/>
          </w:tcPr>
          <w:p>
            <w:pPr>
              <w:spacing w:after="0" w:before="0"/>
            </w:pPr>
            <w:r/>
            <w:r>
              <w:rPr>
                <w:rFonts w:ascii="Aptos" w:hAnsi="Aptos"/>
                <w:b/>
                <w:sz w:val="16"/>
              </w:rPr>
              <w:t>Interpretation</w:t>
            </w:r>
          </w:p>
        </w:tc>
        <w:tc>
          <w:tcPr>
            <w:tcW w:type="dxa" w:w="3884"/>
            <w:vAlign w:val="top"/>
          </w:tcPr>
          <w:p>
            <w:pPr>
              <w:spacing w:after="0" w:before="0"/>
            </w:pPr>
            <w:r/>
            <w:r>
              <w:rPr>
                <w:rFonts w:ascii="Aptos" w:hAnsi="Aptos"/>
                <w:b w:val="0"/>
                <w:sz w:val="16"/>
              </w:rPr>
              <w:t>Y1–2: recognise that sources tell us about the past and may not tell the whole story.</w:t>
            </w:r>
          </w:p>
        </w:tc>
        <w:tc>
          <w:tcPr>
            <w:tcW w:type="dxa" w:w="3884"/>
            <w:vAlign w:val="top"/>
          </w:tcPr>
          <w:p>
            <w:pPr>
              <w:spacing w:after="0" w:before="0"/>
            </w:pPr>
            <w:r/>
            <w:r>
              <w:rPr>
                <w:rFonts w:ascii="Aptos" w:hAnsi="Aptos"/>
                <w:b w:val="0"/>
                <w:sz w:val="16"/>
              </w:rPr>
              <w:t>Y3–4: encounter different accounts and perspectives and begin to explain why they differ.</w:t>
            </w:r>
          </w:p>
        </w:tc>
        <w:tc>
          <w:tcPr>
            <w:tcW w:type="dxa" w:w="3884"/>
            <w:vAlign w:val="top"/>
          </w:tcPr>
          <w:p>
            <w:pPr>
              <w:spacing w:after="0" w:before="0"/>
            </w:pPr>
            <w:r/>
            <w:r>
              <w:rPr>
                <w:rFonts w:ascii="Aptos" w:hAnsi="Aptos"/>
                <w:b w:val="0"/>
                <w:sz w:val="16"/>
              </w:rPr>
              <w:t>Y5–6: compare interpretations, perspectives and portrayals; explain how and why accounts are constructed differently and reach justified conclusions.</w:t>
            </w:r>
          </w:p>
        </w:tc>
      </w:tr>
    </w:tbl>
    <w:sectPr w:rsidR="00FC693F" w:rsidRPr="0006063C" w:rsidSect="00034616">
      <w:footerReference w:type="default" r:id="rId9"/>
      <w:pgSz w:w="16834" w:h="11909"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St Lawrence CE Primary School — History Curriculum Sequencing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