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0ECAFD" w14:textId="77777777" w:rsidR="000D0596" w:rsidRPr="005477F4" w:rsidRDefault="000D0596" w:rsidP="000D0596">
      <w:pPr>
        <w:spacing w:before="100" w:beforeAutospacing="1" w:after="100" w:afterAutospacing="1" w:line="300" w:lineRule="atLeast"/>
        <w:jc w:val="center"/>
        <w:rPr>
          <w:rFonts w:ascii="Segoe UI" w:eastAsia="Times New Roman" w:hAnsi="Segoe UI" w:cs="Segoe UI"/>
          <w:b/>
          <w:bCs/>
          <w:kern w:val="0"/>
          <w:sz w:val="44"/>
          <w:szCs w:val="44"/>
          <w:lang w:eastAsia="en-GB"/>
          <w14:ligatures w14:val="none"/>
        </w:rPr>
      </w:pPr>
      <w:r w:rsidRPr="005477F4">
        <w:rPr>
          <w:rFonts w:ascii="Segoe UI" w:eastAsia="Times New Roman" w:hAnsi="Segoe UI" w:cs="Segoe UI"/>
          <w:b/>
          <w:bCs/>
          <w:kern w:val="0"/>
          <w:sz w:val="44"/>
          <w:szCs w:val="44"/>
          <w:lang w:eastAsia="en-GB"/>
          <w14:ligatures w14:val="none"/>
        </w:rPr>
        <w:t>More Able</w:t>
      </w:r>
    </w:p>
    <w:p w14:paraId="639BD113" w14:textId="77777777" w:rsidR="002406FA" w:rsidRPr="002406FA" w:rsidRDefault="002406FA" w:rsidP="002406FA">
      <w:pPr>
        <w:rPr>
          <w:rFonts w:ascii="Segoe UI" w:eastAsia="Times New Roman" w:hAnsi="Segoe UI" w:cs="Segoe UI"/>
          <w:kern w:val="0"/>
          <w:sz w:val="21"/>
          <w:szCs w:val="21"/>
          <w:lang w:eastAsia="en-GB"/>
          <w14:ligatures w14:val="none"/>
        </w:rPr>
      </w:pPr>
      <w:r w:rsidRPr="002406FA">
        <w:rPr>
          <w:rFonts w:ascii="Segoe UI" w:eastAsia="Times New Roman" w:hAnsi="Segoe UI" w:cs="Segoe UI"/>
          <w:kern w:val="0"/>
          <w:sz w:val="21"/>
          <w:szCs w:val="21"/>
          <w:lang w:eastAsia="en-GB"/>
          <w14:ligatures w14:val="none"/>
        </w:rPr>
        <w:t>More able pupils in History at St Lawrence are those who demonstrate a particularly strong understanding of the past and are able to use their historical knowledge with increasing depth and sophistication. They make connections within and across periods of history, identify patterns and relationships, and use their knowledge to develop well-reasoned historical arguments.</w:t>
      </w:r>
    </w:p>
    <w:p w14:paraId="6BB0AB47" w14:textId="77777777" w:rsidR="002406FA" w:rsidRPr="002406FA" w:rsidRDefault="002406FA" w:rsidP="002406FA">
      <w:pPr>
        <w:rPr>
          <w:rFonts w:ascii="Segoe UI" w:eastAsia="Times New Roman" w:hAnsi="Segoe UI" w:cs="Segoe UI"/>
          <w:kern w:val="0"/>
          <w:sz w:val="21"/>
          <w:szCs w:val="21"/>
          <w:lang w:eastAsia="en-GB"/>
          <w14:ligatures w14:val="none"/>
        </w:rPr>
      </w:pPr>
      <w:r w:rsidRPr="002406FA">
        <w:rPr>
          <w:rFonts w:ascii="Segoe UI" w:eastAsia="Times New Roman" w:hAnsi="Segoe UI" w:cs="Segoe UI"/>
          <w:kern w:val="0"/>
          <w:sz w:val="21"/>
          <w:szCs w:val="21"/>
          <w:lang w:eastAsia="en-GB"/>
          <w14:ligatures w14:val="none"/>
        </w:rPr>
        <w:t>These pupils often demonstrate particular strength in historical enquiry. They are able to ask perceptive questions, select and use relevant evidence, consider the reliability and usefulness of sources and recognise that the past can be interpreted in different ways. They understand that historical questions do not always have simple answers and are increasingly able to recognise complexity, uncertainty and differing perspectives.</w:t>
      </w:r>
    </w:p>
    <w:p w14:paraId="73A7B9C7" w14:textId="77777777" w:rsidR="002406FA" w:rsidRPr="002406FA" w:rsidRDefault="002406FA" w:rsidP="002406FA">
      <w:pPr>
        <w:rPr>
          <w:rFonts w:ascii="Segoe UI" w:eastAsia="Times New Roman" w:hAnsi="Segoe UI" w:cs="Segoe UI"/>
          <w:kern w:val="0"/>
          <w:sz w:val="21"/>
          <w:szCs w:val="21"/>
          <w:lang w:eastAsia="en-GB"/>
          <w14:ligatures w14:val="none"/>
        </w:rPr>
      </w:pPr>
      <w:r w:rsidRPr="002406FA">
        <w:rPr>
          <w:rFonts w:ascii="Segoe UI" w:eastAsia="Times New Roman" w:hAnsi="Segoe UI" w:cs="Segoe UI"/>
          <w:kern w:val="0"/>
          <w:sz w:val="21"/>
          <w:szCs w:val="21"/>
          <w:lang w:eastAsia="en-GB"/>
          <w14:ligatures w14:val="none"/>
        </w:rPr>
        <w:t>Teachers provide appropriate challenge through opportunities for greater depth, independence and sophisticated historical thinking, rather than simply increasing the quantity of work.</w:t>
      </w:r>
    </w:p>
    <w:p w14:paraId="048EF238" w14:textId="77777777" w:rsidR="002406FA" w:rsidRPr="002406FA" w:rsidRDefault="002406FA" w:rsidP="002406FA">
      <w:pPr>
        <w:rPr>
          <w:rFonts w:ascii="Segoe UI" w:eastAsia="Times New Roman" w:hAnsi="Segoe UI" w:cs="Segoe UI"/>
          <w:kern w:val="0"/>
          <w:sz w:val="21"/>
          <w:szCs w:val="21"/>
          <w:lang w:eastAsia="en-GB"/>
          <w14:ligatures w14:val="none"/>
        </w:rPr>
      </w:pPr>
      <w:r w:rsidRPr="002406FA">
        <w:rPr>
          <w:rFonts w:ascii="Segoe UI" w:eastAsia="Times New Roman" w:hAnsi="Segoe UI" w:cs="Segoe UI"/>
          <w:kern w:val="0"/>
          <w:sz w:val="21"/>
          <w:szCs w:val="21"/>
          <w:lang w:eastAsia="en-GB"/>
          <w14:ligatures w14:val="none"/>
        </w:rPr>
        <w:t>This may include:</w:t>
      </w:r>
    </w:p>
    <w:p w14:paraId="7AEF099C" w14:textId="77777777" w:rsidR="002406FA" w:rsidRPr="002406FA" w:rsidRDefault="002406FA" w:rsidP="002406FA">
      <w:pPr>
        <w:numPr>
          <w:ilvl w:val="0"/>
          <w:numId w:val="2"/>
        </w:numPr>
        <w:rPr>
          <w:rFonts w:ascii="Segoe UI" w:eastAsia="Times New Roman" w:hAnsi="Segoe UI" w:cs="Segoe UI"/>
          <w:kern w:val="0"/>
          <w:sz w:val="21"/>
          <w:szCs w:val="21"/>
          <w:lang w:eastAsia="en-GB"/>
          <w14:ligatures w14:val="none"/>
        </w:rPr>
      </w:pPr>
      <w:r w:rsidRPr="002406FA">
        <w:rPr>
          <w:rFonts w:ascii="Segoe UI" w:eastAsia="Times New Roman" w:hAnsi="Segoe UI" w:cs="Segoe UI"/>
          <w:kern w:val="0"/>
          <w:sz w:val="21"/>
          <w:szCs w:val="21"/>
          <w:lang w:eastAsia="en-GB"/>
          <w14:ligatures w14:val="none"/>
        </w:rPr>
        <w:t>making connections between events, individuals and periods beyond those immediately being studied</w:t>
      </w:r>
    </w:p>
    <w:p w14:paraId="3F509983" w14:textId="77777777" w:rsidR="002406FA" w:rsidRPr="002406FA" w:rsidRDefault="002406FA" w:rsidP="002406FA">
      <w:pPr>
        <w:numPr>
          <w:ilvl w:val="0"/>
          <w:numId w:val="2"/>
        </w:numPr>
        <w:rPr>
          <w:rFonts w:ascii="Segoe UI" w:eastAsia="Times New Roman" w:hAnsi="Segoe UI" w:cs="Segoe UI"/>
          <w:kern w:val="0"/>
          <w:sz w:val="21"/>
          <w:szCs w:val="21"/>
          <w:lang w:eastAsia="en-GB"/>
          <w14:ligatures w14:val="none"/>
        </w:rPr>
      </w:pPr>
      <w:r w:rsidRPr="002406FA">
        <w:rPr>
          <w:rFonts w:ascii="Segoe UI" w:eastAsia="Times New Roman" w:hAnsi="Segoe UI" w:cs="Segoe UI"/>
          <w:kern w:val="0"/>
          <w:sz w:val="21"/>
          <w:szCs w:val="21"/>
          <w:lang w:eastAsia="en-GB"/>
          <w14:ligatures w14:val="none"/>
        </w:rPr>
        <w:t>investigating increasingly complex historical questions independently</w:t>
      </w:r>
    </w:p>
    <w:p w14:paraId="121E098A" w14:textId="77777777" w:rsidR="002406FA" w:rsidRPr="002406FA" w:rsidRDefault="002406FA" w:rsidP="002406FA">
      <w:pPr>
        <w:numPr>
          <w:ilvl w:val="0"/>
          <w:numId w:val="2"/>
        </w:numPr>
        <w:rPr>
          <w:rFonts w:ascii="Segoe UI" w:eastAsia="Times New Roman" w:hAnsi="Segoe UI" w:cs="Segoe UI"/>
          <w:kern w:val="0"/>
          <w:sz w:val="21"/>
          <w:szCs w:val="21"/>
          <w:lang w:eastAsia="en-GB"/>
          <w14:ligatures w14:val="none"/>
        </w:rPr>
      </w:pPr>
      <w:r w:rsidRPr="002406FA">
        <w:rPr>
          <w:rFonts w:ascii="Segoe UI" w:eastAsia="Times New Roman" w:hAnsi="Segoe UI" w:cs="Segoe UI"/>
          <w:kern w:val="0"/>
          <w:sz w:val="21"/>
          <w:szCs w:val="21"/>
          <w:lang w:eastAsia="en-GB"/>
          <w14:ligatures w14:val="none"/>
        </w:rPr>
        <w:t>analysing and evaluating a wider range of primary and secondary sources</w:t>
      </w:r>
    </w:p>
    <w:p w14:paraId="2560A988" w14:textId="77777777" w:rsidR="002406FA" w:rsidRPr="002406FA" w:rsidRDefault="002406FA" w:rsidP="002406FA">
      <w:pPr>
        <w:numPr>
          <w:ilvl w:val="0"/>
          <w:numId w:val="2"/>
        </w:numPr>
        <w:rPr>
          <w:rFonts w:ascii="Segoe UI" w:eastAsia="Times New Roman" w:hAnsi="Segoe UI" w:cs="Segoe UI"/>
          <w:kern w:val="0"/>
          <w:sz w:val="21"/>
          <w:szCs w:val="21"/>
          <w:lang w:eastAsia="en-GB"/>
          <w14:ligatures w14:val="none"/>
        </w:rPr>
      </w:pPr>
      <w:r w:rsidRPr="002406FA">
        <w:rPr>
          <w:rFonts w:ascii="Segoe UI" w:eastAsia="Times New Roman" w:hAnsi="Segoe UI" w:cs="Segoe UI"/>
          <w:kern w:val="0"/>
          <w:sz w:val="21"/>
          <w:szCs w:val="21"/>
          <w:lang w:eastAsia="en-GB"/>
          <w14:ligatures w14:val="none"/>
        </w:rPr>
        <w:t>comparing different historical interpretations and considering why they may differ</w:t>
      </w:r>
    </w:p>
    <w:p w14:paraId="08549B4E" w14:textId="77777777" w:rsidR="002406FA" w:rsidRPr="002406FA" w:rsidRDefault="002406FA" w:rsidP="002406FA">
      <w:pPr>
        <w:numPr>
          <w:ilvl w:val="0"/>
          <w:numId w:val="2"/>
        </w:numPr>
        <w:rPr>
          <w:rFonts w:ascii="Segoe UI" w:eastAsia="Times New Roman" w:hAnsi="Segoe UI" w:cs="Segoe UI"/>
          <w:kern w:val="0"/>
          <w:sz w:val="21"/>
          <w:szCs w:val="21"/>
          <w:lang w:eastAsia="en-GB"/>
          <w14:ligatures w14:val="none"/>
        </w:rPr>
      </w:pPr>
      <w:r w:rsidRPr="002406FA">
        <w:rPr>
          <w:rFonts w:ascii="Segoe UI" w:eastAsia="Times New Roman" w:hAnsi="Segoe UI" w:cs="Segoe UI"/>
          <w:kern w:val="0"/>
          <w:sz w:val="21"/>
          <w:szCs w:val="21"/>
          <w:lang w:eastAsia="en-GB"/>
          <w14:ligatures w14:val="none"/>
        </w:rPr>
        <w:t>considering multiple causes and consequences and evaluating their relative significance</w:t>
      </w:r>
    </w:p>
    <w:p w14:paraId="30D6AB18" w14:textId="77777777" w:rsidR="002406FA" w:rsidRPr="002406FA" w:rsidRDefault="002406FA" w:rsidP="002406FA">
      <w:pPr>
        <w:numPr>
          <w:ilvl w:val="0"/>
          <w:numId w:val="2"/>
        </w:numPr>
        <w:rPr>
          <w:rFonts w:ascii="Segoe UI" w:eastAsia="Times New Roman" w:hAnsi="Segoe UI" w:cs="Segoe UI"/>
          <w:kern w:val="0"/>
          <w:sz w:val="21"/>
          <w:szCs w:val="21"/>
          <w:lang w:eastAsia="en-GB"/>
          <w14:ligatures w14:val="none"/>
        </w:rPr>
      </w:pPr>
      <w:r w:rsidRPr="002406FA">
        <w:rPr>
          <w:rFonts w:ascii="Segoe UI" w:eastAsia="Times New Roman" w:hAnsi="Segoe UI" w:cs="Segoe UI"/>
          <w:kern w:val="0"/>
          <w:sz w:val="21"/>
          <w:szCs w:val="21"/>
          <w:lang w:eastAsia="en-GB"/>
          <w14:ligatures w14:val="none"/>
        </w:rPr>
        <w:t>identifying patterns of change and continuity across longer periods of time</w:t>
      </w:r>
    </w:p>
    <w:p w14:paraId="366E948E" w14:textId="77777777" w:rsidR="002406FA" w:rsidRPr="002406FA" w:rsidRDefault="002406FA" w:rsidP="002406FA">
      <w:pPr>
        <w:numPr>
          <w:ilvl w:val="0"/>
          <w:numId w:val="2"/>
        </w:numPr>
        <w:rPr>
          <w:rFonts w:ascii="Segoe UI" w:eastAsia="Times New Roman" w:hAnsi="Segoe UI" w:cs="Segoe UI"/>
          <w:kern w:val="0"/>
          <w:sz w:val="21"/>
          <w:szCs w:val="21"/>
          <w:lang w:eastAsia="en-GB"/>
          <w14:ligatures w14:val="none"/>
        </w:rPr>
      </w:pPr>
      <w:r w:rsidRPr="002406FA">
        <w:rPr>
          <w:rFonts w:ascii="Segoe UI" w:eastAsia="Times New Roman" w:hAnsi="Segoe UI" w:cs="Segoe UI"/>
          <w:kern w:val="0"/>
          <w:sz w:val="21"/>
          <w:szCs w:val="21"/>
          <w:lang w:eastAsia="en-GB"/>
          <w14:ligatures w14:val="none"/>
        </w:rPr>
        <w:t>constructing sustained historical arguments supported by carefully selected evidence</w:t>
      </w:r>
    </w:p>
    <w:p w14:paraId="4B45E773" w14:textId="77777777" w:rsidR="002406FA" w:rsidRPr="002406FA" w:rsidRDefault="002406FA" w:rsidP="002406FA">
      <w:pPr>
        <w:numPr>
          <w:ilvl w:val="0"/>
          <w:numId w:val="2"/>
        </w:numPr>
        <w:rPr>
          <w:rFonts w:ascii="Segoe UI" w:eastAsia="Times New Roman" w:hAnsi="Segoe UI" w:cs="Segoe UI"/>
          <w:kern w:val="0"/>
          <w:sz w:val="21"/>
          <w:szCs w:val="21"/>
          <w:lang w:eastAsia="en-GB"/>
          <w14:ligatures w14:val="none"/>
        </w:rPr>
      </w:pPr>
      <w:r w:rsidRPr="002406FA">
        <w:rPr>
          <w:rFonts w:ascii="Segoe UI" w:eastAsia="Times New Roman" w:hAnsi="Segoe UI" w:cs="Segoe UI"/>
          <w:kern w:val="0"/>
          <w:sz w:val="21"/>
          <w:szCs w:val="21"/>
          <w:lang w:eastAsia="en-GB"/>
          <w14:ligatures w14:val="none"/>
        </w:rPr>
        <w:t>challenging assumptions and considering events from different perspectives</w:t>
      </w:r>
    </w:p>
    <w:p w14:paraId="53CCF4C7" w14:textId="77777777" w:rsidR="002406FA" w:rsidRPr="002406FA" w:rsidRDefault="002406FA" w:rsidP="002406FA">
      <w:pPr>
        <w:numPr>
          <w:ilvl w:val="0"/>
          <w:numId w:val="2"/>
        </w:numPr>
        <w:rPr>
          <w:rFonts w:ascii="Segoe UI" w:eastAsia="Times New Roman" w:hAnsi="Segoe UI" w:cs="Segoe UI"/>
          <w:kern w:val="0"/>
          <w:sz w:val="21"/>
          <w:szCs w:val="21"/>
          <w:lang w:eastAsia="en-GB"/>
          <w14:ligatures w14:val="none"/>
        </w:rPr>
      </w:pPr>
      <w:r w:rsidRPr="002406FA">
        <w:rPr>
          <w:rFonts w:ascii="Segoe UI" w:eastAsia="Times New Roman" w:hAnsi="Segoe UI" w:cs="Segoe UI"/>
          <w:kern w:val="0"/>
          <w:sz w:val="21"/>
          <w:szCs w:val="21"/>
          <w:lang w:eastAsia="en-GB"/>
          <w14:ligatures w14:val="none"/>
        </w:rPr>
        <w:t>using increasingly precise and sophisticated historical vocabulary</w:t>
      </w:r>
    </w:p>
    <w:p w14:paraId="78D75380" w14:textId="77777777" w:rsidR="002406FA" w:rsidRPr="002406FA" w:rsidRDefault="002406FA" w:rsidP="002406FA">
      <w:pPr>
        <w:numPr>
          <w:ilvl w:val="0"/>
          <w:numId w:val="2"/>
        </w:numPr>
        <w:rPr>
          <w:rFonts w:ascii="Segoe UI" w:eastAsia="Times New Roman" w:hAnsi="Segoe UI" w:cs="Segoe UI"/>
          <w:kern w:val="0"/>
          <w:sz w:val="21"/>
          <w:szCs w:val="21"/>
          <w:lang w:eastAsia="en-GB"/>
          <w14:ligatures w14:val="none"/>
        </w:rPr>
      </w:pPr>
      <w:r w:rsidRPr="002406FA">
        <w:rPr>
          <w:rFonts w:ascii="Segoe UI" w:eastAsia="Times New Roman" w:hAnsi="Segoe UI" w:cs="Segoe UI"/>
          <w:kern w:val="0"/>
          <w:sz w:val="21"/>
          <w:szCs w:val="21"/>
          <w:lang w:eastAsia="en-GB"/>
          <w14:ligatures w14:val="none"/>
        </w:rPr>
        <w:t>opportunities for independent research and historical enquiry</w:t>
      </w:r>
    </w:p>
    <w:p w14:paraId="77AB5433" w14:textId="77777777" w:rsidR="002406FA" w:rsidRPr="002406FA" w:rsidRDefault="002406FA" w:rsidP="002406FA">
      <w:pPr>
        <w:rPr>
          <w:rFonts w:ascii="Segoe UI" w:eastAsia="Times New Roman" w:hAnsi="Segoe UI" w:cs="Segoe UI"/>
          <w:kern w:val="0"/>
          <w:sz w:val="21"/>
          <w:szCs w:val="21"/>
          <w:lang w:eastAsia="en-GB"/>
          <w14:ligatures w14:val="none"/>
        </w:rPr>
      </w:pPr>
      <w:r w:rsidRPr="002406FA">
        <w:rPr>
          <w:rFonts w:ascii="Segoe UI" w:eastAsia="Times New Roman" w:hAnsi="Segoe UI" w:cs="Segoe UI"/>
          <w:kern w:val="0"/>
          <w:sz w:val="21"/>
          <w:szCs w:val="21"/>
          <w:lang w:eastAsia="en-GB"/>
          <w14:ligatures w14:val="none"/>
        </w:rPr>
        <w:t xml:space="preserve">More able pupils are supported to deepen rather than simply accelerate their learning. They are encouraged to think critically, question evidence and interpretations, justify their conclusions and recognise the complexity of the past. Through this, pupils develop the independence, </w:t>
      </w:r>
      <w:r w:rsidRPr="002406FA">
        <w:rPr>
          <w:rFonts w:ascii="Segoe UI" w:eastAsia="Times New Roman" w:hAnsi="Segoe UI" w:cs="Segoe UI"/>
          <w:b/>
          <w:bCs/>
          <w:kern w:val="0"/>
          <w:sz w:val="21"/>
          <w:szCs w:val="21"/>
          <w:lang w:eastAsia="en-GB"/>
          <w14:ligatures w14:val="none"/>
        </w:rPr>
        <w:t>confidence</w:t>
      </w:r>
      <w:r w:rsidRPr="002406FA">
        <w:rPr>
          <w:rFonts w:ascii="Segoe UI" w:eastAsia="Times New Roman" w:hAnsi="Segoe UI" w:cs="Segoe UI"/>
          <w:kern w:val="0"/>
          <w:sz w:val="21"/>
          <w:szCs w:val="21"/>
          <w:lang w:eastAsia="en-GB"/>
          <w14:ligatures w14:val="none"/>
        </w:rPr>
        <w:t xml:space="preserve"> and </w:t>
      </w:r>
      <w:r w:rsidRPr="002406FA">
        <w:rPr>
          <w:rFonts w:ascii="Segoe UI" w:eastAsia="Times New Roman" w:hAnsi="Segoe UI" w:cs="Segoe UI"/>
          <w:b/>
          <w:bCs/>
          <w:kern w:val="0"/>
          <w:sz w:val="21"/>
          <w:szCs w:val="21"/>
          <w:lang w:eastAsia="en-GB"/>
          <w14:ligatures w14:val="none"/>
        </w:rPr>
        <w:t>articulation</w:t>
      </w:r>
      <w:r w:rsidRPr="002406FA">
        <w:rPr>
          <w:rFonts w:ascii="Segoe UI" w:eastAsia="Times New Roman" w:hAnsi="Segoe UI" w:cs="Segoe UI"/>
          <w:kern w:val="0"/>
          <w:sz w:val="21"/>
          <w:szCs w:val="21"/>
          <w:lang w:eastAsia="en-GB"/>
          <w14:ligatures w14:val="none"/>
        </w:rPr>
        <w:t xml:space="preserve"> to think and communicate increasingly like historians.</w:t>
      </w:r>
    </w:p>
    <w:p w14:paraId="70F797E4" w14:textId="77777777" w:rsidR="0065516D" w:rsidRDefault="0065516D"/>
    <w:sectPr w:rsidR="0065516D" w:rsidSect="000D0596">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865C80"/>
    <w:multiLevelType w:val="multilevel"/>
    <w:tmpl w:val="B174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EF048BE"/>
    <w:multiLevelType w:val="multilevel"/>
    <w:tmpl w:val="CE6C9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8564030">
    <w:abstractNumId w:val="0"/>
  </w:num>
  <w:num w:numId="2" w16cid:durableId="6661736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596"/>
    <w:rsid w:val="000D0596"/>
    <w:rsid w:val="00104534"/>
    <w:rsid w:val="002406FA"/>
    <w:rsid w:val="0065516D"/>
    <w:rsid w:val="00B95399"/>
    <w:rsid w:val="00D610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F0010"/>
  <w15:chartTrackingRefBased/>
  <w15:docId w15:val="{DBEA346A-9EE6-4832-9B6C-F89015FFB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0596"/>
  </w:style>
  <w:style w:type="paragraph" w:styleId="Heading1">
    <w:name w:val="heading 1"/>
    <w:basedOn w:val="Normal"/>
    <w:next w:val="Normal"/>
    <w:link w:val="Heading1Char"/>
    <w:uiPriority w:val="9"/>
    <w:qFormat/>
    <w:rsid w:val="000D05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05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05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05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05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05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05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05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05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05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05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05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05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05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05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05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05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0596"/>
    <w:rPr>
      <w:rFonts w:eastAsiaTheme="majorEastAsia" w:cstheme="majorBidi"/>
      <w:color w:val="272727" w:themeColor="text1" w:themeTint="D8"/>
    </w:rPr>
  </w:style>
  <w:style w:type="paragraph" w:styleId="Title">
    <w:name w:val="Title"/>
    <w:basedOn w:val="Normal"/>
    <w:next w:val="Normal"/>
    <w:link w:val="TitleChar"/>
    <w:uiPriority w:val="10"/>
    <w:qFormat/>
    <w:rsid w:val="000D05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05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05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05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0596"/>
    <w:pPr>
      <w:spacing w:before="160"/>
      <w:jc w:val="center"/>
    </w:pPr>
    <w:rPr>
      <w:i/>
      <w:iCs/>
      <w:color w:val="404040" w:themeColor="text1" w:themeTint="BF"/>
    </w:rPr>
  </w:style>
  <w:style w:type="character" w:customStyle="1" w:styleId="QuoteChar">
    <w:name w:val="Quote Char"/>
    <w:basedOn w:val="DefaultParagraphFont"/>
    <w:link w:val="Quote"/>
    <w:uiPriority w:val="29"/>
    <w:rsid w:val="000D0596"/>
    <w:rPr>
      <w:i/>
      <w:iCs/>
      <w:color w:val="404040" w:themeColor="text1" w:themeTint="BF"/>
    </w:rPr>
  </w:style>
  <w:style w:type="paragraph" w:styleId="ListParagraph">
    <w:name w:val="List Paragraph"/>
    <w:basedOn w:val="Normal"/>
    <w:uiPriority w:val="34"/>
    <w:qFormat/>
    <w:rsid w:val="000D0596"/>
    <w:pPr>
      <w:ind w:left="720"/>
      <w:contextualSpacing/>
    </w:pPr>
  </w:style>
  <w:style w:type="character" w:styleId="IntenseEmphasis">
    <w:name w:val="Intense Emphasis"/>
    <w:basedOn w:val="DefaultParagraphFont"/>
    <w:uiPriority w:val="21"/>
    <w:qFormat/>
    <w:rsid w:val="000D0596"/>
    <w:rPr>
      <w:i/>
      <w:iCs/>
      <w:color w:val="0F4761" w:themeColor="accent1" w:themeShade="BF"/>
    </w:rPr>
  </w:style>
  <w:style w:type="paragraph" w:styleId="IntenseQuote">
    <w:name w:val="Intense Quote"/>
    <w:basedOn w:val="Normal"/>
    <w:next w:val="Normal"/>
    <w:link w:val="IntenseQuoteChar"/>
    <w:uiPriority w:val="30"/>
    <w:qFormat/>
    <w:rsid w:val="000D05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0596"/>
    <w:rPr>
      <w:i/>
      <w:iCs/>
      <w:color w:val="0F4761" w:themeColor="accent1" w:themeShade="BF"/>
    </w:rPr>
  </w:style>
  <w:style w:type="character" w:styleId="IntenseReference">
    <w:name w:val="Intense Reference"/>
    <w:basedOn w:val="DefaultParagraphFont"/>
    <w:uiPriority w:val="32"/>
    <w:qFormat/>
    <w:rsid w:val="000D059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139887">
      <w:bodyDiv w:val="1"/>
      <w:marLeft w:val="0"/>
      <w:marRight w:val="0"/>
      <w:marTop w:val="0"/>
      <w:marBottom w:val="0"/>
      <w:divBdr>
        <w:top w:val="none" w:sz="0" w:space="0" w:color="auto"/>
        <w:left w:val="none" w:sz="0" w:space="0" w:color="auto"/>
        <w:bottom w:val="none" w:sz="0" w:space="0" w:color="auto"/>
        <w:right w:val="none" w:sz="0" w:space="0" w:color="auto"/>
      </w:divBdr>
    </w:div>
    <w:div w:id="74017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322</Words>
  <Characters>1841</Characters>
  <Application>Microsoft Office Word</Application>
  <DocSecurity>0</DocSecurity>
  <Lines>15</Lines>
  <Paragraphs>4</Paragraphs>
  <ScaleCrop>false</ScaleCrop>
  <Company/>
  <LinksUpToDate>false</LinksUpToDate>
  <CharactersWithSpaces>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Pilling</dc:creator>
  <cp:keywords/>
  <dc:description/>
  <cp:lastModifiedBy>James Davis</cp:lastModifiedBy>
  <cp:revision>2</cp:revision>
  <dcterms:created xsi:type="dcterms:W3CDTF">2026-09-17T13:37:00Z</dcterms:created>
  <dcterms:modified xsi:type="dcterms:W3CDTF">2026-09-17T13:37:00Z</dcterms:modified>
</cp:coreProperties>
</file>