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ED6049" w:rsidP="00ED6049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COLLECTING NATURAL MATERIALS RISK ASSESSMENT</w:t>
      </w:r>
    </w:p>
    <w:p w:rsidR="00ED6049" w:rsidRDefault="00ED6049" w:rsidP="00ED6049">
      <w:p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activity risk assessment must be used in conjunction with Lifting and Site Safety procedures and risk assessments for: </w:t>
      </w:r>
    </w:p>
    <w:p w:rsidR="00ED6049" w:rsidRDefault="00ED6049" w:rsidP="00ED6049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Welfare and Weather</w:t>
      </w:r>
    </w:p>
    <w:p w:rsidR="00ED6049" w:rsidRPr="00ED6049" w:rsidRDefault="00ED6049" w:rsidP="00ED6049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Site Woodland Assessment</w:t>
      </w:r>
    </w:p>
    <w:p w:rsidR="009102F2" w:rsidRDefault="009102F2" w:rsidP="00ED6049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 w:rsidR="008B1366">
        <w:rPr>
          <w:rFonts w:ascii="Arial" w:hAnsi="Arial" w:cs="Arial"/>
          <w:sz w:val="24"/>
          <w:szCs w:val="24"/>
        </w:rPr>
        <w:t xml:space="preserve"> TRACY DENNY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B44F97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B44F97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275"/>
        <w:gridCol w:w="2958"/>
        <w:gridCol w:w="1437"/>
        <w:gridCol w:w="1134"/>
        <w:gridCol w:w="1093"/>
        <w:gridCol w:w="2429"/>
        <w:gridCol w:w="1046"/>
      </w:tblGrid>
      <w:tr w:rsidR="003F1511" w:rsidTr="00744BDC">
        <w:tc>
          <w:tcPr>
            <w:tcW w:w="534" w:type="dxa"/>
          </w:tcPr>
          <w:p w:rsidR="003F1511" w:rsidRDefault="003F1511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134" w:type="dxa"/>
          </w:tcPr>
          <w:p w:rsidR="003F1511" w:rsidRPr="003F1511" w:rsidRDefault="003F1511" w:rsidP="003F1511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HARM</w:t>
            </w:r>
          </w:p>
        </w:tc>
        <w:tc>
          <w:tcPr>
            <w:tcW w:w="1275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2429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046" w:type="dxa"/>
          </w:tcPr>
          <w:p w:rsidR="003F1511" w:rsidRPr="003F1511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Weather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Hypothermia, sunburn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general Welfare and Weather Risk Assessment completed and to be followed.</w:t>
            </w:r>
          </w:p>
        </w:tc>
        <w:tc>
          <w:tcPr>
            <w:tcW w:w="1437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29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will be fully equipped to deal with issues arising from poor welfare and weather issues.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check weather forecasts and check all safety equipment is to hand at all times. 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Woodland Site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Slips, trips, falls, scrapes, cuts &amp; bangs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Pr="003F1511" w:rsidRDefault="00BC70F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Woodland Site Risk Assessment Completed and to be followed. </w:t>
            </w:r>
          </w:p>
        </w:tc>
        <w:tc>
          <w:tcPr>
            <w:tcW w:w="1437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F1511" w:rsidRPr="003F1511" w:rsidRDefault="00111A3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29" w:type="dxa"/>
          </w:tcPr>
          <w:p w:rsidR="003F1511" w:rsidRPr="003F1511" w:rsidRDefault="00BC70FC" w:rsidP="00BC70F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group, volunteers and leaders will be made aware of aspects highlighted in the Woodlands Risk Assessment and will sign a document to say they have read and understood potential issues. 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ensure it is used on site during sessions.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BC70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 Materials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Injuries to back, muscles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Pr="003F1511" w:rsidRDefault="00BC70F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Lifting Procedures implemented. </w:t>
            </w:r>
          </w:p>
        </w:tc>
        <w:tc>
          <w:tcPr>
            <w:tcW w:w="1437" w:type="dxa"/>
          </w:tcPr>
          <w:p w:rsidR="003F1511" w:rsidRPr="003F1511" w:rsidRDefault="00BC70F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3F1511" w:rsidRPr="003F1511" w:rsidRDefault="00BC70F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3F1511" w:rsidRPr="003F1511" w:rsidRDefault="00BC70FC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9" w:type="dxa"/>
          </w:tcPr>
          <w:p w:rsidR="003F1511" w:rsidRPr="003F1511" w:rsidRDefault="00BC70F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and all leaders will read and practise lifting procedure modelling it to children and parents when the need arises.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to observe and monitor that the correct procedure are being used.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and leaders.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Insects &amp; Plants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Stings &amp; bites – anaphylactic shock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P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Avoiding areas that contain stinging plants and insects.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conduct a Site Safety Check before the start of each session. If necessary cordon off potentially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unsafe areas using the hazard tape. Discuss this with group in the ‘Nurturing Nature’ talk. </w:t>
            </w:r>
          </w:p>
        </w:tc>
        <w:tc>
          <w:tcPr>
            <w:tcW w:w="1437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9" w:type="dxa"/>
          </w:tcPr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Explain and show plants that may sting and avoid areas containing them. 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 use of the hazard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tape. 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00369" w:rsidRPr="003F1511" w:rsidRDefault="00C00369" w:rsidP="00C00369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‘Nurturing Nature’ talk explained and reinforced in sessions.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Litter &amp; Debris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Cutting, scraping &amp; infection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area has been risk assessed considering the occurrence of litter.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00369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to ask SLT to discuss issues with litter to us and nature in assemblies. 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00369" w:rsidRP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litter becomes more problematic,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organise some children to complete a safe litter pick (using tools provided). </w:t>
            </w:r>
          </w:p>
        </w:tc>
        <w:tc>
          <w:tcPr>
            <w:tcW w:w="1437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3F1511" w:rsidRPr="003F1511" w:rsidRDefault="00C00369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29" w:type="dxa"/>
          </w:tcPr>
          <w:p w:rsid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children know to report litter to an adult and not to pick it up without the proper safe litter picking equipment. 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00369" w:rsidRPr="003F1511" w:rsidRDefault="00C00369" w:rsidP="00C00369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Investigate area to be used carefully during the pre-session check.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and leaders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Uneven Ground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Trip, slip, falls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F1511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Activity areas have their own risk assessment which considers slips and trip hazards.</w:t>
            </w:r>
          </w:p>
          <w:p w:rsidR="00C00369" w:rsidRDefault="00C00369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C00369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pre-session </w:t>
            </w:r>
            <w:r w:rsidR="003A7165">
              <w:rPr>
                <w:rFonts w:ascii="Arial" w:hAnsi="Arial" w:cs="Arial"/>
                <w:sz w:val="18"/>
                <w:szCs w:val="18"/>
              </w:rPr>
              <w:t>safety checks</w:t>
            </w:r>
            <w:r w:rsidR="00C00369">
              <w:rPr>
                <w:rFonts w:ascii="Arial" w:hAnsi="Arial" w:cs="Arial"/>
                <w:sz w:val="18"/>
                <w:szCs w:val="18"/>
              </w:rPr>
              <w:t xml:space="preserve"> to spot any new hazards. </w:t>
            </w:r>
          </w:p>
        </w:tc>
        <w:tc>
          <w:tcPr>
            <w:tcW w:w="1437" w:type="dxa"/>
          </w:tcPr>
          <w:p w:rsidR="003F1511" w:rsidRPr="003F1511" w:rsidRDefault="00145AEF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1511" w:rsidRPr="003F1511" w:rsidRDefault="00145AEF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F1511" w:rsidRPr="003F1511" w:rsidRDefault="00145AEF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29" w:type="dxa"/>
          </w:tcPr>
          <w:p w:rsidR="003F1511" w:rsidRDefault="00145AE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part of the ‘Nurturing Nature’ talk, children are told to move around the site with care and respect for each other and nature. </w:t>
            </w:r>
          </w:p>
          <w:p w:rsidR="00145AEF" w:rsidRDefault="00145AE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45AEF" w:rsidRPr="003F1511" w:rsidRDefault="00145AE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to watch out for potential hazards and report them to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immediately if they spot anything. Hazard tape to be used as a temporary measure to cordon off area. 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145A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F1511" w:rsidTr="00744BDC">
        <w:tc>
          <w:tcPr>
            <w:tcW w:w="534" w:type="dxa"/>
          </w:tcPr>
          <w:p w:rsidR="003F1511" w:rsidRPr="00744BDC" w:rsidRDefault="003F151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F1511" w:rsidRPr="003F1511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Branches &amp; Trees</w:t>
            </w:r>
          </w:p>
        </w:tc>
        <w:tc>
          <w:tcPr>
            <w:tcW w:w="1134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Banging &amp; poking eyes</w:t>
            </w:r>
          </w:p>
        </w:tc>
        <w:tc>
          <w:tcPr>
            <w:tcW w:w="1275" w:type="dxa"/>
          </w:tcPr>
          <w:p w:rsidR="003F1511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Areas will be chosen as much as possible to avoid eye height branches. 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will be educated through the ‘Nurturing Nature’ talk to keep in mind this potential hazard and to be more conscious of other around. 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3A7165">
              <w:rPr>
                <w:rFonts w:ascii="Arial" w:hAnsi="Arial" w:cs="Arial"/>
                <w:sz w:val="18"/>
                <w:szCs w:val="18"/>
              </w:rPr>
              <w:t xml:space="preserve"> and leaders to model good techniques and behaviours when working on the site. </w:t>
            </w:r>
          </w:p>
        </w:tc>
        <w:tc>
          <w:tcPr>
            <w:tcW w:w="1437" w:type="dxa"/>
          </w:tcPr>
          <w:p w:rsidR="003F1511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F1511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3F1511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29" w:type="dxa"/>
          </w:tcPr>
          <w:p w:rsidR="003F1511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group are aware of any dangers these hazards may pose.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Pr="003F1511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Make sure the group move carefully around the wood, looking out for each other and without moving quickly or carelessly. </w:t>
            </w:r>
          </w:p>
        </w:tc>
        <w:tc>
          <w:tcPr>
            <w:tcW w:w="1046" w:type="dxa"/>
          </w:tcPr>
          <w:p w:rsidR="003F1511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744BDC" w:rsidTr="00744BDC">
        <w:tc>
          <w:tcPr>
            <w:tcW w:w="534" w:type="dxa"/>
          </w:tcPr>
          <w:p w:rsidR="00744BDC" w:rsidRPr="00744BDC" w:rsidRDefault="00744BDC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744BDC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Dog &amp; Cat Faeces</w:t>
            </w:r>
          </w:p>
        </w:tc>
        <w:tc>
          <w:tcPr>
            <w:tcW w:w="1134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Infection and disease</w:t>
            </w:r>
          </w:p>
        </w:tc>
        <w:tc>
          <w:tcPr>
            <w:tcW w:w="1275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744BDC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3A7165">
              <w:rPr>
                <w:rFonts w:ascii="Arial" w:hAnsi="Arial" w:cs="Arial"/>
                <w:sz w:val="18"/>
                <w:szCs w:val="18"/>
              </w:rPr>
              <w:t xml:space="preserve"> to make this part of the pre-session check.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Unfortunately, cats and dogs do sometimes enter the school site.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Pr="003F1511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Group/leaders to report anything they find. </w:t>
            </w:r>
            <w:r w:rsidR="004807DC">
              <w:rPr>
                <w:rFonts w:ascii="Arial" w:hAnsi="Arial" w:cs="Arial"/>
                <w:sz w:val="18"/>
                <w:szCs w:val="18"/>
              </w:rPr>
              <w:t>TD</w:t>
            </w:r>
            <w:r>
              <w:rPr>
                <w:rFonts w:ascii="Arial" w:hAnsi="Arial" w:cs="Arial"/>
                <w:sz w:val="18"/>
                <w:szCs w:val="18"/>
              </w:rPr>
              <w:t xml:space="preserve"> to carry pooh bags to clean up the faeces. </w:t>
            </w:r>
          </w:p>
        </w:tc>
        <w:tc>
          <w:tcPr>
            <w:tcW w:w="1437" w:type="dxa"/>
          </w:tcPr>
          <w:p w:rsidR="00744BDC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44BDC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744BDC" w:rsidRPr="003F1511" w:rsidRDefault="003A7165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9" w:type="dxa"/>
          </w:tcPr>
          <w:p w:rsidR="00744BDC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Ensure group are aware of this potential problem in the ‘Nurturing Nature’ talk. </w:t>
            </w:r>
          </w:p>
          <w:p w:rsidR="003A7165" w:rsidRDefault="003A7165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7165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3A7165">
              <w:rPr>
                <w:rFonts w:ascii="Arial" w:hAnsi="Arial" w:cs="Arial"/>
                <w:sz w:val="18"/>
                <w:szCs w:val="18"/>
              </w:rPr>
              <w:t xml:space="preserve"> to carry anti-bacterial wipes in case of contact with animal faeces. </w:t>
            </w:r>
          </w:p>
        </w:tc>
        <w:tc>
          <w:tcPr>
            <w:tcW w:w="1046" w:type="dxa"/>
          </w:tcPr>
          <w:p w:rsidR="00744BDC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3A7165">
              <w:rPr>
                <w:rFonts w:ascii="Arial" w:hAnsi="Arial" w:cs="Arial"/>
                <w:sz w:val="18"/>
                <w:szCs w:val="18"/>
              </w:rPr>
              <w:t xml:space="preserve"> and leaders</w:t>
            </w:r>
          </w:p>
        </w:tc>
      </w:tr>
      <w:tr w:rsidR="00744BDC" w:rsidTr="00744BDC">
        <w:tc>
          <w:tcPr>
            <w:tcW w:w="534" w:type="dxa"/>
          </w:tcPr>
          <w:p w:rsidR="00744BDC" w:rsidRPr="00744BDC" w:rsidRDefault="00744BDC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44BDC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 &amp; Swinging Sticks</w:t>
            </w:r>
          </w:p>
        </w:tc>
        <w:tc>
          <w:tcPr>
            <w:tcW w:w="1134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Bangs, scrapes</w:t>
            </w:r>
          </w:p>
        </w:tc>
        <w:tc>
          <w:tcPr>
            <w:tcW w:w="1275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744BDC" w:rsidRPr="003F1511" w:rsidRDefault="00AA2D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 how to lift and carry sticks carefully. </w:t>
            </w:r>
          </w:p>
        </w:tc>
        <w:tc>
          <w:tcPr>
            <w:tcW w:w="1437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29" w:type="dxa"/>
          </w:tcPr>
          <w:p w:rsidR="00744BDC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AA2DC3">
              <w:rPr>
                <w:rFonts w:ascii="Arial" w:hAnsi="Arial" w:cs="Arial"/>
                <w:sz w:val="18"/>
                <w:szCs w:val="18"/>
              </w:rPr>
              <w:t xml:space="preserve"> to step in and control a situation when procedures are not being followed. </w:t>
            </w:r>
          </w:p>
          <w:p w:rsidR="00AA2DC3" w:rsidRDefault="00AA2D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A2DC3" w:rsidRPr="003F1511" w:rsidRDefault="00AA2D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Leaders to observe and monitor as well as model good practice. </w:t>
            </w:r>
          </w:p>
        </w:tc>
        <w:tc>
          <w:tcPr>
            <w:tcW w:w="1046" w:type="dxa"/>
          </w:tcPr>
          <w:p w:rsidR="00744BDC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3A1BC3">
              <w:rPr>
                <w:rFonts w:ascii="Arial" w:hAnsi="Arial" w:cs="Arial"/>
                <w:sz w:val="18"/>
                <w:szCs w:val="18"/>
              </w:rPr>
              <w:t xml:space="preserve"> and leaders</w:t>
            </w:r>
          </w:p>
        </w:tc>
      </w:tr>
      <w:tr w:rsidR="00744BDC" w:rsidTr="00744BDC">
        <w:tc>
          <w:tcPr>
            <w:tcW w:w="534" w:type="dxa"/>
          </w:tcPr>
          <w:p w:rsidR="00744BDC" w:rsidRPr="00744BDC" w:rsidRDefault="00744BDC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44BDC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Fungus</w:t>
            </w:r>
          </w:p>
        </w:tc>
        <w:tc>
          <w:tcPr>
            <w:tcW w:w="1134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Poison</w:t>
            </w:r>
          </w:p>
        </w:tc>
        <w:tc>
          <w:tcPr>
            <w:tcW w:w="1275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744BDC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 site, we do not have many types of fungi, however areas with high number of fungi to be avoided. </w:t>
            </w:r>
          </w:p>
          <w:p w:rsidR="003A1BC3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1BC3" w:rsidRPr="003F1511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part of ‘Nurturing Nature’ talk, group to be told never to touch fungi as they can be extremely hazardous. </w:t>
            </w:r>
          </w:p>
        </w:tc>
        <w:tc>
          <w:tcPr>
            <w:tcW w:w="1437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9" w:type="dxa"/>
          </w:tcPr>
          <w:p w:rsidR="003A1BC3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When fungi is found, group to use the identification key (from Woodland Trust) to learn about its characteristics.</w:t>
            </w:r>
          </w:p>
          <w:p w:rsidR="003A1BC3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1BC3" w:rsidRPr="003F1511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:rsidR="00744BDC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744BDC" w:rsidTr="00744BDC">
        <w:tc>
          <w:tcPr>
            <w:tcW w:w="534" w:type="dxa"/>
          </w:tcPr>
          <w:p w:rsidR="00744BDC" w:rsidRPr="00744BDC" w:rsidRDefault="00744BDC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4BD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44BDC" w:rsidRDefault="00744B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Toxic Plants</w:t>
            </w:r>
          </w:p>
        </w:tc>
        <w:tc>
          <w:tcPr>
            <w:tcW w:w="1134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Poison</w:t>
            </w:r>
          </w:p>
        </w:tc>
        <w:tc>
          <w:tcPr>
            <w:tcW w:w="1275" w:type="dxa"/>
          </w:tcPr>
          <w:p w:rsidR="00744BDC" w:rsidRPr="003F1511" w:rsidRDefault="00CB7EED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Group, helpers &amp; leaders.</w:t>
            </w:r>
          </w:p>
        </w:tc>
        <w:tc>
          <w:tcPr>
            <w:tcW w:w="2958" w:type="dxa"/>
          </w:tcPr>
          <w:p w:rsidR="00744BDC" w:rsidRPr="003F1511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Areas containing toxic plants to be restricted. </w:t>
            </w:r>
          </w:p>
        </w:tc>
        <w:tc>
          <w:tcPr>
            <w:tcW w:w="1437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744BDC" w:rsidRPr="003F1511" w:rsidRDefault="003A1BC3" w:rsidP="00BC70FC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9" w:type="dxa"/>
          </w:tcPr>
          <w:p w:rsidR="00744BDC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will be told not to eat anything that they find as part of the’ Nurturing Nature’ talk.</w:t>
            </w:r>
          </w:p>
          <w:p w:rsidR="003A1BC3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A1BC3" w:rsidRPr="003F1511" w:rsidRDefault="003A1BC3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will wash their hands or clean them using the anti-bacterial wipes before eating any food. </w:t>
            </w:r>
          </w:p>
        </w:tc>
        <w:tc>
          <w:tcPr>
            <w:tcW w:w="1046" w:type="dxa"/>
          </w:tcPr>
          <w:p w:rsidR="00744BDC" w:rsidRPr="003F1511" w:rsidRDefault="004807DC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890" w:rsidRDefault="009B7890" w:rsidP="00A374DE">
      <w:pPr>
        <w:spacing w:after="0" w:line="240" w:lineRule="auto"/>
      </w:pPr>
      <w:r>
        <w:separator/>
      </w:r>
    </w:p>
  </w:endnote>
  <w:endnote w:type="continuationSeparator" w:id="0">
    <w:p w:rsidR="009B7890" w:rsidRDefault="009B7890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7DC" w:rsidRDefault="004807DC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4807DC" w:rsidRPr="007F57AD" w:rsidRDefault="004807DC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890" w:rsidRDefault="009B7890" w:rsidP="00A374DE">
      <w:pPr>
        <w:spacing w:after="0" w:line="240" w:lineRule="auto"/>
      </w:pPr>
      <w:r>
        <w:separator/>
      </w:r>
    </w:p>
  </w:footnote>
  <w:footnote w:type="continuationSeparator" w:id="0">
    <w:p w:rsidR="009B7890" w:rsidRDefault="009B7890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7DC" w:rsidRDefault="004807DC">
    <w:pPr>
      <w:pStyle w:val="Header"/>
    </w:pPr>
  </w:p>
  <w:p w:rsidR="004807DC" w:rsidRPr="007F57AD" w:rsidRDefault="004807DC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>FOREST SCHOOLS - 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E07B6"/>
    <w:multiLevelType w:val="hybridMultilevel"/>
    <w:tmpl w:val="EF7AC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E6654"/>
    <w:rsid w:val="00111A3C"/>
    <w:rsid w:val="001412DA"/>
    <w:rsid w:val="00145AEF"/>
    <w:rsid w:val="00156694"/>
    <w:rsid w:val="0017784F"/>
    <w:rsid w:val="00190316"/>
    <w:rsid w:val="002A3025"/>
    <w:rsid w:val="002F0F1F"/>
    <w:rsid w:val="003A1BC3"/>
    <w:rsid w:val="003A7165"/>
    <w:rsid w:val="003B1538"/>
    <w:rsid w:val="003F1511"/>
    <w:rsid w:val="004807DC"/>
    <w:rsid w:val="004C0A22"/>
    <w:rsid w:val="004D62A4"/>
    <w:rsid w:val="00521B8B"/>
    <w:rsid w:val="0055647D"/>
    <w:rsid w:val="006001EC"/>
    <w:rsid w:val="00624A94"/>
    <w:rsid w:val="00637D35"/>
    <w:rsid w:val="006C3E82"/>
    <w:rsid w:val="0071582D"/>
    <w:rsid w:val="00744BDC"/>
    <w:rsid w:val="007F57AD"/>
    <w:rsid w:val="008819FF"/>
    <w:rsid w:val="008B1366"/>
    <w:rsid w:val="009102F2"/>
    <w:rsid w:val="009144E2"/>
    <w:rsid w:val="00922FC1"/>
    <w:rsid w:val="009B7890"/>
    <w:rsid w:val="009E24FB"/>
    <w:rsid w:val="00A02B6A"/>
    <w:rsid w:val="00A374DE"/>
    <w:rsid w:val="00A73305"/>
    <w:rsid w:val="00AA2DC3"/>
    <w:rsid w:val="00B44F97"/>
    <w:rsid w:val="00B963FA"/>
    <w:rsid w:val="00BC70FC"/>
    <w:rsid w:val="00BF3E0A"/>
    <w:rsid w:val="00C00369"/>
    <w:rsid w:val="00C145B6"/>
    <w:rsid w:val="00C70F3A"/>
    <w:rsid w:val="00CB7EED"/>
    <w:rsid w:val="00CC438A"/>
    <w:rsid w:val="00DC0D01"/>
    <w:rsid w:val="00EC4374"/>
    <w:rsid w:val="00ED6049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81CF8"/>
  <w15:docId w15:val="{DAAFE367-31E3-4D27-863A-E627CC32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13</cp:revision>
  <cp:lastPrinted>2017-01-25T10:48:00Z</cp:lastPrinted>
  <dcterms:created xsi:type="dcterms:W3CDTF">2016-01-22T09:27:00Z</dcterms:created>
  <dcterms:modified xsi:type="dcterms:W3CDTF">2022-06-14T12:36:00Z</dcterms:modified>
</cp:coreProperties>
</file>