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6027" w14:textId="77777777" w:rsidR="00421EEA" w:rsidRDefault="00CF4A15">
      <w:pPr>
        <w:pStyle w:val="Title"/>
      </w:pPr>
      <w:r>
        <w:t>Bollington Cross C.E. Primary School</w:t>
      </w:r>
    </w:p>
    <w:p w14:paraId="6B569DB2" w14:textId="77777777" w:rsidR="00421EEA" w:rsidRDefault="00CF4A15">
      <w:pPr>
        <w:pStyle w:val="Heading1"/>
      </w:pPr>
      <w:r>
        <w:t>PE &amp; Sport Premium Impact Report 2024–2025</w:t>
      </w:r>
    </w:p>
    <w:p w14:paraId="74EC9438" w14:textId="77777777" w:rsidR="00421EEA" w:rsidRDefault="00CF4A15">
      <w:pPr>
        <w:pStyle w:val="Heading2"/>
      </w:pPr>
      <w:r>
        <w:t>Overview</w:t>
      </w:r>
    </w:p>
    <w:p w14:paraId="32FF318A" w14:textId="77777777" w:rsidR="00421EEA" w:rsidRDefault="00CF4A15">
      <w:r>
        <w:t xml:space="preserve">During the 2024–2025 academic year, Bollington Cross C.E. Primary School received £17,720 of PE and Sport Premium funding to support the development of </w:t>
      </w:r>
      <w:r>
        <w:t>high-quality physical education, sport and physical activity. Funding was used strategically to increase participation, enhance provision, improve staff expertise and ensure inclusion for all pupils.</w:t>
      </w:r>
    </w:p>
    <w:p w14:paraId="031C4517" w14:textId="77777777" w:rsidR="00421EEA" w:rsidRDefault="00CF4A15">
      <w:pPr>
        <w:pStyle w:val="Heading2"/>
      </w:pPr>
      <w:r>
        <w:t>Engagement of All Pupils in Regular Physical Activity</w:t>
      </w:r>
    </w:p>
    <w:p w14:paraId="6E93418B" w14:textId="77777777" w:rsidR="00421EEA" w:rsidRDefault="00CF4A15">
      <w:r>
        <w:t>Al</w:t>
      </w:r>
      <w:r>
        <w:t>l pupils accessed a minimum of 2 hours of PE per week, with Year 5 and 6 receiving up to 3 hours. Structured lunchtime coaching increased participation among less active pupils, disadvantaged pupils and those with SEND. Over 60% of pupils attended extracur</w:t>
      </w:r>
      <w:r>
        <w:t>ricular clubs, demonstrating strong engagement beyond curriculum provision. Behaviour and engagement improved as a result of structured activity.</w:t>
      </w:r>
    </w:p>
    <w:p w14:paraId="22466890" w14:textId="77777777" w:rsidR="00421EEA" w:rsidRDefault="00CF4A15">
      <w:pPr>
        <w:pStyle w:val="Heading2"/>
      </w:pPr>
      <w:r>
        <w:t>Raising the Profile of PE and Sport</w:t>
      </w:r>
    </w:p>
    <w:p w14:paraId="0226187C" w14:textId="77777777" w:rsidR="00421EEA" w:rsidRDefault="00CF4A15">
      <w:r>
        <w:t>The introduction of Young Leaders and whole-school events increased engage</w:t>
      </w:r>
      <w:r>
        <w:t>ment across all year groups. Equipment investment ensured visible daily activity opportunities. PE became embedded as a central part of school life, supporting teamwork, confidence and wellbeing.</w:t>
      </w:r>
    </w:p>
    <w:p w14:paraId="0A85FB0E" w14:textId="77777777" w:rsidR="00421EEA" w:rsidRDefault="00CF4A15">
      <w:pPr>
        <w:pStyle w:val="Heading2"/>
      </w:pPr>
      <w:r>
        <w:t>Staff Development</w:t>
      </w:r>
    </w:p>
    <w:p w14:paraId="50FD0FCB" w14:textId="77777777" w:rsidR="00421EEA" w:rsidRDefault="00CF4A15">
      <w:r>
        <w:t>Targeted CPD, including Balance assessment</w:t>
      </w:r>
      <w:r>
        <w:t xml:space="preserve"> training and support in gymnastics and dance, improved staff subject knowledge and confidence. Teaching quality became more consistent across all year groups.</w:t>
      </w:r>
    </w:p>
    <w:p w14:paraId="1753C910" w14:textId="77777777" w:rsidR="00421EEA" w:rsidRDefault="00CF4A15">
      <w:pPr>
        <w:pStyle w:val="Heading2"/>
      </w:pPr>
      <w:r>
        <w:t>Broader Range of Opportunities</w:t>
      </w:r>
    </w:p>
    <w:p w14:paraId="04552BB4" w14:textId="77777777" w:rsidR="00421EEA" w:rsidRDefault="00CF4A15">
      <w:r>
        <w:t xml:space="preserve">Pupils accessed a wide range of sports including dance, lacrosse </w:t>
      </w:r>
      <w:r>
        <w:t>and EYFS provision. This improved coordination, engagement and motivation, providing opportunities beyond traditional sports.</w:t>
      </w:r>
    </w:p>
    <w:p w14:paraId="527A5768" w14:textId="77777777" w:rsidR="00421EEA" w:rsidRDefault="00CF4A15">
      <w:pPr>
        <w:pStyle w:val="Heading2"/>
      </w:pPr>
      <w:r>
        <w:t>Competitive Sport Participation</w:t>
      </w:r>
    </w:p>
    <w:p w14:paraId="3A780168" w14:textId="77777777" w:rsidR="00421EEA" w:rsidRDefault="00CF4A15">
      <w:r>
        <w:t>Participation increased through MSSP involvement and intra-school competitions. Pupils demonstrate</w:t>
      </w:r>
      <w:r>
        <w:t>d improved confidence, teamwork and resilience through competitive opportunities.</w:t>
      </w:r>
    </w:p>
    <w:p w14:paraId="28DAB758" w14:textId="77777777" w:rsidR="00421EEA" w:rsidRDefault="00CF4A15">
      <w:pPr>
        <w:pStyle w:val="Heading2"/>
      </w:pPr>
      <w:r>
        <w:t>Additional Impacts</w:t>
      </w:r>
    </w:p>
    <w:p w14:paraId="69B86629" w14:textId="77777777" w:rsidR="00421EEA" w:rsidRDefault="00CF4A15">
      <w:r>
        <w:t xml:space="preserve">Swimming provision was supported through additional coaching, improving progress towards national expectations. Strong inclusion ensured disadvantaged and </w:t>
      </w:r>
      <w:r>
        <w:t>SEND pupils accessed all opportunities.</w:t>
      </w:r>
    </w:p>
    <w:p w14:paraId="62341FC3" w14:textId="77777777" w:rsidR="00421EEA" w:rsidRDefault="00CF4A15">
      <w:pPr>
        <w:pStyle w:val="Heading2"/>
      </w:pPr>
      <w:r>
        <w:lastRenderedPageBreak/>
        <w:t>Overall Effectiveness</w:t>
      </w:r>
    </w:p>
    <w:p w14:paraId="04B37920" w14:textId="77777777" w:rsidR="00421EEA" w:rsidRDefault="00CF4A15">
      <w:r>
        <w:t>Funding was highly effective: participation increased, provision improved and pupils developed physical skills, confidence and wellbeing. Strong inclusion ensured access for all.</w:t>
      </w:r>
    </w:p>
    <w:p w14:paraId="743A68B5" w14:textId="77777777" w:rsidR="00421EEA" w:rsidRDefault="00CF4A15">
      <w:pPr>
        <w:pStyle w:val="Heading2"/>
      </w:pPr>
      <w:r>
        <w:t>Key Strengths</w:t>
      </w:r>
    </w:p>
    <w:p w14:paraId="7FCFEEC5" w14:textId="77777777" w:rsidR="00421EEA" w:rsidRDefault="00CF4A15">
      <w:r>
        <w:t>H</w:t>
      </w:r>
      <w:r>
        <w:t>igh participation rates, strong inclusion, effective leadership opportunities, broad curriculum and strong partnerships supported successful outcomes.</w:t>
      </w:r>
    </w:p>
    <w:p w14:paraId="6708080E" w14:textId="77777777" w:rsidR="00421EEA" w:rsidRDefault="00CF4A15">
      <w:pPr>
        <w:pStyle w:val="Heading2"/>
      </w:pPr>
      <w:r>
        <w:t>Areas for Development</w:t>
      </w:r>
    </w:p>
    <w:p w14:paraId="3A29F11B" w14:textId="77777777" w:rsidR="00421EEA" w:rsidRDefault="00CF4A15">
      <w:r>
        <w:t>Increase parental engagement, embed assessment systems consistently, improve tracki</w:t>
      </w:r>
      <w:r>
        <w:t>ng and increase KS1 and lower KS2 competition opportunities.</w:t>
      </w:r>
    </w:p>
    <w:p w14:paraId="7613617C" w14:textId="77777777" w:rsidR="00421EEA" w:rsidRDefault="00CF4A15">
      <w:pPr>
        <w:pStyle w:val="Heading2"/>
      </w:pPr>
      <w:r>
        <w:t>Summary</w:t>
      </w:r>
    </w:p>
    <w:p w14:paraId="608FD997" w14:textId="77777777" w:rsidR="00421EEA" w:rsidRDefault="00CF4A15">
      <w:r>
        <w:t>PE and Sport Premium funding had a clear and positive impact on pupils’ physical development, wellbeing and engagement. The school has successfully increased participation, strengthened p</w:t>
      </w:r>
      <w:r>
        <w:t>rovision and ensured inclusive access to high-quality activity.</w:t>
      </w:r>
    </w:p>
    <w:sectPr w:rsidR="00421E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1EEA"/>
    <w:rsid w:val="00AA1D8D"/>
    <w:rsid w:val="00B47730"/>
    <w:rsid w:val="00CB0664"/>
    <w:rsid w:val="00CF4A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14A48"/>
  <w14:defaultImageDpi w14:val="300"/>
  <w15:docId w15:val="{1C253CCE-1B1F-4486-BE6D-1641F072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Bollington Cross Head</dc:creator>
  <cp:keywords/>
  <dc:description>generated by python-docx</dc:description>
  <cp:lastModifiedBy>Bollington Cross Head</cp:lastModifiedBy>
  <cp:revision>2</cp:revision>
  <dcterms:created xsi:type="dcterms:W3CDTF">2026-06-26T19:12:00Z</dcterms:created>
  <dcterms:modified xsi:type="dcterms:W3CDTF">2026-06-26T19:12:00Z</dcterms:modified>
  <cp:category/>
</cp:coreProperties>
</file>