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3175" w:rsidRPr="00663175" w:rsidRDefault="00663175" w:rsidP="00663175">
      <w:pPr>
        <w:pStyle w:val="Heading2"/>
      </w:pPr>
      <w:r w:rsidRPr="00663175">
        <w:t>Pupil Premium Policy</w:t>
      </w:r>
    </w:p>
    <w:p w:rsidR="00663175" w:rsidRPr="00663175" w:rsidRDefault="00663175" w:rsidP="00663175"/>
    <w:p w:rsidR="00663175" w:rsidRPr="00663175" w:rsidRDefault="00663175" w:rsidP="00663175">
      <w:pPr>
        <w:pStyle w:val="Heading2"/>
      </w:pPr>
      <w:r w:rsidRPr="00663175">
        <w:t>Background</w:t>
      </w:r>
    </w:p>
    <w:p w:rsidR="00663175" w:rsidRDefault="00663175" w:rsidP="00663175">
      <w:r>
        <w:t>The Pupil Premium is additional funding provided to publicly funded schools in England to raise the attainment of disadvantaged pupils and close the gap between them and their peers. Pupil Premium is allocated for children eligible for Free School Meals (FSM) now or within the last six years (Ever 6), children in care or previously in care, and children from service families.</w:t>
      </w:r>
      <w:r>
        <w:br/>
      </w:r>
      <w:r>
        <w:br/>
        <w:t>This funding is not a personal budget but is used to support targeted groups and whole-school strategies that benefit disadvantaged pupils.</w:t>
      </w:r>
    </w:p>
    <w:p w:rsidR="00663175" w:rsidRDefault="00663175" w:rsidP="00663175">
      <w:pPr>
        <w:pStyle w:val="Heading2"/>
      </w:pPr>
      <w:r>
        <w:t>Aims</w:t>
      </w:r>
    </w:p>
    <w:p w:rsidR="00663175" w:rsidRDefault="00663175" w:rsidP="00663175">
      <w:r>
        <w:t>At Pippins School, we are committed to ensuring all our pupils reach their full potential. Our use of Pupil Premium funding is targeted and strategic to ensure it has a significant impact on the outcomes and well-being of our disadvantaged pupils. Our specific aims are to:</w:t>
      </w:r>
      <w:r>
        <w:br/>
        <w:t>- Close the attainment gap between disadvantaged pupils and their peers.</w:t>
      </w:r>
      <w:r>
        <w:br/>
        <w:t>- Accelerate academic progress for disadvantaged pupils.</w:t>
      </w:r>
      <w:r>
        <w:br/>
        <w:t>- Support pupils’ emotional, social, and mental well-being.</w:t>
      </w:r>
      <w:r>
        <w:br/>
        <w:t>- Enable more able disadvantaged pupils to achieve high academic outcomes.</w:t>
      </w:r>
      <w:r>
        <w:br/>
        <w:t>- Support eligible pupils in Nursery through KS2.</w:t>
      </w:r>
    </w:p>
    <w:p w:rsidR="00663175" w:rsidRDefault="00663175" w:rsidP="00663175">
      <w:pPr>
        <w:pStyle w:val="Heading2"/>
      </w:pPr>
      <w:r>
        <w:t>Principles</w:t>
      </w:r>
    </w:p>
    <w:p w:rsidR="00663175" w:rsidRDefault="00663175" w:rsidP="00663175">
      <w:r>
        <w:t>- Teaching and learning opportunities will meet the needs of all pupils.</w:t>
      </w:r>
      <w:r>
        <w:br/>
        <w:t>- Additional provision will be made for pupils in vulnerable groups, especially those from disadvantaged backgrounds.</w:t>
      </w:r>
      <w:r>
        <w:br/>
        <w:t xml:space="preserve">- While FSM eligibility is a key indicator, we will also consider other pupils who face challenges, based on a </w:t>
      </w:r>
      <w:proofErr w:type="gramStart"/>
      <w:r>
        <w:t>needs</w:t>
      </w:r>
      <w:proofErr w:type="gramEnd"/>
      <w:r>
        <w:t xml:space="preserve"> analysis.</w:t>
      </w:r>
      <w:r>
        <w:br/>
        <w:t>- We are committed to removing barriers to learning, whether academic, emotional, or social.</w:t>
      </w:r>
    </w:p>
    <w:p w:rsidR="00663175" w:rsidRDefault="00663175" w:rsidP="00663175">
      <w:pPr>
        <w:pStyle w:val="Heading2"/>
      </w:pPr>
      <w:r>
        <w:t>Provision</w:t>
      </w:r>
    </w:p>
    <w:p w:rsidR="00663175" w:rsidRDefault="00663175" w:rsidP="00663175">
      <w:r>
        <w:t>The Pupil Premium funding may be used for:</w:t>
      </w:r>
      <w:r>
        <w:br/>
        <w:t>- Targeted intervention to support attainment in reading, writing, and maths.</w:t>
      </w:r>
      <w:r>
        <w:br/>
        <w:t>- Small group or 1:1 tuition to close gaps in learning.</w:t>
      </w:r>
      <w:r>
        <w:br/>
        <w:t>- Additional teaching assistant hours for in-class support.</w:t>
      </w:r>
      <w:r>
        <w:br/>
        <w:t>- Access to enrichment opportunities, including school trips, music tuition, and clubs.</w:t>
      </w:r>
      <w:r>
        <w:br/>
        <w:t>- Specialist resources, including technology to support remote or blended learning.</w:t>
      </w:r>
      <w:r>
        <w:br/>
        <w:t>- Pastoral care and mentoring support.</w:t>
      </w:r>
      <w:r>
        <w:br/>
        <w:t>- Engagement with external professionals such as counsellors or educational psychologists.</w:t>
      </w:r>
      <w:r>
        <w:br/>
        <w:t>- Support for parental engagement to improve attendance, aspirations, and learning at home.</w:t>
      </w:r>
    </w:p>
    <w:p w:rsidR="00663175" w:rsidRDefault="00663175" w:rsidP="00663175">
      <w:pPr>
        <w:pStyle w:val="Heading2"/>
      </w:pPr>
      <w:r>
        <w:t>Accountability and Reporting</w:t>
      </w:r>
    </w:p>
    <w:p w:rsidR="00663175" w:rsidRDefault="00663175" w:rsidP="00663175">
      <w:r>
        <w:t>- The impact of Pupil Premium spending is reviewed termly by the leadership team.</w:t>
      </w:r>
      <w:r>
        <w:br/>
        <w:t>- Progress of disadvantaged pupils is tracked, with data shared with governors.</w:t>
      </w:r>
      <w:r>
        <w:br/>
        <w:t>- An annual Pupil Premium Strategy Statement is published on the school website by 31 December each year, as per DfE guidance.</w:t>
      </w:r>
      <w:r>
        <w:br/>
        <w:t>- The strategy outlines spending, rationale, and impact, aligning with the DfE’s ‘menu of approaches’ and the Education Endowment Foundation’s (EEF) tiered model.</w:t>
      </w:r>
      <w:r>
        <w:br/>
        <w:t>- Ofsted will review our use of Pupil Premium as part of regular inspections.</w:t>
      </w:r>
    </w:p>
    <w:p w:rsidR="00663175" w:rsidRDefault="00663175" w:rsidP="00663175">
      <w:pPr>
        <w:pStyle w:val="Heading2"/>
      </w:pPr>
      <w:r>
        <w:lastRenderedPageBreak/>
        <w:t>Success Criteria</w:t>
      </w:r>
    </w:p>
    <w:p w:rsidR="00105E92" w:rsidRDefault="00663175" w:rsidP="00663175">
      <w:r>
        <w:t>- The attainment gap between disadvantaged and non-disadvantaged pupils is closed.</w:t>
      </w:r>
      <w:r>
        <w:br/>
        <w:t>- Disadvantaged pupils make accelerated progress.</w:t>
      </w:r>
      <w:r>
        <w:br/>
        <w:t>- Improved emotional and social well-being of pupils in receipt of support.</w:t>
      </w:r>
      <w:r>
        <w:br/>
        <w:t>- Parents are more engaged in their children’s education.</w:t>
      </w:r>
      <w:r>
        <w:br/>
        <w:t>- All spending is evidence-informed and regularly reviewed for impact.</w:t>
      </w:r>
    </w:p>
    <w:p w:rsidR="00663175" w:rsidRDefault="00663175" w:rsidP="00663175">
      <w:pPr>
        <w:rPr>
          <w:rFonts w:eastAsiaTheme="majorEastAsia"/>
        </w:rPr>
      </w:pPr>
    </w:p>
    <w:p w:rsidR="00663175" w:rsidRPr="00663175" w:rsidRDefault="00663175" w:rsidP="00663175">
      <w:pPr>
        <w:rPr>
          <w:rFonts w:eastAsiaTheme="majorEastAsia"/>
        </w:rPr>
      </w:pPr>
      <w:r>
        <w:rPr>
          <w:rFonts w:eastAsiaTheme="majorEastAsia"/>
        </w:rPr>
        <w:t>Next Review date: September 2026</w:t>
      </w:r>
      <w:bookmarkStart w:id="0" w:name="_GoBack"/>
      <w:bookmarkEnd w:id="0"/>
    </w:p>
    <w:sectPr w:rsidR="00663175" w:rsidRPr="00663175" w:rsidSect="00B57796">
      <w:headerReference w:type="default" r:id="rId8"/>
      <w:footerReference w:type="default" r:id="rId9"/>
      <w:pgSz w:w="11906" w:h="16838" w:code="9"/>
      <w:pgMar w:top="1134" w:right="1440" w:bottom="1134" w:left="1440" w:header="567" w:footer="8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26BE" w:rsidRDefault="00E026BE" w:rsidP="00B0503A">
      <w:r>
        <w:separator/>
      </w:r>
    </w:p>
  </w:endnote>
  <w:endnote w:type="continuationSeparator" w:id="0">
    <w:p w:rsidR="00E026BE" w:rsidRDefault="00E026BE" w:rsidP="00B05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177E" w:rsidRDefault="0030177E" w:rsidP="008A6BC6">
    <w:pPr>
      <w:pStyle w:val="Footer"/>
      <w:jc w:val="right"/>
    </w:pPr>
  </w:p>
  <w:tbl>
    <w:tblPr>
      <w:tblStyle w:val="TableGrid"/>
      <w:tblW w:w="5000" w:type="pct"/>
      <w:tblBorders>
        <w:left w:val="none" w:sz="0" w:space="0" w:color="auto"/>
        <w:bottom w:val="none" w:sz="0" w:space="0" w:color="auto"/>
        <w:right w:val="none" w:sz="0" w:space="0" w:color="auto"/>
        <w:insideH w:val="none" w:sz="0" w:space="0" w:color="auto"/>
        <w:insideV w:val="none" w:sz="0" w:space="0" w:color="auto"/>
      </w:tblBorders>
      <w:tblCellMar>
        <w:top w:w="85" w:type="dxa"/>
      </w:tblCellMar>
      <w:tblLook w:val="01E0" w:firstRow="1" w:lastRow="1" w:firstColumn="1" w:lastColumn="1" w:noHBand="0" w:noVBand="0"/>
    </w:tblPr>
    <w:tblGrid>
      <w:gridCol w:w="3007"/>
      <w:gridCol w:w="3006"/>
      <w:gridCol w:w="3013"/>
    </w:tblGrid>
    <w:tr w:rsidR="0030177E" w:rsidTr="001E4FC1">
      <w:tc>
        <w:tcPr>
          <w:tcW w:w="3082" w:type="dxa"/>
          <w:vAlign w:val="center"/>
        </w:tcPr>
        <w:p w:rsidR="0030177E" w:rsidRDefault="0030177E" w:rsidP="001E4FC1">
          <w:pPr>
            <w:pStyle w:val="Footer"/>
          </w:pPr>
        </w:p>
      </w:tc>
      <w:tc>
        <w:tcPr>
          <w:tcW w:w="3081" w:type="dxa"/>
          <w:vAlign w:val="center"/>
        </w:tcPr>
        <w:p w:rsidR="0030177E" w:rsidRDefault="0030177E" w:rsidP="001E4FC1">
          <w:pPr>
            <w:pStyle w:val="Footer"/>
          </w:pPr>
        </w:p>
      </w:tc>
      <w:tc>
        <w:tcPr>
          <w:tcW w:w="3079" w:type="dxa"/>
          <w:vAlign w:val="center"/>
        </w:tcPr>
        <w:p w:rsidR="0030177E" w:rsidRPr="00AB6A59" w:rsidRDefault="0030177E" w:rsidP="00B57796">
          <w:pPr>
            <w:pStyle w:val="Footer"/>
            <w:jc w:val="right"/>
          </w:pPr>
          <w:r w:rsidRPr="00AB6A59">
            <w:t xml:space="preserve">Page </w:t>
          </w:r>
          <w:r>
            <w:fldChar w:fldCharType="begin"/>
          </w:r>
          <w:r>
            <w:instrText xml:space="preserve"> PAGE </w:instrText>
          </w:r>
          <w:r>
            <w:fldChar w:fldCharType="separate"/>
          </w:r>
          <w:r w:rsidR="00B57796">
            <w:rPr>
              <w:noProof/>
            </w:rPr>
            <w:t>1</w:t>
          </w:r>
          <w:r>
            <w:rPr>
              <w:noProof/>
            </w:rPr>
            <w:fldChar w:fldCharType="end"/>
          </w:r>
          <w:r w:rsidRPr="00AB6A59">
            <w:t xml:space="preserve"> of </w:t>
          </w:r>
          <w:r w:rsidR="00663175">
            <w:fldChar w:fldCharType="begin"/>
          </w:r>
          <w:r w:rsidR="00663175">
            <w:instrText xml:space="preserve"> NUMPAGES </w:instrText>
          </w:r>
          <w:r w:rsidR="00663175">
            <w:fldChar w:fldCharType="separate"/>
          </w:r>
          <w:r w:rsidR="00B57796">
            <w:rPr>
              <w:noProof/>
            </w:rPr>
            <w:t>2</w:t>
          </w:r>
          <w:r w:rsidR="00663175">
            <w:rPr>
              <w:noProof/>
            </w:rPr>
            <w:fldChar w:fldCharType="end"/>
          </w:r>
        </w:p>
      </w:tc>
    </w:tr>
    <w:tr w:rsidR="00B57796" w:rsidTr="001E4FC1">
      <w:tc>
        <w:tcPr>
          <w:tcW w:w="3082" w:type="dxa"/>
          <w:vAlign w:val="center"/>
        </w:tcPr>
        <w:p w:rsidR="00B57796" w:rsidRDefault="00B57796" w:rsidP="001E4FC1">
          <w:pPr>
            <w:pStyle w:val="Footer"/>
          </w:pPr>
        </w:p>
      </w:tc>
      <w:tc>
        <w:tcPr>
          <w:tcW w:w="3081" w:type="dxa"/>
          <w:vAlign w:val="center"/>
        </w:tcPr>
        <w:p w:rsidR="00B57796" w:rsidRDefault="00B57796" w:rsidP="001E4FC1">
          <w:pPr>
            <w:pStyle w:val="Footer"/>
          </w:pPr>
        </w:p>
      </w:tc>
      <w:tc>
        <w:tcPr>
          <w:tcW w:w="3079" w:type="dxa"/>
          <w:vAlign w:val="center"/>
        </w:tcPr>
        <w:p w:rsidR="00B57796" w:rsidRDefault="00B57796" w:rsidP="00B57796">
          <w:pPr>
            <w:pStyle w:val="Header"/>
          </w:pPr>
        </w:p>
      </w:tc>
    </w:tr>
    <w:tr w:rsidR="00B57796" w:rsidTr="001E4FC1">
      <w:tc>
        <w:tcPr>
          <w:tcW w:w="3082" w:type="dxa"/>
          <w:vAlign w:val="center"/>
        </w:tcPr>
        <w:p w:rsidR="00B57796" w:rsidRDefault="00B57796" w:rsidP="001E4FC1">
          <w:pPr>
            <w:pStyle w:val="Footer"/>
          </w:pPr>
        </w:p>
      </w:tc>
      <w:tc>
        <w:tcPr>
          <w:tcW w:w="3081" w:type="dxa"/>
          <w:vAlign w:val="center"/>
        </w:tcPr>
        <w:p w:rsidR="00B57796" w:rsidRDefault="00B57796" w:rsidP="001E4FC1">
          <w:pPr>
            <w:pStyle w:val="Footer"/>
          </w:pPr>
        </w:p>
      </w:tc>
      <w:tc>
        <w:tcPr>
          <w:tcW w:w="3079" w:type="dxa"/>
          <w:vAlign w:val="center"/>
        </w:tcPr>
        <w:p w:rsidR="00B57796" w:rsidRDefault="00B57796" w:rsidP="00B57796">
          <w:pPr>
            <w:pStyle w:val="Header"/>
            <w:jc w:val="center"/>
          </w:pPr>
        </w:p>
      </w:tc>
    </w:tr>
  </w:tbl>
  <w:p w:rsidR="0030177E" w:rsidRDefault="0030177E" w:rsidP="001E4F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26BE" w:rsidRDefault="00E026BE" w:rsidP="00B0503A">
      <w:r>
        <w:separator/>
      </w:r>
    </w:p>
  </w:footnote>
  <w:footnote w:type="continuationSeparator" w:id="0">
    <w:p w:rsidR="00E026BE" w:rsidRDefault="00E026BE" w:rsidP="00B050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177E" w:rsidRPr="00B57796" w:rsidRDefault="00663175" w:rsidP="00B57796">
    <w:pPr>
      <w:pStyle w:val="Header"/>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098" type="#_x0000_t75" style="position:absolute;left:0;text-align:left;margin-left:425.15pt;margin-top:-13.15pt;width:67.05pt;height:32.8pt;z-index:-251658752;visibility:visible" wrapcoords="-96 0 -96 21404 21600 21404 21600 0 -96 0" o:allowincell="f">
          <v:imagedata r:id="rId1" o:title=""/>
          <w10:wrap type="tight"/>
        </v:shape>
        <o:OLEObject Type="Embed" ProgID="Word.Picture.8" ShapeID="_x0000_s4098" DrawAspect="Content" ObjectID="_1809173274"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ED5DDD"/>
    <w:multiLevelType w:val="hybridMultilevel"/>
    <w:tmpl w:val="42705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2942D8"/>
    <w:multiLevelType w:val="hybridMultilevel"/>
    <w:tmpl w:val="52144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A65C84"/>
    <w:multiLevelType w:val="hybridMultilevel"/>
    <w:tmpl w:val="172C6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904752"/>
    <w:multiLevelType w:val="hybridMultilevel"/>
    <w:tmpl w:val="9C0881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8353A1"/>
    <w:multiLevelType w:val="hybridMultilevel"/>
    <w:tmpl w:val="0F185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092331"/>
    <w:multiLevelType w:val="hybridMultilevel"/>
    <w:tmpl w:val="861432BE"/>
    <w:lvl w:ilvl="0" w:tplc="EBC8E0A8">
      <w:start w:val="1"/>
      <w:numFmt w:val="bullet"/>
      <w:pStyle w:val="Bullet2"/>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8951DD"/>
    <w:multiLevelType w:val="hybridMultilevel"/>
    <w:tmpl w:val="3AA66A1C"/>
    <w:lvl w:ilvl="0" w:tplc="11F8A7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DF2315"/>
    <w:multiLevelType w:val="hybridMultilevel"/>
    <w:tmpl w:val="3DC66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15712E"/>
    <w:multiLevelType w:val="hybridMultilevel"/>
    <w:tmpl w:val="75247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CB6AB8"/>
    <w:multiLevelType w:val="hybridMultilevel"/>
    <w:tmpl w:val="A7CCB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20D50DC"/>
    <w:multiLevelType w:val="hybridMultilevel"/>
    <w:tmpl w:val="796A5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B212D6"/>
    <w:multiLevelType w:val="hybridMultilevel"/>
    <w:tmpl w:val="C2F23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1B7545"/>
    <w:multiLevelType w:val="hybridMultilevel"/>
    <w:tmpl w:val="AFD2778C"/>
    <w:lvl w:ilvl="0" w:tplc="9A3C5B46">
      <w:start w:val="1"/>
      <w:numFmt w:val="bullet"/>
      <w:pStyle w:val="Bullet1"/>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1470D8"/>
    <w:multiLevelType w:val="hybridMultilevel"/>
    <w:tmpl w:val="B07C2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D305ED"/>
    <w:multiLevelType w:val="hybridMultilevel"/>
    <w:tmpl w:val="FA5A1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53D7590"/>
    <w:multiLevelType w:val="hybridMultilevel"/>
    <w:tmpl w:val="B9EC0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FEB3697"/>
    <w:multiLevelType w:val="hybridMultilevel"/>
    <w:tmpl w:val="FA2E7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3"/>
  </w:num>
  <w:num w:numId="3">
    <w:abstractNumId w:val="9"/>
  </w:num>
  <w:num w:numId="4">
    <w:abstractNumId w:val="8"/>
  </w:num>
  <w:num w:numId="5">
    <w:abstractNumId w:val="7"/>
  </w:num>
  <w:num w:numId="6">
    <w:abstractNumId w:val="5"/>
  </w:num>
  <w:num w:numId="7">
    <w:abstractNumId w:val="2"/>
  </w:num>
  <w:num w:numId="8">
    <w:abstractNumId w:val="4"/>
  </w:num>
  <w:num w:numId="9">
    <w:abstractNumId w:val="1"/>
  </w:num>
  <w:num w:numId="10">
    <w:abstractNumId w:val="10"/>
  </w:num>
  <w:num w:numId="11">
    <w:abstractNumId w:val="15"/>
  </w:num>
  <w:num w:numId="12">
    <w:abstractNumId w:val="11"/>
  </w:num>
  <w:num w:numId="13">
    <w:abstractNumId w:val="14"/>
  </w:num>
  <w:num w:numId="14">
    <w:abstractNumId w:val="0"/>
  </w:num>
  <w:num w:numId="15">
    <w:abstractNumId w:val="16"/>
  </w:num>
  <w:num w:numId="16">
    <w:abstractNumId w:val="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00"/>
  <w:displayHorizontalDrawingGridEvery w:val="2"/>
  <w:characterSpacingControl w:val="doNotCompress"/>
  <w:hdrShapeDefaults>
    <o:shapedefaults v:ext="edit" spidmax="4099"/>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383"/>
    <w:rsid w:val="00001B9A"/>
    <w:rsid w:val="00001CC1"/>
    <w:rsid w:val="000118EB"/>
    <w:rsid w:val="000123A9"/>
    <w:rsid w:val="00042C61"/>
    <w:rsid w:val="000516C4"/>
    <w:rsid w:val="00051B31"/>
    <w:rsid w:val="00055396"/>
    <w:rsid w:val="00057554"/>
    <w:rsid w:val="0006151B"/>
    <w:rsid w:val="0007379B"/>
    <w:rsid w:val="000800E0"/>
    <w:rsid w:val="000821BC"/>
    <w:rsid w:val="000A3951"/>
    <w:rsid w:val="000A7690"/>
    <w:rsid w:val="000C088E"/>
    <w:rsid w:val="000C1526"/>
    <w:rsid w:val="000D4ED7"/>
    <w:rsid w:val="000D5574"/>
    <w:rsid w:val="000E384C"/>
    <w:rsid w:val="00105E92"/>
    <w:rsid w:val="00112ADD"/>
    <w:rsid w:val="00114C23"/>
    <w:rsid w:val="001204A3"/>
    <w:rsid w:val="0012609B"/>
    <w:rsid w:val="00145EF9"/>
    <w:rsid w:val="00171E0B"/>
    <w:rsid w:val="00173686"/>
    <w:rsid w:val="001E085C"/>
    <w:rsid w:val="001E2383"/>
    <w:rsid w:val="001E4577"/>
    <w:rsid w:val="001E4FC1"/>
    <w:rsid w:val="001F127C"/>
    <w:rsid w:val="0022469F"/>
    <w:rsid w:val="00241E01"/>
    <w:rsid w:val="002510DF"/>
    <w:rsid w:val="00255B0D"/>
    <w:rsid w:val="0029377F"/>
    <w:rsid w:val="002C07C2"/>
    <w:rsid w:val="002C7FE3"/>
    <w:rsid w:val="002E22E7"/>
    <w:rsid w:val="0030177E"/>
    <w:rsid w:val="00306C09"/>
    <w:rsid w:val="003153F9"/>
    <w:rsid w:val="00332884"/>
    <w:rsid w:val="0033576B"/>
    <w:rsid w:val="003420FB"/>
    <w:rsid w:val="00344C2F"/>
    <w:rsid w:val="00355E09"/>
    <w:rsid w:val="00363F74"/>
    <w:rsid w:val="003677B3"/>
    <w:rsid w:val="00381786"/>
    <w:rsid w:val="00382687"/>
    <w:rsid w:val="0038301C"/>
    <w:rsid w:val="003833DC"/>
    <w:rsid w:val="00383528"/>
    <w:rsid w:val="003A2EA5"/>
    <w:rsid w:val="003B315C"/>
    <w:rsid w:val="003C08E5"/>
    <w:rsid w:val="003C10F8"/>
    <w:rsid w:val="003C6BDD"/>
    <w:rsid w:val="003D5133"/>
    <w:rsid w:val="003D61A0"/>
    <w:rsid w:val="003D7F53"/>
    <w:rsid w:val="003F39EE"/>
    <w:rsid w:val="003F6B5F"/>
    <w:rsid w:val="00403337"/>
    <w:rsid w:val="004311F1"/>
    <w:rsid w:val="00434524"/>
    <w:rsid w:val="00445D3D"/>
    <w:rsid w:val="004512B1"/>
    <w:rsid w:val="00453C52"/>
    <w:rsid w:val="00456138"/>
    <w:rsid w:val="004703D0"/>
    <w:rsid w:val="00473941"/>
    <w:rsid w:val="00476AE8"/>
    <w:rsid w:val="00484C9E"/>
    <w:rsid w:val="00494AAC"/>
    <w:rsid w:val="004C1F16"/>
    <w:rsid w:val="004C2BD4"/>
    <w:rsid w:val="004C2D37"/>
    <w:rsid w:val="004C5523"/>
    <w:rsid w:val="004C7DC2"/>
    <w:rsid w:val="004D0FEA"/>
    <w:rsid w:val="004F0F0E"/>
    <w:rsid w:val="005005DD"/>
    <w:rsid w:val="00525D4B"/>
    <w:rsid w:val="00544D98"/>
    <w:rsid w:val="00555B68"/>
    <w:rsid w:val="00561ABB"/>
    <w:rsid w:val="005622CA"/>
    <w:rsid w:val="00564EA6"/>
    <w:rsid w:val="00571F2C"/>
    <w:rsid w:val="00575DB7"/>
    <w:rsid w:val="00576E13"/>
    <w:rsid w:val="005853B7"/>
    <w:rsid w:val="0059083A"/>
    <w:rsid w:val="00592730"/>
    <w:rsid w:val="0059670F"/>
    <w:rsid w:val="005A4735"/>
    <w:rsid w:val="005B0722"/>
    <w:rsid w:val="005C504C"/>
    <w:rsid w:val="005D5104"/>
    <w:rsid w:val="005D5F20"/>
    <w:rsid w:val="005E2127"/>
    <w:rsid w:val="005E2EAA"/>
    <w:rsid w:val="00600FFB"/>
    <w:rsid w:val="00616AA8"/>
    <w:rsid w:val="00625902"/>
    <w:rsid w:val="006269A5"/>
    <w:rsid w:val="00635674"/>
    <w:rsid w:val="00656709"/>
    <w:rsid w:val="006569F1"/>
    <w:rsid w:val="00663175"/>
    <w:rsid w:val="006659B3"/>
    <w:rsid w:val="00677128"/>
    <w:rsid w:val="00677A6A"/>
    <w:rsid w:val="00687436"/>
    <w:rsid w:val="006875D8"/>
    <w:rsid w:val="006C2C75"/>
    <w:rsid w:val="006C4453"/>
    <w:rsid w:val="006D3896"/>
    <w:rsid w:val="006F6D39"/>
    <w:rsid w:val="006F72DC"/>
    <w:rsid w:val="0072655A"/>
    <w:rsid w:val="00731324"/>
    <w:rsid w:val="00736A87"/>
    <w:rsid w:val="00737086"/>
    <w:rsid w:val="0074586D"/>
    <w:rsid w:val="00746CEF"/>
    <w:rsid w:val="007765A8"/>
    <w:rsid w:val="00782B16"/>
    <w:rsid w:val="0079049D"/>
    <w:rsid w:val="007909AE"/>
    <w:rsid w:val="007A24EC"/>
    <w:rsid w:val="007A44C2"/>
    <w:rsid w:val="007C159E"/>
    <w:rsid w:val="007D0F41"/>
    <w:rsid w:val="007D3EA4"/>
    <w:rsid w:val="007D52B6"/>
    <w:rsid w:val="007D6C60"/>
    <w:rsid w:val="007E65B0"/>
    <w:rsid w:val="007F1CAB"/>
    <w:rsid w:val="007F23F5"/>
    <w:rsid w:val="00806219"/>
    <w:rsid w:val="0083245E"/>
    <w:rsid w:val="00834544"/>
    <w:rsid w:val="00834846"/>
    <w:rsid w:val="00837B2E"/>
    <w:rsid w:val="008405FC"/>
    <w:rsid w:val="00844396"/>
    <w:rsid w:val="008558C5"/>
    <w:rsid w:val="00882BE4"/>
    <w:rsid w:val="00884908"/>
    <w:rsid w:val="008936E7"/>
    <w:rsid w:val="008946D4"/>
    <w:rsid w:val="00894D57"/>
    <w:rsid w:val="00897310"/>
    <w:rsid w:val="008A4A4E"/>
    <w:rsid w:val="008A53EF"/>
    <w:rsid w:val="008A6BC6"/>
    <w:rsid w:val="008B39D8"/>
    <w:rsid w:val="008B7F41"/>
    <w:rsid w:val="008D6B2E"/>
    <w:rsid w:val="008E5F0B"/>
    <w:rsid w:val="008F46AF"/>
    <w:rsid w:val="00901759"/>
    <w:rsid w:val="00914693"/>
    <w:rsid w:val="0092040B"/>
    <w:rsid w:val="009271B3"/>
    <w:rsid w:val="00933408"/>
    <w:rsid w:val="00936618"/>
    <w:rsid w:val="00937658"/>
    <w:rsid w:val="0094565F"/>
    <w:rsid w:val="00952A8B"/>
    <w:rsid w:val="009630E8"/>
    <w:rsid w:val="0096633F"/>
    <w:rsid w:val="00975CED"/>
    <w:rsid w:val="00977600"/>
    <w:rsid w:val="009840DA"/>
    <w:rsid w:val="00992329"/>
    <w:rsid w:val="009979DC"/>
    <w:rsid w:val="009B267B"/>
    <w:rsid w:val="009C2C2E"/>
    <w:rsid w:val="009C5685"/>
    <w:rsid w:val="009C7ED0"/>
    <w:rsid w:val="009D2C25"/>
    <w:rsid w:val="00A14AC5"/>
    <w:rsid w:val="00A225EA"/>
    <w:rsid w:val="00A2474A"/>
    <w:rsid w:val="00A24753"/>
    <w:rsid w:val="00A27136"/>
    <w:rsid w:val="00A34E92"/>
    <w:rsid w:val="00A47060"/>
    <w:rsid w:val="00A6789D"/>
    <w:rsid w:val="00A77AE6"/>
    <w:rsid w:val="00A8306C"/>
    <w:rsid w:val="00A90890"/>
    <w:rsid w:val="00AA0505"/>
    <w:rsid w:val="00AB0401"/>
    <w:rsid w:val="00AB6A59"/>
    <w:rsid w:val="00AC4D87"/>
    <w:rsid w:val="00AD4D7C"/>
    <w:rsid w:val="00AD5C39"/>
    <w:rsid w:val="00AE230D"/>
    <w:rsid w:val="00B0503A"/>
    <w:rsid w:val="00B13ABF"/>
    <w:rsid w:val="00B23C5B"/>
    <w:rsid w:val="00B27873"/>
    <w:rsid w:val="00B35F46"/>
    <w:rsid w:val="00B42EBB"/>
    <w:rsid w:val="00B46D3B"/>
    <w:rsid w:val="00B50FBC"/>
    <w:rsid w:val="00B53BEF"/>
    <w:rsid w:val="00B55E11"/>
    <w:rsid w:val="00B57796"/>
    <w:rsid w:val="00B62006"/>
    <w:rsid w:val="00B81A03"/>
    <w:rsid w:val="00BA4CD9"/>
    <w:rsid w:val="00BF7ED5"/>
    <w:rsid w:val="00C07C98"/>
    <w:rsid w:val="00C216EB"/>
    <w:rsid w:val="00C37947"/>
    <w:rsid w:val="00C663C1"/>
    <w:rsid w:val="00C674DA"/>
    <w:rsid w:val="00C73552"/>
    <w:rsid w:val="00C87C19"/>
    <w:rsid w:val="00CA727B"/>
    <w:rsid w:val="00CB3E65"/>
    <w:rsid w:val="00CC650B"/>
    <w:rsid w:val="00CD518A"/>
    <w:rsid w:val="00CE26A3"/>
    <w:rsid w:val="00D02D84"/>
    <w:rsid w:val="00D072C4"/>
    <w:rsid w:val="00D152AD"/>
    <w:rsid w:val="00D176B3"/>
    <w:rsid w:val="00D27C11"/>
    <w:rsid w:val="00D3018E"/>
    <w:rsid w:val="00D44F63"/>
    <w:rsid w:val="00D51EEA"/>
    <w:rsid w:val="00D52363"/>
    <w:rsid w:val="00D766F5"/>
    <w:rsid w:val="00DB6C74"/>
    <w:rsid w:val="00DC02BD"/>
    <w:rsid w:val="00DC2247"/>
    <w:rsid w:val="00DD7EC2"/>
    <w:rsid w:val="00DE2A48"/>
    <w:rsid w:val="00DE54E1"/>
    <w:rsid w:val="00E026BE"/>
    <w:rsid w:val="00E17C60"/>
    <w:rsid w:val="00E21D8B"/>
    <w:rsid w:val="00E309DF"/>
    <w:rsid w:val="00E3250F"/>
    <w:rsid w:val="00E42ACC"/>
    <w:rsid w:val="00E526C2"/>
    <w:rsid w:val="00E5795B"/>
    <w:rsid w:val="00E91BC0"/>
    <w:rsid w:val="00EC13DD"/>
    <w:rsid w:val="00EC16DC"/>
    <w:rsid w:val="00EE4012"/>
    <w:rsid w:val="00EE51BE"/>
    <w:rsid w:val="00EE718C"/>
    <w:rsid w:val="00EF1B87"/>
    <w:rsid w:val="00F04E45"/>
    <w:rsid w:val="00F32B5D"/>
    <w:rsid w:val="00F36EDF"/>
    <w:rsid w:val="00F6213C"/>
    <w:rsid w:val="00F63D30"/>
    <w:rsid w:val="00F733E0"/>
    <w:rsid w:val="00F762AB"/>
    <w:rsid w:val="00F80A34"/>
    <w:rsid w:val="00F85F88"/>
    <w:rsid w:val="00F95CDB"/>
    <w:rsid w:val="00F97ED7"/>
    <w:rsid w:val="00FA7350"/>
    <w:rsid w:val="00FB2014"/>
    <w:rsid w:val="00FC2C11"/>
    <w:rsid w:val="00FD313A"/>
    <w:rsid w:val="00FD71E6"/>
    <w:rsid w:val="00FD79DA"/>
    <w:rsid w:val="00FE3644"/>
    <w:rsid w:val="00FE707A"/>
    <w:rsid w:val="00FF7E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14:docId w14:val="257F8D8F"/>
  <w15:docId w15:val="{396BCC1C-2E89-47F5-96C9-962EC1457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2383"/>
    <w:pPr>
      <w:spacing w:after="240" w:line="280" w:lineRule="exact"/>
    </w:pPr>
    <w:rPr>
      <w:rFonts w:ascii="Arial" w:eastAsia="Times New Roman" w:hAnsi="Arial" w:cs="Times New Roman"/>
      <w:sz w:val="20"/>
      <w:szCs w:val="20"/>
      <w:lang w:eastAsia="en-GB"/>
    </w:rPr>
  </w:style>
  <w:style w:type="paragraph" w:styleId="Heading1">
    <w:name w:val="heading 1"/>
    <w:basedOn w:val="Normal"/>
    <w:next w:val="Normal"/>
    <w:link w:val="Heading1Char"/>
    <w:autoRedefine/>
    <w:qFormat/>
    <w:rsid w:val="00B42EBB"/>
    <w:pPr>
      <w:keepNext/>
      <w:keepLines/>
      <w:spacing w:before="240" w:after="60" w:line="320" w:lineRule="exact"/>
      <w:jc w:val="center"/>
      <w:outlineLvl w:val="0"/>
    </w:pPr>
    <w:rPr>
      <w:rFonts w:asciiTheme="minorHAnsi" w:eastAsiaTheme="majorEastAsia" w:hAnsiTheme="minorHAnsi" w:cstheme="minorHAnsi"/>
      <w:b/>
      <w:bCs/>
      <w:sz w:val="28"/>
      <w:szCs w:val="28"/>
    </w:rPr>
  </w:style>
  <w:style w:type="paragraph" w:styleId="Heading2">
    <w:name w:val="heading 2"/>
    <w:basedOn w:val="Normal"/>
    <w:next w:val="Normal"/>
    <w:link w:val="Heading2Char"/>
    <w:autoRedefine/>
    <w:qFormat/>
    <w:rsid w:val="00663175"/>
    <w:pPr>
      <w:keepNext/>
      <w:keepLines/>
      <w:spacing w:after="0"/>
      <w:outlineLvl w:val="1"/>
    </w:pPr>
    <w:rPr>
      <w:rFonts w:eastAsiaTheme="majorEastAsia" w:cstheme="majorBidi"/>
      <w:b/>
      <w:bCs/>
      <w:sz w:val="28"/>
      <w:szCs w:val="28"/>
      <w:u w:val="single"/>
    </w:rPr>
  </w:style>
  <w:style w:type="paragraph" w:styleId="Heading3">
    <w:name w:val="heading 3"/>
    <w:basedOn w:val="Normal"/>
    <w:next w:val="Normal"/>
    <w:link w:val="Heading3Char"/>
    <w:autoRedefine/>
    <w:uiPriority w:val="9"/>
    <w:unhideWhenUsed/>
    <w:qFormat/>
    <w:rsid w:val="00241E01"/>
    <w:pPr>
      <w:keepNext/>
      <w:keepLines/>
      <w:spacing w:after="0"/>
      <w:outlineLvl w:val="2"/>
    </w:pPr>
    <w:rPr>
      <w:rFonts w:eastAsiaTheme="majorEastAsia" w:cstheme="majorBidi"/>
      <w:bCs/>
      <w:i/>
    </w:rPr>
  </w:style>
  <w:style w:type="paragraph" w:styleId="Heading4">
    <w:name w:val="heading 4"/>
    <w:basedOn w:val="Normal"/>
    <w:next w:val="Normal"/>
    <w:link w:val="Heading4Char"/>
    <w:uiPriority w:val="9"/>
    <w:unhideWhenUsed/>
    <w:rsid w:val="00CC650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qFormat/>
    <w:rsid w:val="003C6BDD"/>
    <w:pPr>
      <w:tabs>
        <w:tab w:val="center" w:pos="4513"/>
        <w:tab w:val="right" w:pos="9026"/>
      </w:tabs>
      <w:spacing w:after="0" w:line="240" w:lineRule="auto"/>
      <w:jc w:val="right"/>
    </w:pPr>
    <w:rPr>
      <w:sz w:val="16"/>
    </w:rPr>
  </w:style>
  <w:style w:type="character" w:customStyle="1" w:styleId="HeaderChar">
    <w:name w:val="Header Char"/>
    <w:basedOn w:val="DefaultParagraphFont"/>
    <w:link w:val="Header"/>
    <w:rsid w:val="003C6BDD"/>
    <w:rPr>
      <w:rFonts w:ascii="Arial" w:eastAsia="Times New Roman" w:hAnsi="Arial" w:cs="Times New Roman"/>
      <w:sz w:val="16"/>
      <w:szCs w:val="20"/>
      <w:lang w:eastAsia="en-GB"/>
    </w:rPr>
  </w:style>
  <w:style w:type="paragraph" w:styleId="Footer">
    <w:name w:val="footer"/>
    <w:link w:val="FooterChar"/>
    <w:uiPriority w:val="99"/>
    <w:unhideWhenUsed/>
    <w:rsid w:val="003C6BDD"/>
    <w:pPr>
      <w:tabs>
        <w:tab w:val="center" w:pos="4513"/>
        <w:tab w:val="right" w:pos="9026"/>
      </w:tabs>
      <w:spacing w:after="0" w:line="240" w:lineRule="auto"/>
    </w:pPr>
    <w:rPr>
      <w:rFonts w:ascii="Arial" w:eastAsia="Times New Roman" w:hAnsi="Arial" w:cs="Times New Roman"/>
      <w:sz w:val="16"/>
      <w:szCs w:val="20"/>
      <w:lang w:eastAsia="en-GB"/>
    </w:rPr>
  </w:style>
  <w:style w:type="character" w:customStyle="1" w:styleId="FooterChar">
    <w:name w:val="Footer Char"/>
    <w:basedOn w:val="DefaultParagraphFont"/>
    <w:link w:val="Footer"/>
    <w:uiPriority w:val="99"/>
    <w:rsid w:val="003C6BDD"/>
    <w:rPr>
      <w:rFonts w:ascii="Arial" w:eastAsia="Times New Roman" w:hAnsi="Arial" w:cs="Times New Roman"/>
      <w:sz w:val="16"/>
      <w:szCs w:val="20"/>
      <w:lang w:eastAsia="en-GB"/>
    </w:rPr>
  </w:style>
  <w:style w:type="table" w:styleId="TableGrid">
    <w:name w:val="Table Grid"/>
    <w:basedOn w:val="TableNormal"/>
    <w:rsid w:val="00B050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B6A59"/>
    <w:rPr>
      <w:rFonts w:ascii="Tahoma" w:hAnsi="Tahoma" w:cs="Tahoma"/>
      <w:sz w:val="16"/>
      <w:szCs w:val="16"/>
    </w:rPr>
  </w:style>
  <w:style w:type="character" w:customStyle="1" w:styleId="BalloonTextChar">
    <w:name w:val="Balloon Text Char"/>
    <w:basedOn w:val="DefaultParagraphFont"/>
    <w:link w:val="BalloonText"/>
    <w:uiPriority w:val="99"/>
    <w:semiHidden/>
    <w:rsid w:val="00AB6A59"/>
    <w:rPr>
      <w:rFonts w:ascii="Tahoma" w:hAnsi="Tahoma" w:cs="Tahoma"/>
      <w:sz w:val="16"/>
      <w:szCs w:val="16"/>
    </w:rPr>
  </w:style>
  <w:style w:type="character" w:customStyle="1" w:styleId="Heading1Char">
    <w:name w:val="Heading 1 Char"/>
    <w:basedOn w:val="DefaultParagraphFont"/>
    <w:link w:val="Heading1"/>
    <w:rsid w:val="00B42EBB"/>
    <w:rPr>
      <w:rFonts w:eastAsiaTheme="majorEastAsia" w:cstheme="minorHAnsi"/>
      <w:b/>
      <w:bCs/>
      <w:sz w:val="28"/>
      <w:szCs w:val="28"/>
      <w:lang w:eastAsia="en-GB"/>
    </w:rPr>
  </w:style>
  <w:style w:type="character" w:customStyle="1" w:styleId="Heading2Char">
    <w:name w:val="Heading 2 Char"/>
    <w:basedOn w:val="DefaultParagraphFont"/>
    <w:link w:val="Heading2"/>
    <w:rsid w:val="00663175"/>
    <w:rPr>
      <w:rFonts w:ascii="Arial" w:eastAsiaTheme="majorEastAsia" w:hAnsi="Arial" w:cstheme="majorBidi"/>
      <w:b/>
      <w:bCs/>
      <w:sz w:val="28"/>
      <w:szCs w:val="28"/>
      <w:u w:val="single"/>
      <w:lang w:eastAsia="en-GB"/>
    </w:rPr>
  </w:style>
  <w:style w:type="character" w:customStyle="1" w:styleId="Heading3Char">
    <w:name w:val="Heading 3 Char"/>
    <w:basedOn w:val="DefaultParagraphFont"/>
    <w:link w:val="Heading3"/>
    <w:uiPriority w:val="9"/>
    <w:rsid w:val="00241E01"/>
    <w:rPr>
      <w:rFonts w:ascii="Arial" w:eastAsiaTheme="majorEastAsia" w:hAnsi="Arial" w:cstheme="majorBidi"/>
      <w:bCs/>
      <w:i/>
      <w:sz w:val="20"/>
      <w:szCs w:val="20"/>
      <w:lang w:eastAsia="en-GB"/>
    </w:rPr>
  </w:style>
  <w:style w:type="character" w:customStyle="1" w:styleId="Heading4Char">
    <w:name w:val="Heading 4 Char"/>
    <w:basedOn w:val="DefaultParagraphFont"/>
    <w:link w:val="Heading4"/>
    <w:uiPriority w:val="9"/>
    <w:rsid w:val="00CC650B"/>
    <w:rPr>
      <w:rFonts w:asciiTheme="majorHAnsi" w:eastAsiaTheme="majorEastAsia" w:hAnsiTheme="majorHAnsi" w:cstheme="majorBidi"/>
      <w:b/>
      <w:bCs/>
      <w:i/>
      <w:iCs/>
      <w:color w:val="4F81BD" w:themeColor="accent1"/>
      <w:sz w:val="20"/>
      <w:szCs w:val="20"/>
      <w:lang w:eastAsia="en-GB"/>
    </w:rPr>
  </w:style>
  <w:style w:type="paragraph" w:customStyle="1" w:styleId="DarkRed">
    <w:name w:val="Dark Red"/>
    <w:basedOn w:val="Normal"/>
    <w:link w:val="DarkRedChar"/>
    <w:autoRedefine/>
    <w:qFormat/>
    <w:rsid w:val="004C5523"/>
    <w:rPr>
      <w:color w:val="800000"/>
    </w:rPr>
  </w:style>
  <w:style w:type="character" w:customStyle="1" w:styleId="DarkRedChar">
    <w:name w:val="Dark Red Char"/>
    <w:basedOn w:val="DefaultParagraphFont"/>
    <w:link w:val="DarkRed"/>
    <w:rsid w:val="004C5523"/>
    <w:rPr>
      <w:rFonts w:ascii="Arial" w:eastAsia="Times New Roman" w:hAnsi="Arial" w:cs="Times New Roman"/>
      <w:color w:val="800000"/>
      <w:sz w:val="20"/>
      <w:szCs w:val="20"/>
      <w:lang w:eastAsia="en-GB"/>
    </w:rPr>
  </w:style>
  <w:style w:type="paragraph" w:styleId="FootnoteText">
    <w:name w:val="footnote text"/>
    <w:basedOn w:val="Normal"/>
    <w:link w:val="FootnoteTextChar"/>
    <w:rsid w:val="005A4735"/>
  </w:style>
  <w:style w:type="character" w:customStyle="1" w:styleId="FootnoteTextChar">
    <w:name w:val="Footnote Text Char"/>
    <w:basedOn w:val="DefaultParagraphFont"/>
    <w:link w:val="FootnoteText"/>
    <w:rsid w:val="005A4735"/>
    <w:rPr>
      <w:rFonts w:ascii="Arial" w:eastAsia="Times New Roman" w:hAnsi="Arial" w:cs="Times New Roman"/>
      <w:sz w:val="20"/>
      <w:szCs w:val="20"/>
      <w:lang w:eastAsia="en-GB"/>
    </w:rPr>
  </w:style>
  <w:style w:type="character" w:styleId="FootnoteReference">
    <w:name w:val="footnote reference"/>
    <w:basedOn w:val="DefaultParagraphFont"/>
    <w:rsid w:val="005A4735"/>
    <w:rPr>
      <w:vertAlign w:val="superscript"/>
    </w:rPr>
  </w:style>
  <w:style w:type="paragraph" w:customStyle="1" w:styleId="Bullet1">
    <w:name w:val="Bullet 1"/>
    <w:basedOn w:val="Normal"/>
    <w:link w:val="Bullet1Char"/>
    <w:qFormat/>
    <w:rsid w:val="00BF7ED5"/>
    <w:pPr>
      <w:numPr>
        <w:numId w:val="17"/>
      </w:numPr>
      <w:ind w:left="568" w:hanging="284"/>
    </w:pPr>
  </w:style>
  <w:style w:type="paragraph" w:customStyle="1" w:styleId="Bullet2">
    <w:name w:val="Bullet 2"/>
    <w:basedOn w:val="Normal"/>
    <w:link w:val="Bullet2Char"/>
    <w:qFormat/>
    <w:rsid w:val="00FA7350"/>
    <w:pPr>
      <w:numPr>
        <w:numId w:val="6"/>
      </w:numPr>
      <w:ind w:left="851" w:hanging="284"/>
    </w:pPr>
  </w:style>
  <w:style w:type="paragraph" w:styleId="ListParagraph">
    <w:name w:val="List Paragraph"/>
    <w:basedOn w:val="Normal"/>
    <w:uiPriority w:val="34"/>
    <w:qFormat/>
    <w:rsid w:val="005622CA"/>
    <w:pPr>
      <w:ind w:left="720"/>
      <w:contextualSpacing/>
    </w:pPr>
    <w:rPr>
      <w:rFonts w:cs="Arial"/>
      <w:lang w:eastAsia="en-US"/>
    </w:rPr>
  </w:style>
  <w:style w:type="character" w:customStyle="1" w:styleId="Bullet1Char">
    <w:name w:val="Bullet 1 Char"/>
    <w:basedOn w:val="DefaultParagraphFont"/>
    <w:link w:val="Bullet1"/>
    <w:rsid w:val="00BF7ED5"/>
    <w:rPr>
      <w:rFonts w:ascii="Arial" w:eastAsia="Times New Roman" w:hAnsi="Arial" w:cs="Times New Roman"/>
      <w:sz w:val="20"/>
      <w:szCs w:val="20"/>
      <w:lang w:eastAsia="en-GB"/>
    </w:rPr>
  </w:style>
  <w:style w:type="character" w:customStyle="1" w:styleId="Bullet2Char">
    <w:name w:val="Bullet 2 Char"/>
    <w:basedOn w:val="DefaultParagraphFont"/>
    <w:link w:val="Bullet2"/>
    <w:rsid w:val="00FA7350"/>
    <w:rPr>
      <w:rFonts w:ascii="Arial" w:eastAsia="Times New Roman" w:hAnsi="Arial" w:cs="Times New Roman"/>
      <w:sz w:val="20"/>
      <w:szCs w:val="20"/>
      <w:lang w:eastAsia="en-GB"/>
    </w:rPr>
  </w:style>
  <w:style w:type="character" w:styleId="Hyperlink">
    <w:name w:val="Hyperlink"/>
    <w:basedOn w:val="DefaultParagraphFont"/>
    <w:uiPriority w:val="99"/>
    <w:unhideWhenUsed/>
    <w:rsid w:val="00403337"/>
    <w:rPr>
      <w:color w:val="0000FF" w:themeColor="hyperlink"/>
      <w:u w:val="single"/>
    </w:rPr>
  </w:style>
  <w:style w:type="character" w:styleId="FollowedHyperlink">
    <w:name w:val="FollowedHyperlink"/>
    <w:basedOn w:val="DefaultParagraphFont"/>
    <w:uiPriority w:val="99"/>
    <w:semiHidden/>
    <w:unhideWhenUsed/>
    <w:rsid w:val="0040333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36738">
      <w:bodyDiv w:val="1"/>
      <w:marLeft w:val="0"/>
      <w:marRight w:val="0"/>
      <w:marTop w:val="0"/>
      <w:marBottom w:val="0"/>
      <w:divBdr>
        <w:top w:val="none" w:sz="0" w:space="0" w:color="auto"/>
        <w:left w:val="none" w:sz="0" w:space="0" w:color="auto"/>
        <w:bottom w:val="none" w:sz="0" w:space="0" w:color="auto"/>
        <w:right w:val="none" w:sz="0" w:space="0" w:color="auto"/>
      </w:divBdr>
    </w:div>
    <w:div w:id="335957908">
      <w:bodyDiv w:val="1"/>
      <w:marLeft w:val="0"/>
      <w:marRight w:val="0"/>
      <w:marTop w:val="0"/>
      <w:marBottom w:val="0"/>
      <w:divBdr>
        <w:top w:val="none" w:sz="0" w:space="0" w:color="auto"/>
        <w:left w:val="none" w:sz="0" w:space="0" w:color="auto"/>
        <w:bottom w:val="none" w:sz="0" w:space="0" w:color="auto"/>
        <w:right w:val="none" w:sz="0" w:space="0" w:color="auto"/>
      </w:divBdr>
    </w:div>
    <w:div w:id="482621122">
      <w:bodyDiv w:val="1"/>
      <w:marLeft w:val="0"/>
      <w:marRight w:val="0"/>
      <w:marTop w:val="0"/>
      <w:marBottom w:val="0"/>
      <w:divBdr>
        <w:top w:val="none" w:sz="0" w:space="0" w:color="auto"/>
        <w:left w:val="none" w:sz="0" w:space="0" w:color="auto"/>
        <w:bottom w:val="none" w:sz="0" w:space="0" w:color="auto"/>
        <w:right w:val="none" w:sz="0" w:space="0" w:color="auto"/>
      </w:divBdr>
    </w:div>
    <w:div w:id="913275425">
      <w:bodyDiv w:val="1"/>
      <w:marLeft w:val="0"/>
      <w:marRight w:val="0"/>
      <w:marTop w:val="0"/>
      <w:marBottom w:val="0"/>
      <w:divBdr>
        <w:top w:val="none" w:sz="0" w:space="0" w:color="auto"/>
        <w:left w:val="none" w:sz="0" w:space="0" w:color="auto"/>
        <w:bottom w:val="none" w:sz="0" w:space="0" w:color="auto"/>
        <w:right w:val="none" w:sz="0" w:space="0" w:color="auto"/>
      </w:divBdr>
    </w:div>
    <w:div w:id="1198394800">
      <w:bodyDiv w:val="1"/>
      <w:marLeft w:val="0"/>
      <w:marRight w:val="0"/>
      <w:marTop w:val="0"/>
      <w:marBottom w:val="0"/>
      <w:divBdr>
        <w:top w:val="none" w:sz="0" w:space="0" w:color="auto"/>
        <w:left w:val="none" w:sz="0" w:space="0" w:color="auto"/>
        <w:bottom w:val="none" w:sz="0" w:space="0" w:color="auto"/>
        <w:right w:val="none" w:sz="0" w:space="0" w:color="auto"/>
      </w:divBdr>
    </w:div>
    <w:div w:id="1490753944">
      <w:bodyDiv w:val="1"/>
      <w:marLeft w:val="0"/>
      <w:marRight w:val="0"/>
      <w:marTop w:val="0"/>
      <w:marBottom w:val="0"/>
      <w:divBdr>
        <w:top w:val="none" w:sz="0" w:space="0" w:color="auto"/>
        <w:left w:val="none" w:sz="0" w:space="0" w:color="auto"/>
        <w:bottom w:val="none" w:sz="0" w:space="0" w:color="auto"/>
        <w:right w:val="none" w:sz="0" w:space="0" w:color="auto"/>
      </w:divBdr>
    </w:div>
    <w:div w:id="1987737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EE7FCC-3E5C-4870-8CB4-D08C2D9EC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471</Words>
  <Characters>2687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Charging and remission policy</vt:lpstr>
    </vt:vector>
  </TitlesOfParts>
  <Company>CEFM</Company>
  <LinksUpToDate>false</LinksUpToDate>
  <CharactersWithSpaces>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Charging and remission policy</dc:title>
  <dc:creator>CEFMi</dc:creator>
  <cp:lastModifiedBy>Mrs A Shaikh</cp:lastModifiedBy>
  <cp:revision>8</cp:revision>
  <cp:lastPrinted>2022-02-09T15:15:00Z</cp:lastPrinted>
  <dcterms:created xsi:type="dcterms:W3CDTF">2022-02-09T16:29:00Z</dcterms:created>
  <dcterms:modified xsi:type="dcterms:W3CDTF">2025-05-19T14:21:00Z</dcterms:modified>
</cp:coreProperties>
</file>