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ey2tlk5nr3fi" w:id="0"/>
      <w:bookmarkEnd w:id="0"/>
      <w:r w:rsidDel="00000000" w:rsidR="00000000" w:rsidRPr="00000000">
        <w:rPr>
          <w:b w:val="0"/>
          <w:bCs w:val="0"/>
          <w:sz w:val="28"/>
          <w:szCs w:val="28"/>
        </w:rPr>
        <mc:AlternateContent>
          <mc:Choice Requires="wpg">
            <w:drawing>
              <wp:anchor allowOverlap="1" behindDoc="0" distB="0" distT="0" distL="114300" distR="114300" hidden="0" layoutInCell="1" locked="0" relativeHeight="0" simplePos="0">
                <wp:simplePos x="0" y="0"/>
                <wp:positionH relativeFrom="margin">
                  <wp:align>left</wp:align>
                </wp:positionH>
                <wp:positionV relativeFrom="margin">
                  <wp:posOffset>716598</wp:posOffset>
                </wp:positionV>
                <wp:extent cx="6026150" cy="3286125"/>
                <wp:effectExtent b="0" l="0" r="0" t="0"/>
                <wp:wrapSquare wrapText="bothSides" distB="0" distT="0" distL="114300" distR="114300"/>
                <wp:docPr id="2" name=""/>
                <a:graphic>
                  <a:graphicData uri="http://schemas.microsoft.com/office/word/2010/wordprocessingShape">
                    <wps:wsp>
                      <wps:cNvSpPr/>
                      <wps:cNvPr id="2" name="Shape 2"/>
                      <wps:spPr>
                        <a:xfrm>
                          <a:off x="2337688" y="2141700"/>
                          <a:ext cx="6016625" cy="3276600"/>
                        </a:xfrm>
                        <a:prstGeom prst="rect">
                          <a:avLst/>
                        </a:prstGeom>
                        <a:solidFill>
                          <a:srgbClr val="F2F2F2"/>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4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Before completing this template, read the Education Endowment Foundation’s </w:t>
                            </w:r>
                            <w:r w:rsidDel="00000000" w:rsidR="00000000" w:rsidRPr="00000000">
                              <w:rPr>
                                <w:rFonts w:ascii="Arial" w:cs="Arial" w:eastAsia="Arial" w:hAnsi="Arial"/>
                                <w:b w:val="0"/>
                                <w:i w:val="0"/>
                                <w:smallCaps w:val="0"/>
                                <w:strike w:val="0"/>
                                <w:color w:val="0000ff"/>
                                <w:sz w:val="24"/>
                                <w:u w:val="single"/>
                                <w:vertAlign w:val="baseline"/>
                              </w:rPr>
                              <w:t xml:space="preserve">guide to the pupil premium</w:t>
                            </w:r>
                            <w:r w:rsidDel="00000000" w:rsidR="00000000" w:rsidRPr="00000000">
                              <w:rPr>
                                <w:rFonts w:ascii="Arial" w:cs="Arial" w:eastAsia="Arial" w:hAnsi="Arial"/>
                                <w:b w:val="0"/>
                                <w:i w:val="0"/>
                                <w:smallCaps w:val="0"/>
                                <w:strike w:val="0"/>
                                <w:color w:val="000000"/>
                                <w:sz w:val="24"/>
                                <w:vertAlign w:val="baseline"/>
                              </w:rPr>
                              <w:t xml:space="preserve"> and DfE’s </w:t>
                            </w:r>
                            <w:r w:rsidDel="00000000" w:rsidR="00000000" w:rsidRPr="00000000">
                              <w:rPr>
                                <w:rFonts w:ascii="Arial" w:cs="Arial" w:eastAsia="Arial" w:hAnsi="Arial"/>
                                <w:b w:val="0"/>
                                <w:i w:val="0"/>
                                <w:smallCaps w:val="0"/>
                                <w:strike w:val="0"/>
                                <w:color w:val="0000ff"/>
                                <w:sz w:val="24"/>
                                <w:u w:val="single"/>
                                <w:vertAlign w:val="baseline"/>
                              </w:rPr>
                              <w:t xml:space="preserve">pupil premium guidance for school leaders</w:t>
                            </w:r>
                            <w:r w:rsidDel="00000000" w:rsidR="00000000" w:rsidRPr="00000000">
                              <w:rPr>
                                <w:rFonts w:ascii="Arial" w:cs="Arial" w:eastAsia="Arial" w:hAnsi="Arial"/>
                                <w:b w:val="0"/>
                                <w:i w:val="0"/>
                                <w:smallCaps w:val="0"/>
                                <w:strike w:val="0"/>
                                <w:color w:val="000000"/>
                                <w:sz w:val="24"/>
                                <w:vertAlign w:val="baseline"/>
                              </w:rPr>
                              <w:t xml:space="preserve">, which includes the ‘menu of approaches’. It is for school leaders to decide what activity to spend their pupil premium on, within the framework set out by the menu.</w:t>
                            </w:r>
                          </w:p>
                          <w:p w:rsidR="00000000" w:rsidDel="00000000" w:rsidP="00000000" w:rsidRDefault="00000000" w:rsidRPr="00000000">
                            <w:pPr>
                              <w:spacing w:after="24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d0d0d"/>
                                <w:sz w:val="24"/>
                                <w:vertAlign w:val="baseline"/>
                              </w:rPr>
                              <w:t xml:space="preserve">All schools that receive pupil premium are required to use this template to complete and publish a pupil premium statement on their school website by 31 December every academic year.</w:t>
                            </w:r>
                          </w:p>
                          <w:p w:rsidR="00000000" w:rsidDel="00000000" w:rsidP="00000000" w:rsidRDefault="00000000" w:rsidRPr="00000000">
                            <w:pPr>
                              <w:spacing w:after="240" w:before="0" w:line="288.0000114440918"/>
                              <w:ind w:left="0" w:right="0" w:firstLine="0"/>
                              <w:jc w:val="left"/>
                              <w:textDirection w:val="btLr"/>
                            </w:pPr>
                            <w:r w:rsidDel="00000000" w:rsidR="00000000" w:rsidRPr="00000000">
                              <w:rPr>
                                <w:rFonts w:ascii="Arial" w:cs="Arial" w:eastAsia="Arial" w:hAnsi="Arial"/>
                                <w:b w:val="0"/>
                                <w:i w:val="0"/>
                                <w:smallCaps w:val="0"/>
                                <w:strike w:val="0"/>
                                <w:color w:val="0d0d0d"/>
                                <w:sz w:val="24"/>
                                <w:vertAlign w:val="baseline"/>
                              </w:rPr>
                            </w:r>
                            <w:r w:rsidDel="00000000" w:rsidR="00000000" w:rsidRPr="00000000">
                              <w:rPr>
                                <w:rFonts w:ascii="Arial" w:cs="Arial" w:eastAsia="Arial" w:hAnsi="Arial"/>
                                <w:b w:val="0"/>
                                <w:i w:val="0"/>
                                <w:smallCaps w:val="0"/>
                                <w:strike w:val="0"/>
                                <w:color w:val="0d0d0d"/>
                                <w:sz w:val="24"/>
                                <w:vertAlign w:val="baseline"/>
                              </w:rPr>
                              <w:t xml:space="preserve">If you are starting a new pupil premium strategy plan, use this blank template. If you are continuing a strategy plan from last academic year, you may prefer to edit your existing statement, if that version was published using the template. </w:t>
                            </w:r>
                          </w:p>
                          <w:p w:rsidR="00000000" w:rsidDel="00000000" w:rsidP="00000000" w:rsidRDefault="00000000" w:rsidRPr="00000000">
                            <w:pPr>
                              <w:spacing w:after="120" w:before="120" w:line="288.0000114440918"/>
                              <w:ind w:left="0" w:right="0" w:firstLine="0"/>
                              <w:jc w:val="left"/>
                              <w:textDirection w:val="btLr"/>
                            </w:pPr>
                            <w:r w:rsidDel="00000000" w:rsidR="00000000" w:rsidRPr="00000000">
                              <w:rPr>
                                <w:rFonts w:ascii="Arial" w:cs="Arial" w:eastAsia="Arial" w:hAnsi="Arial"/>
                                <w:b w:val="0"/>
                                <w:i w:val="0"/>
                                <w:smallCaps w:val="0"/>
                                <w:strike w:val="0"/>
                                <w:color w:val="0d0d0d"/>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Before publishing your completed statement, delete the instructions (text in italics) in this template, and this text box.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margin">
                  <wp:posOffset>716598</wp:posOffset>
                </wp:positionV>
                <wp:extent cx="6026150" cy="328612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26150" cy="3286125"/>
                        </a:xfrm>
                        <a:prstGeom prst="rect"/>
                        <a:ln/>
                      </pic:spPr>
                    </pic:pic>
                  </a:graphicData>
                </a:graphic>
              </wp:anchor>
            </w:drawing>
          </mc:Fallback>
        </mc:AlternateContent>
      </w:r>
      <w:r w:rsidDel="00000000" w:rsidR="00000000" w:rsidRPr="00000000">
        <w:rPr>
          <w:rtl w:val="0"/>
        </w:rPr>
        <w:t xml:space="preserve">Pupil premium strategy statement – Hetton Lyons Primary School</w:t>
      </w:r>
    </w:p>
    <w:p w:rsidR="00000000" w:rsidDel="00000000" w:rsidP="00000000" w:rsidRDefault="00000000" w:rsidRPr="00000000" w14:paraId="00000002">
      <w:pPr>
        <w:spacing w:after="0" w:lineRule="auto"/>
        <w:rPr/>
      </w:pP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t xml:space="preserve">This statement details our school’s use of pupil premium funding to help improve the attainment of our disadvantaged pupils. </w: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t xml:space="preserve">It outlines our pupil premium strategy, how we intend to spend the funding in this academic year and the outcomes for disadvantaged pupils last academic year.</w:t>
      </w: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School overview</w:t>
      </w:r>
    </w:p>
    <w:tbl>
      <w:tblPr>
        <w:tblStyle w:val="Table1"/>
        <w:tblW w:w="9486.0" w:type="dxa"/>
        <w:jc w:val="left"/>
        <w:tblLayout w:type="fixed"/>
        <w:tblLook w:val="0400"/>
      </w:tblPr>
      <w:tblGrid>
        <w:gridCol w:w="6517"/>
        <w:gridCol w:w="2969"/>
        <w:tblGridChange w:id="0">
          <w:tblGrid>
            <w:gridCol w:w="6517"/>
            <w:gridCol w:w="2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Data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Number of pupils in school</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431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Proportion (%) of pupil premium eligible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Academic year/years that our current pupil premium strategy plan covers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(3-year plans are recommended – you must still publish an updated statement each academic year)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2024/25</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2025/26</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2026/27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Date this statement was published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December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Date on which it will be reviewed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December 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Statement authorised by</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Sarah Young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Pupil premium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Chris Harrison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Governor / Trustee lead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Emma Knight</w:t>
            </w:r>
          </w:p>
        </w:tc>
      </w:tr>
    </w:tbl>
    <w:p w:rsidR="00000000" w:rsidDel="00000000" w:rsidP="00000000" w:rsidRDefault="00000000" w:rsidRPr="00000000" w14:paraId="0000001A">
      <w:pPr>
        <w:pStyle w:val="Heading2"/>
        <w:rPr/>
      </w:pPr>
      <w:r w:rsidDel="00000000" w:rsidR="00000000" w:rsidRPr="00000000">
        <w:rPr>
          <w:rtl w:val="0"/>
        </w:rPr>
        <w:t xml:space="preserve">Funding overview</w:t>
      </w:r>
    </w:p>
    <w:tbl>
      <w:tblPr>
        <w:tblStyle w:val="Table2"/>
        <w:tblW w:w="9486.0" w:type="dxa"/>
        <w:jc w:val="left"/>
        <w:tblLayout w:type="fixed"/>
        <w:tblLook w:val="0400"/>
      </w:tblPr>
      <w:tblGrid>
        <w:gridCol w:w="6516"/>
        <w:gridCol w:w="2970"/>
        <w:tblGridChange w:id="0">
          <w:tblGrid>
            <w:gridCol w:w="6516"/>
            <w:gridCol w:w="2970"/>
          </w:tblGrid>
        </w:tblGridChange>
      </w:tblGrid>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Amount</w:t>
            </w:r>
            <w:r w:rsidDel="00000000" w:rsidR="00000000" w:rsidRPr="00000000">
              <w:rPr>
                <w:rtl w:val="0"/>
              </w:rPr>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Pupil premium funding allocation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£178770</w:t>
            </w:r>
          </w:p>
        </w:tc>
      </w:tr>
      <w:tr>
        <w:trPr>
          <w:cantSplit w:val="0"/>
          <w:trHeight w:val="37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Pupil premium funding carried forward from previous years </w:t>
            </w:r>
            <w:r w:rsidDel="00000000" w:rsidR="00000000" w:rsidRPr="00000000">
              <w:rPr>
                <w:rFonts w:ascii="Arial" w:cs="Arial" w:eastAsia="Arial" w:hAnsi="Arial"/>
                <w:b w:val="0"/>
                <w:bCs w:val="0"/>
                <w:i w:val="1"/>
                <w:iCs w:val="1"/>
                <w:smallCaps w:val="0"/>
                <w:strike w:val="0"/>
                <w:color w:val="0d0d0d"/>
                <w:sz w:val="24"/>
                <w:szCs w:val="24"/>
                <w:u w:val="none"/>
                <w:shd w:fill="auto" w:val="clear"/>
                <w:vertAlign w:val="baseline"/>
                <w:rtl w:val="0"/>
              </w:rPr>
              <w:t xml:space="preserve">(enter £0 if not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Total budget for this academic year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d0d0d"/>
                <w:sz w:val="24"/>
                <w:szCs w:val="24"/>
                <w:u w:val="none"/>
                <w:shd w:fill="auto" w:val="clear"/>
                <w:vertAlign w:val="baseline"/>
                <w:rtl w:val="0"/>
              </w:rPr>
              <w:t xml:space="preserve">If your school is an academy in a trust that pools this funding, state the amount available to your school this academic year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£178770</w:t>
            </w:r>
          </w:p>
        </w:tc>
      </w:tr>
    </w:tbl>
    <w:p w:rsidR="00000000" w:rsidDel="00000000" w:rsidP="00000000" w:rsidRDefault="00000000" w:rsidRPr="00000000" w14:paraId="00000024">
      <w:pPr>
        <w:pStyle w:val="Heading1"/>
        <w:rPr/>
      </w:pPr>
      <w:r w:rsidDel="00000000" w:rsidR="00000000" w:rsidRPr="00000000">
        <w:rPr>
          <w:rtl w:val="0"/>
        </w:rPr>
        <w:t xml:space="preserve">Part A: Pupil premium strategy plan</w:t>
      </w:r>
    </w:p>
    <w:p w:rsidR="00000000" w:rsidDel="00000000" w:rsidP="00000000" w:rsidRDefault="00000000" w:rsidRPr="00000000" w14:paraId="00000025">
      <w:pPr>
        <w:pStyle w:val="Heading2"/>
        <w:rPr/>
      </w:pPr>
      <w:bookmarkStart w:colFirst="0" w:colLast="0" w:name="_heading=h.fj8ldme05tmq" w:id="1"/>
      <w:bookmarkEnd w:id="1"/>
      <w:r w:rsidDel="00000000" w:rsidR="00000000" w:rsidRPr="00000000">
        <w:rPr>
          <w:rtl w:val="0"/>
        </w:rPr>
        <w:t xml:space="preserve">Statement of intent</w:t>
      </w:r>
    </w:p>
    <w:tbl>
      <w:tblPr>
        <w:tblStyle w:val="Table3"/>
        <w:tblW w:w="9486.0" w:type="dxa"/>
        <w:jc w:val="left"/>
        <w:tblLayout w:type="fixed"/>
        <w:tblLook w:val="0400"/>
      </w:tblPr>
      <w:tblGrid>
        <w:gridCol w:w="9486"/>
        <w:tblGridChange w:id="0">
          <w:tblGrid>
            <w:gridCol w:w="94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Hetton Lyons Primary School</w:t>
            </w:r>
            <w:r w:rsidDel="00000000" w:rsidR="00000000" w:rsidRPr="00000000">
              <w:rPr>
                <w:rtl w:val="0"/>
              </w:rPr>
            </w:r>
          </w:p>
          <w:p w:rsidR="00000000" w:rsidDel="00000000" w:rsidP="00000000" w:rsidRDefault="00000000" w:rsidRPr="00000000" w14:paraId="00000027">
            <w:pPr>
              <w:pStyle w:val="Heading3"/>
              <w:rPr>
                <w:sz w:val="24"/>
                <w:szCs w:val="24"/>
              </w:rPr>
            </w:pPr>
            <w:r w:rsidDel="00000000" w:rsidR="00000000" w:rsidRPr="00000000">
              <w:rPr>
                <w:sz w:val="24"/>
                <w:szCs w:val="24"/>
                <w:rtl w:val="0"/>
              </w:rPr>
              <w:t xml:space="preserve">Our context and rationale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Hetton Lyons Primary School serves a community experiencing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significant, long-standing socio-economic deprivation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is structural rather than short-term. A high proportion of pupils live in areas of severe income and health deprivation, with many facing overlapping barriers linked to poverty, poor physical and mental health, SEND, speech and language delay, and family instability. These challenges are compounded for some pupils by mobility linked to Traveller lifestyles and increasing EAL.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Health deprivation is a defining feature of our context. A substantial majority of pupils live in areas within the most deprived national bands for health, which has a direct impact on emotional regulation, behaviour, attendance, readiness to learn and long-term outcomes. As a result, disadvantaged pupils often arrive at school with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lower starting points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particularly in communication, language and self-regulation, and may experience interrupted or fragmented learning over time.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pupil premium strategy is therefore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intentionally contextualised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It recognises that, for many pupils,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academic success cannot be separated from wellbeing, inclusion and sustained engagement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use detailed deprivation analysis, attendance data, safeguarding intelligence and progress information to ensure that funding is directed where it will have the greatest impact.</w:t>
            </w:r>
          </w:p>
          <w:p w:rsidR="00000000" w:rsidDel="00000000" w:rsidP="00000000" w:rsidRDefault="00000000" w:rsidRPr="00000000" w14:paraId="0000002B">
            <w:pPr>
              <w:pStyle w:val="Heading3"/>
              <w:rPr>
                <w:sz w:val="24"/>
                <w:szCs w:val="24"/>
              </w:rPr>
            </w:pPr>
            <w:r w:rsidDel="00000000" w:rsidR="00000000" w:rsidRPr="00000000">
              <w:rPr>
                <w:sz w:val="24"/>
                <w:szCs w:val="24"/>
                <w:rtl w:val="0"/>
              </w:rPr>
              <w:t xml:space="preserve">1. Our ultimate objectives for disadvantaged pupils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overarching objective is that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disadvantaged pupils at Hetton Lyons achieve well, thrive emotionally and leave primary school equipped for the next stage of education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regardless of their starting points or personal circumstances.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Specifically, we aim to ensure that disadvantaged pupils: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strong progress from their individual starting points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achieve at least age-related expectations by the end of Key Stage 2</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Develop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language, literacy and writing stamina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needed to access the full curriculum confidently</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 school regularly and engage positively in learning</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Demonstrate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secure emotional regulation, resilience and positive behaviour</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equal access to enrichment, leadership opportunities and cultural capital</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Feel safe, supported and included within a highly inclusive school community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the end of Year 6, we expect attainment gaps to be closed and pupils to leave Hetton Lyons as confident, articulate and aspirational learners.</w:t>
            </w:r>
          </w:p>
          <w:p w:rsidR="00000000" w:rsidDel="00000000" w:rsidP="00000000" w:rsidRDefault="00000000" w:rsidRPr="00000000" w14:paraId="00000035">
            <w:pPr>
              <w:spacing w:line="240" w:lineRule="auto"/>
              <w:rPr>
                <w:color w:val="000000"/>
              </w:rPr>
            </w:pPr>
            <w:r w:rsidDel="00000000" w:rsidR="00000000" w:rsidRPr="00000000">
              <w:rPr>
                <w:color w:val="000000"/>
                <w:rtl w:val="0"/>
              </w:rPr>
              <w:t xml:space="preserve">In addition, we aim to ensure that disadvantaged pupils experience the </w:t>
            </w:r>
            <w:r w:rsidDel="00000000" w:rsidR="00000000" w:rsidRPr="00000000">
              <w:rPr>
                <w:i w:val="1"/>
                <w:iCs w:val="1"/>
                <w:color w:val="000000"/>
                <w:rtl w:val="0"/>
              </w:rPr>
              <w:t xml:space="preserve">full breadth of our curriculum</w:t>
            </w:r>
            <w:r w:rsidDel="00000000" w:rsidR="00000000" w:rsidRPr="00000000">
              <w:rPr>
                <w:color w:val="000000"/>
                <w:rtl w:val="0"/>
              </w:rPr>
              <w:t xml:space="preserve">, including high-quality educational visits, visitors, enrichment activities and extracurricular opportunities that build cultural capital, aspiration and a strong sense of belonging. Through curriculum-linked visits, celebration of the Hetton community, and early exposure to careers and real-world pathways, we ensure pupils develop confidence, curiosity and ambition for their futures, not just academic success.</w:t>
            </w:r>
          </w:p>
          <w:p w:rsidR="00000000" w:rsidDel="00000000" w:rsidP="00000000" w:rsidRDefault="00000000" w:rsidRPr="00000000" w14:paraId="00000036">
            <w:pPr>
              <w:pStyle w:val="Heading3"/>
              <w:rPr>
                <w:sz w:val="24"/>
                <w:szCs w:val="24"/>
              </w:rPr>
            </w:pPr>
            <w:r w:rsidDel="00000000" w:rsidR="00000000" w:rsidRPr="00000000">
              <w:rPr>
                <w:sz w:val="24"/>
                <w:szCs w:val="24"/>
                <w:rtl w:val="0"/>
              </w:rPr>
              <w:t xml:space="preserve">2. How our pupil premium strategy works towards achieving these objectives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current pupil premium strategy works towards these objectives by addressing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root causes of underachievement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rather than focusing solely on surface-level academic gaps.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strategy:</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Prioritises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readiness to learn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through targeted investment in wellbeing, mental health support, nurture and family engagement</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Strengthens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communication, language and oracy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recognising these as foundational to reading comprehension and writing success</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targeted academic intervention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 reading and writing, alongside consistently high-quality, adaptive teaching</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Tackles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attendance and engagement barriers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through early intervention, strong relationships with families and contextualised monitoring</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Removes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practical and financial barriers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that limit access to learning and enrichment</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early identification and tailored support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pupils with SEND or emerging needs, preventing escalation over time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These approaches are deliberately interlinked. Academic interventions are most effective when pupils are emotionally regulated, present in school and confident communicators.</w:t>
            </w:r>
          </w:p>
          <w:p w:rsidR="00000000" w:rsidDel="00000000" w:rsidP="00000000" w:rsidRDefault="00000000" w:rsidRPr="00000000" w14:paraId="00000040">
            <w:pPr>
              <w:pStyle w:val="Heading3"/>
              <w:keepNext w:val="0"/>
              <w:spacing w:after="80" w:before="280" w:lineRule="auto"/>
              <w:rPr>
                <w:color w:val="000000"/>
                <w:sz w:val="24"/>
                <w:szCs w:val="24"/>
              </w:rPr>
            </w:pPr>
            <w:bookmarkStart w:colFirst="0" w:colLast="0" w:name="_heading=h.wqvbyhnq4uhs" w:id="2"/>
            <w:bookmarkEnd w:id="2"/>
            <w:r w:rsidDel="00000000" w:rsidR="00000000" w:rsidRPr="00000000">
              <w:rPr>
                <w:color w:val="000000"/>
                <w:sz w:val="24"/>
                <w:szCs w:val="24"/>
                <w:rtl w:val="0"/>
              </w:rPr>
              <w:t xml:space="preserve">2a. Curriculum breadth, enrichment and community connection</w:t>
            </w:r>
          </w:p>
          <w:p w:rsidR="00000000" w:rsidDel="00000000" w:rsidP="00000000" w:rsidRDefault="00000000" w:rsidRPr="00000000" w14:paraId="00000041">
            <w:pPr>
              <w:spacing w:before="240" w:line="240" w:lineRule="auto"/>
              <w:ind w:left="0" w:right="600" w:firstLine="0"/>
              <w:rPr>
                <w:color w:val="000000"/>
              </w:rPr>
            </w:pPr>
            <w:r w:rsidDel="00000000" w:rsidR="00000000" w:rsidRPr="00000000">
              <w:rPr>
                <w:color w:val="000000"/>
                <w:rtl w:val="0"/>
              </w:rPr>
              <w:t xml:space="preserve">Pupil Premium funding is used to ensure disadvantaged pupils fully access the breadth of the curriculum through educational visits, visitors, enrichment experiences and extracurricular activities. These experiences are carefully mapped to curriculum content and are not add-ons. They are designed to deepen knowledge, develop vocabulary, strengthen engagement and build cultural capital.</w:t>
            </w:r>
          </w:p>
          <w:p w:rsidR="00000000" w:rsidDel="00000000" w:rsidP="00000000" w:rsidRDefault="00000000" w:rsidRPr="00000000" w14:paraId="00000042">
            <w:pPr>
              <w:spacing w:before="240" w:line="240" w:lineRule="auto"/>
              <w:ind w:left="0" w:right="600" w:firstLine="0"/>
              <w:rPr>
                <w:color w:val="000000"/>
              </w:rPr>
            </w:pPr>
            <w:r w:rsidDel="00000000" w:rsidR="00000000" w:rsidRPr="00000000">
              <w:rPr>
                <w:color w:val="000000"/>
                <w:rtl w:val="0"/>
              </w:rPr>
              <w:t xml:space="preserve">Our curriculum enrichment programme explicitly celebrates the Hetton community and local context through fieldwork walks, heritage visits, local employers, museums and community organisations. Pupils encounter authors, artists, scientists, emergency services and local industries, enabling them to see learning as relevant, purposeful and connected to real life.</w:t>
            </w:r>
          </w:p>
          <w:p w:rsidR="00000000" w:rsidDel="00000000" w:rsidP="00000000" w:rsidRDefault="00000000" w:rsidRPr="00000000" w14:paraId="00000043">
            <w:pPr>
              <w:spacing w:before="240" w:line="240" w:lineRule="auto"/>
              <w:ind w:left="0" w:right="600" w:firstLine="0"/>
              <w:rPr>
                <w:color w:val="000000"/>
              </w:rPr>
            </w:pPr>
            <w:r w:rsidDel="00000000" w:rsidR="00000000" w:rsidRPr="00000000">
              <w:rPr>
                <w:color w:val="000000"/>
                <w:rtl w:val="0"/>
              </w:rPr>
              <w:t xml:space="preserve">Early careers awareness is woven throughout the curriculum through visits to local employers (e.g. Nissan), themed workshops, author visits, STEM activities and role modelling. This ensures disadvantaged pupils develop aspiration, confidence and an understanding of future pathways from an early age.</w:t>
            </w:r>
          </w:p>
          <w:p w:rsidR="00000000" w:rsidDel="00000000" w:rsidP="00000000" w:rsidRDefault="00000000" w:rsidRPr="00000000" w14:paraId="00000044">
            <w:pPr>
              <w:pStyle w:val="Heading3"/>
              <w:rPr>
                <w:sz w:val="24"/>
                <w:szCs w:val="24"/>
              </w:rPr>
            </w:pPr>
            <w:r w:rsidDel="00000000" w:rsidR="00000000" w:rsidRPr="00000000">
              <w:rPr>
                <w:sz w:val="24"/>
                <w:szCs w:val="24"/>
                <w:rtl w:val="0"/>
              </w:rPr>
              <w:t xml:space="preserve">3. Key principles underpinning our pupil premium strategy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pupil premium strategy is guided by the following core principles:</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Contextual intelligence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t xml:space="preserve">Decisions are informed by detailed analysis of IDACI, health deprivation, attendance patterns and safeguarding data, ensuring funding reflects real and persistent need.</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Prevention and early intervention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t xml:space="preserve">We invest in early identification, nurture and family support to reduce long-term barriers and avoid crisis-driven responses.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Inclusion before intervention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t xml:space="preserve">We prioritise inclusive, trauma-informed practice and specialist provision to ensure pupils can access learning successfully before gaps widen.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High-quality teaching for all</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t xml:space="preserve">Adaptive teaching and professional development are central, ensuring disadvantaged pupils benefit first and most from strong classroom practice.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Sustained engagement over short-term gains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t xml:space="preserve">We recognise that progress for some pupils is non-linear; success is measured through attendance, engagement, wellbeing and long-term outcomes as well as attainment.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color w:val="000000"/>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Rigorous evaluation and honest reflection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t xml:space="preserve">Impact is reviewed regularly, with strategies refined in response to evidence. We are clear about what is working well and where further improvement is needed.</w:t>
            </w:r>
            <w:r w:rsidDel="00000000" w:rsidR="00000000" w:rsidRPr="00000000">
              <w:rPr>
                <w:rtl w:val="0"/>
              </w:rPr>
            </w:r>
          </w:p>
        </w:tc>
      </w:tr>
    </w:tbl>
    <w:p w:rsidR="00000000" w:rsidDel="00000000" w:rsidP="00000000" w:rsidRDefault="00000000" w:rsidRPr="00000000" w14:paraId="0000004C">
      <w:pPr>
        <w:pStyle w:val="Heading2"/>
        <w:spacing w:before="600" w:lineRule="auto"/>
        <w:rPr/>
      </w:pPr>
      <w:r w:rsidDel="00000000" w:rsidR="00000000" w:rsidRPr="00000000">
        <w:rPr>
          <w:rtl w:val="0"/>
        </w:rPr>
        <w:t xml:space="preserve">Challenges</w:t>
      </w:r>
    </w:p>
    <w:p w:rsidR="00000000" w:rsidDel="00000000" w:rsidP="00000000" w:rsidRDefault="00000000" w:rsidRPr="00000000" w14:paraId="0000004D">
      <w:pPr>
        <w:rPr/>
      </w:pPr>
      <w:r w:rsidDel="00000000" w:rsidR="00000000" w:rsidRPr="00000000">
        <w:rPr>
          <w:rtl w:val="0"/>
        </w:rPr>
        <w:t xml:space="preserve">This details the key challenges to achievement that we have identified among our disadvantaged pupils.</w:t>
      </w:r>
    </w:p>
    <w:tbl>
      <w:tblPr>
        <w:tblStyle w:val="Table4"/>
        <w:tblW w:w="9486.0" w:type="dxa"/>
        <w:jc w:val="left"/>
        <w:tblLayout w:type="fixed"/>
        <w:tblLook w:val="0400"/>
      </w:tblPr>
      <w:tblGrid>
        <w:gridCol w:w="1477"/>
        <w:gridCol w:w="8009"/>
        <w:tblGridChange w:id="0">
          <w:tblGrid>
            <w:gridCol w:w="1477"/>
            <w:gridCol w:w="800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Detail of challenge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High levels of health deprivation and associated SEMH needs impact pupils’ readiness to learn.</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A significant proportion of disadvantaged pupils live in areas within the most deprived national bands for health, which is reflected in elevated levels of anxiety, emotional dysregulation, behavioural difficulty and reduced learning stamina. These factors affect engagement, attendance, and the ability to sustain concentration and effort in lessons, particularly in writing and extended tasks.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Lower starting points in speech, language and communication limit access to the curriculum.</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Many disadvantaged pupils enter school with delayed language development, limited vocabulary and reduced oracy. This impacts phonics acquisition, reading comprehension, and particularly written expression, where pupils struggle to articulate ideas, organise writing and sustain independent composition across the curriculum.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Attendance and continuity of learning are affected by poverty, health needs and mobility.</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While attendance has improved over time, disadvantaged pupils are more likely to experience absence linked to illness, family circumstances and, for a small group, seasonal travel associated with Traveller lifestyles. Interrupted attendance can lead to cumulative learning gaps without rapid, targeted catch-up and reintegration support.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Compound disadvantage increases the complexity of need for a significant cohort of pupils.</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Many disadvantaged pupils also have SEND, SEMH needs or are EAL learners, meaning barriers overlap and intensify. Without early identification, inclusive provision and carefully adapted teaching, these pupils are at greater risk of disengagement, exclusion from learning and widening gaps over time.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bookmarkStart w:colFirst="0" w:colLast="0" w:name="_heading=h.wfqq0yd7m9s" w:id="3"/>
            <w:bookmarkEnd w:id="3"/>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Limited access to enrichment and cultural capital restricts aspiration and curriculum engagement.</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Financial hardship reduces access to wider experiences that build confidence, vocabulary, background knowledge and motivation. Without school-led intervention, disadvantaged pupils may have fewer opportunities to develop aspirations, leadership skills and a sense of belonging within the wider curriculum and school community. This includes limited exposure to careers, local employers, role models and community pathways, which can restrict pupils’ understanding of future possibilities and reduce motivation and aspiration.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Writing stamina and extended composition remain a relative area of weakness for some disadvantaged pupils.</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Despite strong progress in reading, a proportion of disadvantaged pupils find it difficult to sustain writing, apply transcription skills accurately, and organise ideas independently. This is closely linked to language development, SEMH needs and interrupted learning and requires targeted, structured support.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Sustaining strong reading outcomes and developing comprehension remains a priority.</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Although the school has embedded a coherent reading curriculum with structured pedagogy and assessment, KS2 statutory outcomes over the past three years have shown a slight decline and remain below national averages for some cohorts. Disadvantaged pupils may not yet fully benefit from reading-for-pleasure initiatives or oracy-rich lessons, limiting their ability to reason, infer, and articulate understanding of texts. This challenge is explicitly addressed through Voice 21 oracy strategies, targeted reading interventions, greater depth provision, and strengthened parental engagement.</w:t>
            </w:r>
            <w:r w:rsidDel="00000000" w:rsidR="00000000" w:rsidRPr="00000000">
              <w:rPr>
                <w:rtl w:val="0"/>
              </w:rPr>
            </w:r>
          </w:p>
        </w:tc>
      </w:tr>
    </w:tbl>
    <w:p w:rsidR="00000000" w:rsidDel="00000000" w:rsidP="00000000" w:rsidRDefault="00000000" w:rsidRPr="00000000" w14:paraId="0000005E">
      <w:pPr>
        <w:pStyle w:val="Heading2"/>
        <w:spacing w:before="600" w:lineRule="auto"/>
        <w:rPr/>
      </w:pPr>
      <w:r w:rsidDel="00000000" w:rsidR="00000000" w:rsidRPr="00000000">
        <w:rPr>
          <w:rtl w:val="0"/>
        </w:rPr>
        <w:t xml:space="preserve">Intended outcomes </w:t>
      </w:r>
    </w:p>
    <w:p w:rsidR="00000000" w:rsidDel="00000000" w:rsidP="00000000" w:rsidRDefault="00000000" w:rsidRPr="00000000" w14:paraId="0000005F">
      <w:pPr>
        <w:rPr/>
      </w:pPr>
      <w:r w:rsidDel="00000000" w:rsidR="00000000" w:rsidRPr="00000000">
        <w:rPr>
          <w:color w:val="000000"/>
          <w:rtl w:val="0"/>
        </w:rPr>
        <w:t xml:space="preserve">This explains the outcomes we are aiming for </w:t>
      </w:r>
      <w:r w:rsidDel="00000000" w:rsidR="00000000" w:rsidRPr="00000000">
        <w:rPr>
          <w:b w:val="1"/>
          <w:bCs w:val="1"/>
          <w:color w:val="000000"/>
          <w:rtl w:val="0"/>
        </w:rPr>
        <w:t xml:space="preserve">by the end of our current strategy plan</w:t>
      </w:r>
      <w:r w:rsidDel="00000000" w:rsidR="00000000" w:rsidRPr="00000000">
        <w:rPr>
          <w:color w:val="000000"/>
          <w:rtl w:val="0"/>
        </w:rPr>
        <w:t xml:space="preserve">, and how we will measure whether they have been achieved.</w:t>
      </w:r>
      <w:r w:rsidDel="00000000" w:rsidR="00000000" w:rsidRPr="00000000">
        <w:rPr>
          <w:rtl w:val="0"/>
        </w:rPr>
      </w:r>
    </w:p>
    <w:tbl>
      <w:tblPr>
        <w:tblStyle w:val="Table5"/>
        <w:tblW w:w="9486.0" w:type="dxa"/>
        <w:jc w:val="left"/>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Intended outcome</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Success criteria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1. Disadvantaged pupils make strong, sustained progress in reading across EYFS–Y6</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Disadvantaged pupils’ reading attainment shows upward trend term-on-term, closing gaps with non-disadvantaged peers.</w:t>
              <w:br w:type="textWrapping"/>
              <w:t xml:space="preserve">- KS2 internal assessment and statutory outcomes show progress in line with or exceeding national averages by end of Year 3.</w:t>
              <w:br w:type="textWrapping"/>
              <w:t xml:space="preserve">- Pupil voice demonstrates improved confidence in reading and ability to discuss texts, articulate reasoning, and make inferences.</w:t>
              <w:br w:type="textWrapping"/>
              <w:t xml:space="preserve">- Increased proportion of disadvantaged pupils working at greater depth in reading.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 Disadvantaged pupils develop strong writing skills, stamina, and composition across the curriculum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Writing attainment of disadvantaged pupils shows consistent improvement across year groups, narrowing the gap with peers.</w:t>
              <w:br w:type="textWrapping"/>
              <w:t xml:space="preserve">- Extended writing samples demonstrate clear progression in structure, punctuation, grammar, spelling and handwriting.</w:t>
              <w:br w:type="textWrapping"/>
              <w:t xml:space="preserve">- Staff assessment data and moderation show accurate tracking of progress for disadvantaged pupils.</w:t>
              <w:br w:type="textWrapping"/>
              <w:t xml:space="preserve">- Increased proportion of disadvantaged pupils achieving expected and greater depth writing outcomes by Year 6.</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3. Pupils demonstrate improved language and oracy skills supporting reading comprehension and writing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Observations and learning walks show consistent use of oracy strategies in all classrooms.</w:t>
              <w:br w:type="textWrapping"/>
              <w:t xml:space="preserve">- Pupils use precise vocabulary and articulate understanding confidently.</w:t>
              <w:br w:type="textWrapping"/>
              <w:t xml:space="preserve">- Voice 21 oracy interventions evidence measurable improvements in reasoning, inference and comprehension skills.</w:t>
              <w:br w:type="textWrapping"/>
              <w:t xml:space="preserve">- Disadvantaged pupils participate actively in class discussions, showing improved confidence in speaking and listening.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4. Attendance of disadvantaged pupils continues to improve and persistent absence reduces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sdt>
              <w:sdtPr>
                <w:id w:val="1238286126"/>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d0d0d"/>
                    <w:sz w:val="24"/>
                    <w:szCs w:val="24"/>
                    <w:u w:val="none"/>
                    <w:shd w:fill="auto" w:val="clear"/>
                    <w:vertAlign w:val="baseline"/>
                    <w:rtl w:val="0"/>
                  </w:rPr>
                  <w:t xml:space="preserve">- Overall disadvantaged pupil attendance improves toward school target (e.g., ≥95%).</w:t>
                  <w:br w:type="textWrapping"/>
                  <w:t xml:space="preserve">- Persistent absence for disadvantaged pupils reduces by at least 1–2% year-on-year.</w:t>
                  <w:br w:type="textWrapping"/>
                  <w:t xml:space="preserve">- Traveller absence continues to remain below 0.5%.</w:t>
                  <w:br w:type="textWrapping"/>
                  <w:t xml:space="preserve">- Attendance monitoring shows early identification and timely intervention for at-risk pupils.</w:t>
                </w:r>
              </w:sdtContent>
            </w:sdt>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5. Pupils’ SEMH needs are effectively supported, leading to improved readiness to learn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Reduced behavioural incidents and exclusions for disadvantaged pupils.</w:t>
              <w:br w:type="textWrapping"/>
              <w:t xml:space="preserve">- Pupils demonstrate improved self-regulation and resilience (measured through Zones of Regulation check-ins, Nurture Programme assessments, and counsellor records).</w:t>
              <w:br w:type="textWrapping"/>
              <w:t xml:space="preserve">- Pupil voice confirms they feel safe, supported and able to engage in learning.</w:t>
              <w:br w:type="textWrapping"/>
              <w:t xml:space="preserve">- Family Support Worker interventions show positive outcomes in engagement and home–school routines.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6. Disadvantaged pupils have equitable access to enrichment, leadership and cultural capital opportunities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Participation in clubs, school council, trips and leadership roles reflects the proportion of disadvantaged pupils in the school.</w:t>
              <w:br w:type="textWrapping"/>
              <w:t xml:space="preserve">- Pupil voice and engagement surveys show increased confidence, aspiration and enjoyment of curriculum opportunities.</w:t>
              <w:br w:type="textWrapping"/>
              <w:t xml:space="preserve">- Funded experiences (e.g., Derwent Hill, visits, workshops) are accessed by all eligible pupils.</w:t>
              <w:br w:type="textWrapping"/>
              <w:t xml:space="preserve">- Increased evidence of cross-curricular links and enrichment influencing academic engagement and outcomes.</w:t>
            </w:r>
          </w:p>
          <w:p w:rsidR="00000000" w:rsidDel="00000000" w:rsidP="00000000" w:rsidRDefault="00000000" w:rsidRPr="00000000" w14:paraId="0000006E">
            <w:pPr>
              <w:spacing w:after="60" w:before="60" w:line="240" w:lineRule="auto"/>
              <w:rPr/>
            </w:pPr>
            <w:r w:rsidDel="00000000" w:rsidR="00000000" w:rsidRPr="00000000">
              <w:rPr>
                <w:rtl w:val="0"/>
              </w:rPr>
              <w:t xml:space="preserve">- Disadvantaged pupils can articulate learning gained from visits, visitors and clubs, including links to future careers and aspirations.</w:t>
            </w:r>
          </w:p>
          <w:p w:rsidR="00000000" w:rsidDel="00000000" w:rsidP="00000000" w:rsidRDefault="00000000" w:rsidRPr="00000000" w14:paraId="0000006F">
            <w:pPr>
              <w:spacing w:after="60" w:before="60" w:line="240" w:lineRule="auto"/>
              <w:rPr/>
            </w:pPr>
            <w:r w:rsidDel="00000000" w:rsidR="00000000" w:rsidRPr="00000000">
              <w:rPr>
                <w:rtl w:val="0"/>
              </w:rPr>
              <w:t xml:space="preserve">- Pupils demonstrate increased confidence, independence, teamwork and engagement as a result of participation in enrichment and extracurricular provision.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7. SEND and Traveller pupils access targeted support, ensuring gaps do not widen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Individualised provision plans for SEND and Traveller pupils are implemented with fidelity.</w:t>
              <w:br w:type="textWrapping"/>
              <w:t xml:space="preserve">- Progress of these pupils is at least in line with their peers, with no widening of attainment gaps.</w:t>
              <w:br w:type="textWrapping"/>
              <w:t xml:space="preserve">- Successful reintegration into mainstream classrooms from The Nest, The Den or Traveller interventions.</w:t>
              <w:br w:type="textWrapping"/>
              <w:t xml:space="preserve">- Positive parent and pupil feedback demonstrates engagement and satisfaction with support provided.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8. Leadership and staff capacity drives consistent quality in teaching and intervention for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Teaching and support staff demonstrate secure knowledge and consistent application of reading, writing and SEMH strategies.</w:t>
              <w:br w:type="textWrapping"/>
              <w:t xml:space="preserve">- Lesson observations, learning walks and book looks evidence high-quality, adaptive teaching for disadvantaged pupils.</w:t>
              <w:br w:type="textWrapping"/>
              <w:t xml:space="preserve">- Staff survey and appraisal evidence improved confidence, retention and satisfaction.</w:t>
              <w:br w:type="textWrapping"/>
              <w:t xml:space="preserve">- Subject leads (Reading/Writing/SEND) drive measurable improvements, evidenced in pupil outcomes and internal monitoring.</w:t>
            </w:r>
          </w:p>
        </w:tc>
      </w:tr>
    </w:tbl>
    <w:p w:rsidR="00000000" w:rsidDel="00000000" w:rsidP="00000000" w:rsidRDefault="00000000" w:rsidRPr="00000000" w14:paraId="00000074">
      <w:pPr>
        <w:pStyle w:val="Heading2"/>
        <w:rPr/>
      </w:pPr>
      <w:r w:rsidDel="00000000" w:rsidR="00000000" w:rsidRPr="00000000">
        <w:rPr>
          <w:rtl w:val="0"/>
        </w:rPr>
        <w:t xml:space="preserve">Activity in this academic year</w:t>
      </w:r>
    </w:p>
    <w:p w:rsidR="00000000" w:rsidDel="00000000" w:rsidP="00000000" w:rsidRDefault="00000000" w:rsidRPr="00000000" w14:paraId="00000075">
      <w:pPr>
        <w:spacing w:after="480" w:lineRule="auto"/>
        <w:rPr/>
      </w:pPr>
      <w:r w:rsidDel="00000000" w:rsidR="00000000" w:rsidRPr="00000000">
        <w:rPr>
          <w:rtl w:val="0"/>
        </w:rPr>
        <w:t xml:space="preserve">This details how we intend to spend our pupil premium funding </w:t>
      </w:r>
      <w:r w:rsidDel="00000000" w:rsidR="00000000" w:rsidRPr="00000000">
        <w:rPr>
          <w:b w:val="1"/>
          <w:bCs w:val="1"/>
          <w:rtl w:val="0"/>
        </w:rPr>
        <w:t xml:space="preserve">this academic year</w:t>
      </w:r>
      <w:r w:rsidDel="00000000" w:rsidR="00000000" w:rsidRPr="00000000">
        <w:rPr>
          <w:rtl w:val="0"/>
        </w:rPr>
        <w:t xml:space="preserve"> to address the challenges listed above.</w:t>
      </w:r>
    </w:p>
    <w:p w:rsidR="00000000" w:rsidDel="00000000" w:rsidP="00000000" w:rsidRDefault="00000000" w:rsidRPr="00000000" w14:paraId="00000076">
      <w:pPr>
        <w:pStyle w:val="Heading3"/>
        <w:rPr/>
      </w:pPr>
      <w:r w:rsidDel="00000000" w:rsidR="00000000" w:rsidRPr="00000000">
        <w:rPr>
          <w:rtl w:val="0"/>
        </w:rPr>
        <w:t xml:space="preserve">Teaching (for example, CPD, recruitment and retention)</w:t>
      </w:r>
    </w:p>
    <w:p w:rsidR="00000000" w:rsidDel="00000000" w:rsidP="00000000" w:rsidRDefault="00000000" w:rsidRPr="00000000" w14:paraId="00000077">
      <w:pPr>
        <w:rPr/>
      </w:pPr>
      <w:r w:rsidDel="00000000" w:rsidR="00000000" w:rsidRPr="00000000">
        <w:rPr>
          <w:rtl w:val="0"/>
        </w:rPr>
        <w:t xml:space="preserve">Budgeted cost: £80000</w:t>
      </w:r>
    </w:p>
    <w:tbl>
      <w:tblPr>
        <w:tblStyle w:val="Table6"/>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CPD for teachers and TAs on adaptive teaching, scaffolding, retrieval practice, and differentiation for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Research shows high-quality teaching has the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greatest impact on disadvantaged pupils</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(EEF, 2022); internal lesson observations and book scrutiny indicate adaptive teaching improves progress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4, 6, 7, 8</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CPD on reading pedagogy, including Voice 21 oracy project, fluency, comprehension strategies, and greater depth provision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Ofsted reading research highlights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oracy and talk-rich classrooms</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as key to improving comprehension; internal review shows reading attainment for disadvantaged pupils improving but not fully reflected in statutory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2, 7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CPD and coaching on writing progression, handwriting, spelling, and grammar instruction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EEF evidence shows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structured writing and transcription support improves outcomes</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internal monitoring shows improved writing attainment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Recruitment/retention of high-quality teaching staff, including specialist Reading/Writing Leads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Consistency of staffing supports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sustained improvement in teaching and learning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Mentoring and induction for ECTs, new TAs, and middle leaders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Internal evaluation indicates that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structured induction accelerates staff impact on disadvantaged pupils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8</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Leadership coaching for Reading/Writing Leads and ASD Provision Leader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Strong subject leadership drives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curriculum fidelity, monitoring, and pupil progress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8</w:t>
            </w:r>
          </w:p>
        </w:tc>
      </w:tr>
    </w:tbl>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pStyle w:val="Heading3"/>
        <w:rPr/>
      </w:pPr>
      <w:r w:rsidDel="00000000" w:rsidR="00000000" w:rsidRPr="00000000">
        <w:rPr>
          <w:rtl w:val="0"/>
        </w:rPr>
        <w:t xml:space="preserve">Targeted academic support (for example, tutoring, one-to-one support, structured interventions) </w:t>
      </w:r>
    </w:p>
    <w:p w:rsidR="00000000" w:rsidDel="00000000" w:rsidP="00000000" w:rsidRDefault="00000000" w:rsidRPr="00000000" w14:paraId="0000008F">
      <w:pPr>
        <w:rPr/>
      </w:pPr>
      <w:r w:rsidDel="00000000" w:rsidR="00000000" w:rsidRPr="00000000">
        <w:rPr>
          <w:rtl w:val="0"/>
        </w:rPr>
        <w:t xml:space="preserve">Budgeted cost: £57000</w:t>
      </w:r>
    </w:p>
    <w:tbl>
      <w:tblPr>
        <w:tblStyle w:val="Table7"/>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Phonics catch-up and structured reading interventions (small group/1:1)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EEF: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Phonics interventions accelerate early reading outcomes</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particularly for disadvantaged pupils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2, 7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Targeted reading comprehension &amp; fluency tutoring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Research indicates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structured reading interventions improve attainment and narrow gaps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2, 7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Writing interventions focusing on stamina, composition, grammar, and punctuation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Internal review shows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targeted writing support improves progress for disadvantaged pupils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Maths interventions for pupils below expected standard</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EEF evidence: small group tuition and targeted support improve attainment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Greater depth reading and writing provision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Ensures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stretch and challenge</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supporting higher-attaining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6, 7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Targeted 1:1 support for SEND and Traveller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Internal evaluation shows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individualised support accelerates learning and improves reintegration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EYFS speech and language support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Early intervention critical for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bridging communication and language gaps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Structured tutoring during holiday periods for pupils with disrupted attendance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Research: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catch-up support mitigates learning loss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3, 4</w:t>
            </w:r>
          </w:p>
        </w:tc>
      </w:tr>
    </w:tbl>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pStyle w:val="Heading3"/>
        <w:rPr/>
      </w:pPr>
      <w:r w:rsidDel="00000000" w:rsidR="00000000" w:rsidRPr="00000000">
        <w:rPr>
          <w:rtl w:val="0"/>
        </w:rPr>
        <w:t xml:space="preserve">Wider strategies (for example, related to attendance, behaviour, wellbeing)</w:t>
      </w:r>
    </w:p>
    <w:p w:rsidR="00000000" w:rsidDel="00000000" w:rsidP="00000000" w:rsidRDefault="00000000" w:rsidRPr="00000000" w14:paraId="000000AD">
      <w:pPr>
        <w:spacing w:after="120" w:before="240" w:lineRule="auto"/>
        <w:rPr/>
      </w:pPr>
      <w:r w:rsidDel="00000000" w:rsidR="00000000" w:rsidRPr="00000000">
        <w:rPr>
          <w:rtl w:val="0"/>
        </w:rPr>
        <w:t xml:space="preserve">Budgeted cost: £50000</w:t>
      </w:r>
    </w:p>
    <w:tbl>
      <w:tblPr>
        <w:tblStyle w:val="Table8"/>
        <w:tblW w:w="9486.0" w:type="dxa"/>
        <w:jc w:val="left"/>
        <w:tblLayout w:type="fixed"/>
        <w:tblLook w:val="0400"/>
      </w:tblPr>
      <w:tblGrid>
        <w:gridCol w:w="2688"/>
        <w:gridCol w:w="4254"/>
        <w:gridCol w:w="2544"/>
        <w:tblGridChange w:id="0">
          <w:tblGrid>
            <w:gridCol w:w="2688"/>
            <w:gridCol w:w="4254"/>
            <w:gridCol w:w="25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Activity</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Evidence that supports this approach</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Challenge number(s) addressed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Family Support Worker targeted interventions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Internal evaluation shows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FSW support improves attendance and engagement</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EEF evidence: family engagement improves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1, 3, 4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School-based counsellor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EEF: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SEMH interventions support readiness to learn</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internal monitoring shows improved engagement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Mental Health Support Team interventions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Evidence-based MHST programmes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support emotional regulation</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and attendance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Nurture programme &amp; The Nest/The Den support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Research: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Nurture provision improves behaviour, social skills, and reintegration outcomes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1, 4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Attendance monitoring &amp; early intervention strategies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Attendance linked to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progress and attainment</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internal tracking shows persistent absence reduction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smallCaps w:val="0"/>
                <w:strike w:val="0"/>
                <w:color w:val="0d0d0d"/>
                <w:u w:val="none"/>
                <w:shd w:fill="auto" w:val="clear"/>
                <w:vertAlign w:val="baseline"/>
              </w:rPr>
            </w:pPr>
            <w:r w:rsidDel="00000000" w:rsidR="00000000" w:rsidRPr="00000000">
              <w:rPr>
                <w:rtl w:val="0"/>
              </w:rPr>
              <w:t xml:space="preserve">Curriculum-linked educational visits and visitors; residential experiences (Derwent Hill); leadership roles (FAB Team, School Council); and targeted access to after-school clubs. Disadvantaged pupils are prioritised for after-school clubs, with targeted encouragement and funded places ensuring sustained participation in activities that develop life skills, confidence, resilience and social communication.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Evidence: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cultural capital and extracurricular access improve engagement and aspiration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5</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1"/>
                <w:iCs w:val="1"/>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Reading-for-pleasure initiatives and library enhancement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Research: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reading for pleasure strongly linked to attainment and lifelong literacy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Parental engagement workshops for reading and homework support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EEF: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Parental engagement accelerates pupil progress</w:t>
            </w: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 particularly for disadvantaged pupils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2, 7</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ASD Resource Provision support &amp; sensory-friendly environment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Internal monitoring shows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improved wellbeing and learning outcomes for pupils with ASD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1, 4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Targeted support for vulnerable Traveller pupils during travel periods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Internal evaluation shows </w:t>
            </w: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continuity of learning mitigates attendance dips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3, 4</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t xml:space="preserve">Careers and aspiration development through curriculum enrichment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t xml:space="preserve">Early exposure to careers raises aspiration and engagement (Gatsby Benchmarks – primary adapted); curriculum-linked employer engagement strengthens motivation and relevance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t xml:space="preserve">5, 6</w:t>
            </w:r>
            <w:r w:rsidDel="00000000" w:rsidR="00000000" w:rsidRPr="00000000">
              <w:rPr>
                <w:rtl w:val="0"/>
              </w:rPr>
            </w:r>
          </w:p>
        </w:tc>
      </w:tr>
    </w:tbl>
    <w:p w:rsidR="00000000" w:rsidDel="00000000" w:rsidP="00000000" w:rsidRDefault="00000000" w:rsidRPr="00000000" w14:paraId="000000D2">
      <w:pPr>
        <w:spacing w:after="0" w:before="240" w:lineRule="auto"/>
        <w:rPr>
          <w:b w:val="1"/>
          <w:bCs w:val="1"/>
          <w:color w:val="104f75"/>
          <w:sz w:val="28"/>
          <w:szCs w:val="28"/>
        </w:rPr>
      </w:pPr>
      <w:r w:rsidDel="00000000" w:rsidR="00000000" w:rsidRPr="00000000">
        <w:rPr>
          <w:rtl w:val="0"/>
        </w:rPr>
      </w:r>
    </w:p>
    <w:p w:rsidR="00000000" w:rsidDel="00000000" w:rsidP="00000000" w:rsidRDefault="00000000" w:rsidRPr="00000000" w14:paraId="000000D3">
      <w:pPr>
        <w:rPr>
          <w:i w:val="1"/>
          <w:iCs w:val="1"/>
          <w:color w:val="104f75"/>
          <w:sz w:val="28"/>
          <w:szCs w:val="28"/>
        </w:rPr>
      </w:pPr>
      <w:r w:rsidDel="00000000" w:rsidR="00000000" w:rsidRPr="00000000">
        <w:rPr>
          <w:b w:val="1"/>
          <w:bCs w:val="1"/>
          <w:color w:val="104f75"/>
          <w:sz w:val="28"/>
          <w:szCs w:val="28"/>
          <w:rtl w:val="0"/>
        </w:rPr>
        <w:t xml:space="preserve">Total budgeted cost: £187000</w:t>
      </w:r>
      <w:r w:rsidDel="00000000" w:rsidR="00000000" w:rsidRPr="00000000">
        <w:rPr>
          <w:rtl w:val="0"/>
        </w:rPr>
      </w:r>
    </w:p>
    <w:p w:rsidR="00000000" w:rsidDel="00000000" w:rsidP="00000000" w:rsidRDefault="00000000" w:rsidRPr="00000000" w14:paraId="000000D4">
      <w:pPr>
        <w:spacing w:after="0" w:line="240" w:lineRule="auto"/>
        <w:rPr>
          <w:i w:val="1"/>
          <w:iCs w:val="1"/>
          <w:color w:val="104f75"/>
          <w:sz w:val="28"/>
          <w:szCs w:val="28"/>
        </w:rPr>
        <w:sectPr>
          <w:headerReference r:id="rId8" w:type="default"/>
          <w:footerReference r:id="rId9" w:type="default"/>
          <w:pgSz w:h="16838" w:w="11906" w:orient="portrait"/>
          <w:pgMar w:bottom="1134" w:top="1134" w:left="1134" w:right="1276" w:header="709" w:footer="709"/>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D5">
      <w:pPr>
        <w:pStyle w:val="Heading1"/>
        <w:rPr/>
      </w:pPr>
      <w:r w:rsidDel="00000000" w:rsidR="00000000" w:rsidRPr="00000000">
        <w:rPr>
          <w:rtl w:val="0"/>
        </w:rPr>
        <w:t xml:space="preserve">Part B: Review of the previous academic year</w:t>
      </w:r>
    </w:p>
    <w:tbl>
      <w:tblPr>
        <w:tblStyle w:val="Table9"/>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7"/>
        <w:gridCol w:w="1543"/>
        <w:gridCol w:w="3816"/>
        <w:gridCol w:w="2924"/>
        <w:gridCol w:w="1797"/>
        <w:gridCol w:w="2753"/>
        <w:tblGridChange w:id="0">
          <w:tblGrid>
            <w:gridCol w:w="1727"/>
            <w:gridCol w:w="1543"/>
            <w:gridCol w:w="3816"/>
            <w:gridCol w:w="2924"/>
            <w:gridCol w:w="1797"/>
            <w:gridCol w:w="2753"/>
          </w:tblGrid>
        </w:tblGridChange>
      </w:tblGrid>
      <w:tr>
        <w:trPr>
          <w:cantSplit w:val="0"/>
          <w:tblHeader w:val="0"/>
        </w:trPr>
        <w:tc>
          <w:tcPr/>
          <w:p w:rsidR="00000000" w:rsidDel="00000000" w:rsidP="00000000" w:rsidRDefault="00000000" w:rsidRPr="00000000" w14:paraId="000000D6">
            <w:pPr>
              <w:spacing w:after="0" w:line="240" w:lineRule="auto"/>
              <w:jc w:val="center"/>
              <w:rPr>
                <w:b w:val="1"/>
                <w:bCs w:val="1"/>
                <w:color w:val="000000"/>
              </w:rPr>
            </w:pPr>
            <w:r w:rsidDel="00000000" w:rsidR="00000000" w:rsidRPr="00000000">
              <w:rPr>
                <w:b w:val="1"/>
                <w:bCs w:val="1"/>
                <w:color w:val="000000"/>
                <w:rtl w:val="0"/>
              </w:rPr>
              <w:t xml:space="preserve">Challenge</w:t>
            </w:r>
          </w:p>
        </w:tc>
        <w:tc>
          <w:tcPr/>
          <w:p w:rsidR="00000000" w:rsidDel="00000000" w:rsidP="00000000" w:rsidRDefault="00000000" w:rsidRPr="00000000" w14:paraId="000000D7">
            <w:pPr>
              <w:spacing w:after="0" w:line="240" w:lineRule="auto"/>
              <w:jc w:val="center"/>
              <w:rPr>
                <w:b w:val="1"/>
                <w:bCs w:val="1"/>
                <w:color w:val="000000"/>
              </w:rPr>
            </w:pPr>
            <w:r w:rsidDel="00000000" w:rsidR="00000000" w:rsidRPr="00000000">
              <w:rPr>
                <w:b w:val="1"/>
                <w:bCs w:val="1"/>
                <w:color w:val="000000"/>
                <w:rtl w:val="0"/>
              </w:rPr>
              <w:t xml:space="preserve">Intended Outcome</w:t>
            </w:r>
          </w:p>
        </w:tc>
        <w:tc>
          <w:tcPr/>
          <w:p w:rsidR="00000000" w:rsidDel="00000000" w:rsidP="00000000" w:rsidRDefault="00000000" w:rsidRPr="00000000" w14:paraId="000000D8">
            <w:pPr>
              <w:spacing w:after="0" w:line="240" w:lineRule="auto"/>
              <w:jc w:val="center"/>
              <w:rPr>
                <w:b w:val="1"/>
                <w:bCs w:val="1"/>
                <w:color w:val="000000"/>
              </w:rPr>
            </w:pPr>
            <w:r w:rsidDel="00000000" w:rsidR="00000000" w:rsidRPr="00000000">
              <w:rPr>
                <w:b w:val="1"/>
                <w:bCs w:val="1"/>
                <w:color w:val="000000"/>
                <w:rtl w:val="0"/>
              </w:rPr>
              <w:t xml:space="preserve">PP Strategy / Intervention</w:t>
            </w:r>
          </w:p>
        </w:tc>
        <w:tc>
          <w:tcPr/>
          <w:p w:rsidR="00000000" w:rsidDel="00000000" w:rsidP="00000000" w:rsidRDefault="00000000" w:rsidRPr="00000000" w14:paraId="000000D9">
            <w:pPr>
              <w:spacing w:after="0" w:line="240" w:lineRule="auto"/>
              <w:jc w:val="center"/>
              <w:rPr>
                <w:b w:val="1"/>
                <w:bCs w:val="1"/>
                <w:color w:val="000000"/>
              </w:rPr>
            </w:pPr>
            <w:r w:rsidDel="00000000" w:rsidR="00000000" w:rsidRPr="00000000">
              <w:rPr>
                <w:b w:val="1"/>
                <w:bCs w:val="1"/>
                <w:color w:val="000000"/>
                <w:rtl w:val="0"/>
              </w:rPr>
              <w:t xml:space="preserve">Success Criteria</w:t>
            </w:r>
          </w:p>
        </w:tc>
        <w:tc>
          <w:tcPr/>
          <w:p w:rsidR="00000000" w:rsidDel="00000000" w:rsidP="00000000" w:rsidRDefault="00000000" w:rsidRPr="00000000" w14:paraId="000000DA">
            <w:pPr>
              <w:spacing w:after="0" w:line="240" w:lineRule="auto"/>
              <w:jc w:val="center"/>
              <w:rPr>
                <w:b w:val="1"/>
                <w:bCs w:val="1"/>
                <w:color w:val="000000"/>
              </w:rPr>
            </w:pPr>
            <w:r w:rsidDel="00000000" w:rsidR="00000000" w:rsidRPr="00000000">
              <w:rPr>
                <w:b w:val="1"/>
                <w:bCs w:val="1"/>
                <w:color w:val="000000"/>
                <w:rtl w:val="0"/>
              </w:rPr>
              <w:t xml:space="preserve">Monitoring Method</w:t>
            </w:r>
          </w:p>
        </w:tc>
        <w:tc>
          <w:tcPr/>
          <w:p w:rsidR="00000000" w:rsidDel="00000000" w:rsidP="00000000" w:rsidRDefault="00000000" w:rsidRPr="00000000" w14:paraId="000000DB">
            <w:pPr>
              <w:spacing w:after="0" w:line="240" w:lineRule="auto"/>
              <w:jc w:val="center"/>
              <w:rPr>
                <w:b w:val="1"/>
                <w:bCs w:val="1"/>
                <w:color w:val="000000"/>
              </w:rPr>
            </w:pPr>
            <w:r w:rsidDel="00000000" w:rsidR="00000000" w:rsidRPr="00000000">
              <w:rPr>
                <w:b w:val="1"/>
                <w:bCs w:val="1"/>
                <w:color w:val="000000"/>
                <w:rtl w:val="0"/>
              </w:rPr>
              <w:t xml:space="preserve">Review of Previous Year</w:t>
            </w:r>
          </w:p>
        </w:tc>
      </w:tr>
      <w:tr>
        <w:trPr>
          <w:cantSplit w:val="0"/>
          <w:tblHeader w:val="0"/>
        </w:trPr>
        <w:tc>
          <w:tcPr/>
          <w:p w:rsidR="00000000" w:rsidDel="00000000" w:rsidP="00000000" w:rsidRDefault="00000000" w:rsidRPr="00000000" w14:paraId="000000DC">
            <w:pPr>
              <w:spacing w:after="0" w:line="240" w:lineRule="auto"/>
              <w:rPr>
                <w:color w:val="000000"/>
              </w:rPr>
            </w:pPr>
            <w:r w:rsidDel="00000000" w:rsidR="00000000" w:rsidRPr="00000000">
              <w:rPr>
                <w:color w:val="000000"/>
                <w:rtl w:val="0"/>
              </w:rPr>
              <w:t xml:space="preserve">1. High levels of health deprivation &amp; SEMH needs impact readiness to learn</w:t>
            </w:r>
          </w:p>
        </w:tc>
        <w:tc>
          <w:tcPr/>
          <w:p w:rsidR="00000000" w:rsidDel="00000000" w:rsidP="00000000" w:rsidRDefault="00000000" w:rsidRPr="00000000" w14:paraId="000000DD">
            <w:pPr>
              <w:spacing w:after="0" w:line="240" w:lineRule="auto"/>
              <w:rPr>
                <w:color w:val="000000"/>
              </w:rPr>
            </w:pPr>
            <w:r w:rsidDel="00000000" w:rsidR="00000000" w:rsidRPr="00000000">
              <w:rPr>
                <w:color w:val="000000"/>
                <w:rtl w:val="0"/>
              </w:rPr>
              <w:t xml:space="preserve">Pupils demonstrate improved emotional regulation and readiness to learn</w:t>
            </w:r>
          </w:p>
        </w:tc>
        <w:tc>
          <w:tcPr/>
          <w:p w:rsidR="00000000" w:rsidDel="00000000" w:rsidP="00000000" w:rsidRDefault="00000000" w:rsidRPr="00000000" w14:paraId="000000DE">
            <w:pPr>
              <w:spacing w:after="0" w:line="240" w:lineRule="auto"/>
              <w:rPr>
                <w:color w:val="000000"/>
              </w:rPr>
            </w:pPr>
            <w:r w:rsidDel="00000000" w:rsidR="00000000" w:rsidRPr="00000000">
              <w:rPr>
                <w:color w:val="000000"/>
                <w:rtl w:val="0"/>
              </w:rPr>
              <w:t xml:space="preserve">- Family Support Worker targeted support- School-based counsellor - MHST interventions- 12-week Nurture Programme- Zones of Regulation, daily check-ins, classroom regulation stations</w:t>
            </w:r>
          </w:p>
        </w:tc>
        <w:tc>
          <w:tcPr/>
          <w:p w:rsidR="00000000" w:rsidDel="00000000" w:rsidP="00000000" w:rsidRDefault="00000000" w:rsidRPr="00000000" w14:paraId="000000DF">
            <w:pPr>
              <w:spacing w:after="0" w:line="240" w:lineRule="auto"/>
              <w:rPr>
                <w:color w:val="000000"/>
              </w:rPr>
            </w:pPr>
            <w:r w:rsidDel="00000000" w:rsidR="00000000" w:rsidRPr="00000000">
              <w:rPr>
                <w:color w:val="000000"/>
                <w:rtl w:val="0"/>
              </w:rPr>
              <w:t xml:space="preserve">- Reduced behavioural incidents and exclusions- Pupils show improved self-regulation and engagement- Positive pupil voice on feeling safe and supported</w:t>
            </w:r>
          </w:p>
        </w:tc>
        <w:tc>
          <w:tcPr/>
          <w:p w:rsidR="00000000" w:rsidDel="00000000" w:rsidP="00000000" w:rsidRDefault="00000000" w:rsidRPr="00000000" w14:paraId="000000E0">
            <w:pPr>
              <w:spacing w:after="0" w:line="240" w:lineRule="auto"/>
              <w:rPr>
                <w:color w:val="000000"/>
              </w:rPr>
            </w:pPr>
            <w:r w:rsidDel="00000000" w:rsidR="00000000" w:rsidRPr="00000000">
              <w:rPr>
                <w:color w:val="000000"/>
                <w:rtl w:val="0"/>
              </w:rPr>
              <w:t xml:space="preserve">- Behaviour incident logs- Nurture &amp; counselling reports- Zones of Regulation records- Pupil voice surveys</w:t>
            </w:r>
          </w:p>
        </w:tc>
        <w:tc>
          <w:tcPr/>
          <w:p w:rsidR="00000000" w:rsidDel="00000000" w:rsidP="00000000" w:rsidRDefault="00000000" w:rsidRPr="00000000" w14:paraId="000000E1">
            <w:pPr>
              <w:spacing w:after="0" w:line="240" w:lineRule="auto"/>
              <w:rPr>
                <w:color w:val="000000"/>
              </w:rPr>
            </w:pPr>
            <w:r w:rsidDel="00000000" w:rsidR="00000000" w:rsidRPr="00000000">
              <w:rPr>
                <w:color w:val="000000"/>
                <w:rtl w:val="0"/>
              </w:rPr>
              <w:t xml:space="preserve">Behaviour incidents significantly reduced since 2022/23 following creation of The Nest &amp; The Den; Nurture Programme well-established; positive engagement with FSW support noted.</w:t>
            </w:r>
          </w:p>
        </w:tc>
      </w:tr>
      <w:tr>
        <w:trPr>
          <w:cantSplit w:val="0"/>
          <w:tblHeader w:val="0"/>
        </w:trPr>
        <w:tc>
          <w:tcPr/>
          <w:p w:rsidR="00000000" w:rsidDel="00000000" w:rsidP="00000000" w:rsidRDefault="00000000" w:rsidRPr="00000000" w14:paraId="000000E2">
            <w:pPr>
              <w:spacing w:after="0" w:line="240" w:lineRule="auto"/>
              <w:rPr>
                <w:color w:val="000000"/>
              </w:rPr>
            </w:pPr>
            <w:r w:rsidDel="00000000" w:rsidR="00000000" w:rsidRPr="00000000">
              <w:rPr>
                <w:color w:val="000000"/>
                <w:rtl w:val="0"/>
              </w:rPr>
              <w:t xml:space="preserve">2. Lower starting points in speech, language and communication</w:t>
            </w:r>
          </w:p>
        </w:tc>
        <w:tc>
          <w:tcPr/>
          <w:p w:rsidR="00000000" w:rsidDel="00000000" w:rsidP="00000000" w:rsidRDefault="00000000" w:rsidRPr="00000000" w14:paraId="000000E3">
            <w:pPr>
              <w:spacing w:after="0" w:line="240" w:lineRule="auto"/>
              <w:rPr>
                <w:color w:val="000000"/>
              </w:rPr>
            </w:pPr>
            <w:r w:rsidDel="00000000" w:rsidR="00000000" w:rsidRPr="00000000">
              <w:rPr>
                <w:color w:val="000000"/>
                <w:rtl w:val="0"/>
              </w:rPr>
              <w:t xml:space="preserve">Pupils develop strong language and oracy to access curriculum and writing</w:t>
            </w:r>
          </w:p>
        </w:tc>
        <w:tc>
          <w:tcPr/>
          <w:p w:rsidR="00000000" w:rsidDel="00000000" w:rsidP="00000000" w:rsidRDefault="00000000" w:rsidRPr="00000000" w14:paraId="000000E4">
            <w:pPr>
              <w:spacing w:after="0" w:line="240" w:lineRule="auto"/>
              <w:rPr>
                <w:color w:val="000000"/>
              </w:rPr>
            </w:pPr>
            <w:r w:rsidDel="00000000" w:rsidR="00000000" w:rsidRPr="00000000">
              <w:rPr>
                <w:color w:val="000000"/>
                <w:rtl w:val="0"/>
              </w:rPr>
              <w:t xml:space="preserve">- Voice 21 oracy project- Language-rich classroom environments- Targeted speech and language support- EAL interventions</w:t>
            </w:r>
          </w:p>
        </w:tc>
        <w:tc>
          <w:tcPr/>
          <w:p w:rsidR="00000000" w:rsidDel="00000000" w:rsidP="00000000" w:rsidRDefault="00000000" w:rsidRPr="00000000" w14:paraId="000000E5">
            <w:pPr>
              <w:spacing w:after="0" w:line="240" w:lineRule="auto"/>
              <w:rPr>
                <w:color w:val="000000"/>
              </w:rPr>
            </w:pPr>
            <w:r w:rsidDel="00000000" w:rsidR="00000000" w:rsidRPr="00000000">
              <w:rPr>
                <w:color w:val="000000"/>
                <w:rtl w:val="0"/>
              </w:rPr>
              <w:t xml:space="preserve">- Pupils articulate ideas confidently- Improved vocabulary and comprehension in reading- Evidence of impact on writing composition</w:t>
            </w:r>
          </w:p>
        </w:tc>
        <w:tc>
          <w:tcPr/>
          <w:p w:rsidR="00000000" w:rsidDel="00000000" w:rsidP="00000000" w:rsidRDefault="00000000" w:rsidRPr="00000000" w14:paraId="000000E6">
            <w:pPr>
              <w:spacing w:after="0" w:line="240" w:lineRule="auto"/>
              <w:rPr>
                <w:color w:val="000000"/>
              </w:rPr>
            </w:pPr>
            <w:r w:rsidDel="00000000" w:rsidR="00000000" w:rsidRPr="00000000">
              <w:rPr>
                <w:color w:val="000000"/>
                <w:rtl w:val="0"/>
              </w:rPr>
              <w:t xml:space="preserve">- Lesson observations- Pupil conferencing- Oracy tracking records- Reading &amp; writing assessments</w:t>
            </w:r>
          </w:p>
        </w:tc>
        <w:tc>
          <w:tcPr/>
          <w:p w:rsidR="00000000" w:rsidDel="00000000" w:rsidP="00000000" w:rsidRDefault="00000000" w:rsidRPr="00000000" w14:paraId="000000E7">
            <w:pPr>
              <w:spacing w:after="0" w:line="240" w:lineRule="auto"/>
              <w:rPr>
                <w:color w:val="000000"/>
              </w:rPr>
            </w:pPr>
            <w:r w:rsidDel="00000000" w:rsidR="00000000" w:rsidRPr="00000000">
              <w:rPr>
                <w:color w:val="000000"/>
                <w:rtl w:val="0"/>
              </w:rPr>
              <w:t xml:space="preserve">EAL cohort increasing; TFC EAL advisory support engaged; early indications of improved staff practice in oracy noted; Voice 21 project commencing 2025/26.</w:t>
            </w:r>
          </w:p>
        </w:tc>
      </w:tr>
      <w:tr>
        <w:trPr>
          <w:cantSplit w:val="0"/>
          <w:tblHeader w:val="0"/>
        </w:trPr>
        <w:tc>
          <w:tcPr/>
          <w:p w:rsidR="00000000" w:rsidDel="00000000" w:rsidP="00000000" w:rsidRDefault="00000000" w:rsidRPr="00000000" w14:paraId="000000E8">
            <w:pPr>
              <w:spacing w:after="0" w:line="240" w:lineRule="auto"/>
              <w:rPr>
                <w:color w:val="000000"/>
              </w:rPr>
            </w:pPr>
            <w:r w:rsidDel="00000000" w:rsidR="00000000" w:rsidRPr="00000000">
              <w:rPr>
                <w:color w:val="000000"/>
                <w:rtl w:val="0"/>
              </w:rPr>
              <w:t xml:space="preserve">3. Attendance &amp; continuity of learning affected by deprivation, health &amp; Traveller mobility</w:t>
            </w:r>
          </w:p>
        </w:tc>
        <w:tc>
          <w:tcPr/>
          <w:p w:rsidR="00000000" w:rsidDel="00000000" w:rsidP="00000000" w:rsidRDefault="00000000" w:rsidRPr="00000000" w14:paraId="000000E9">
            <w:pPr>
              <w:spacing w:after="0" w:line="240" w:lineRule="auto"/>
              <w:rPr>
                <w:color w:val="000000"/>
              </w:rPr>
            </w:pPr>
            <w:r w:rsidDel="00000000" w:rsidR="00000000" w:rsidRPr="00000000">
              <w:rPr>
                <w:color w:val="000000"/>
                <w:rtl w:val="0"/>
              </w:rPr>
              <w:t xml:space="preserve">Disadvantaged pupils attend school regularly and engagement is sustained</w:t>
            </w:r>
          </w:p>
        </w:tc>
        <w:tc>
          <w:tcPr/>
          <w:p w:rsidR="00000000" w:rsidDel="00000000" w:rsidP="00000000" w:rsidRDefault="00000000" w:rsidRPr="00000000" w14:paraId="000000EA">
            <w:pPr>
              <w:spacing w:after="0" w:line="240" w:lineRule="auto"/>
              <w:rPr>
                <w:color w:val="000000"/>
              </w:rPr>
            </w:pPr>
            <w:r w:rsidDel="00000000" w:rsidR="00000000" w:rsidRPr="00000000">
              <w:rPr>
                <w:color w:val="000000"/>
                <w:rtl w:val="0"/>
              </w:rPr>
              <w:t xml:space="preserve">- Early identification &amp; tracking of at-risk pupils- Strategic INSET planning to reduce term-time absence- Family Support Worker home engagement- Targeted Traveller support during travel periods</w:t>
            </w:r>
          </w:p>
        </w:tc>
        <w:tc>
          <w:tcPr/>
          <w:p w:rsidR="00000000" w:rsidDel="00000000" w:rsidP="00000000" w:rsidRDefault="00000000" w:rsidRPr="00000000" w14:paraId="000000EB">
            <w:pPr>
              <w:spacing w:after="0" w:line="240" w:lineRule="auto"/>
              <w:rPr>
                <w:color w:val="000000"/>
              </w:rPr>
            </w:pPr>
            <w:sdt>
              <w:sdtPr>
                <w:id w:val="-1929795593"/>
                <w:tag w:val="goog_rdk_1"/>
              </w:sdtPr>
              <w:sdtContent>
                <w:r w:rsidDel="00000000" w:rsidR="00000000" w:rsidRPr="00000000">
                  <w:rPr>
                    <w:rFonts w:ascii="Arial Unicode MS" w:cs="Arial Unicode MS" w:eastAsia="Arial Unicode MS" w:hAnsi="Arial Unicode MS"/>
                    <w:color w:val="000000"/>
                    <w:rtl w:val="0"/>
                  </w:rPr>
                  <w:t xml:space="preserve">- Overall disadvantaged pupil attendance ≥95%- Persistent absence reduced by 1–2% year-on-year- Traveller absence &lt;0.5%</w:t>
                </w:r>
              </w:sdtContent>
            </w:sdt>
          </w:p>
        </w:tc>
        <w:tc>
          <w:tcPr/>
          <w:p w:rsidR="00000000" w:rsidDel="00000000" w:rsidP="00000000" w:rsidRDefault="00000000" w:rsidRPr="00000000" w14:paraId="000000EC">
            <w:pPr>
              <w:spacing w:after="0" w:line="240" w:lineRule="auto"/>
              <w:rPr>
                <w:color w:val="000000"/>
              </w:rPr>
            </w:pPr>
            <w:r w:rsidDel="00000000" w:rsidR="00000000" w:rsidRPr="00000000">
              <w:rPr>
                <w:color w:val="000000"/>
                <w:rtl w:val="0"/>
              </w:rPr>
              <w:t xml:space="preserve">- Attendance registers- PA monitoring- FSW intervention records</w:t>
            </w:r>
          </w:p>
        </w:tc>
        <w:tc>
          <w:tcPr/>
          <w:p w:rsidR="00000000" w:rsidDel="00000000" w:rsidP="00000000" w:rsidRDefault="00000000" w:rsidRPr="00000000" w14:paraId="000000ED">
            <w:pPr>
              <w:spacing w:after="0" w:line="240" w:lineRule="auto"/>
              <w:rPr>
                <w:color w:val="000000"/>
              </w:rPr>
            </w:pPr>
            <w:r w:rsidDel="00000000" w:rsidR="00000000" w:rsidRPr="00000000">
              <w:rPr>
                <w:color w:val="000000"/>
                <w:rtl w:val="0"/>
              </w:rPr>
              <w:t xml:space="preserve">Attendance improving over 3 years; Traveller absence 0.4% in 2024/25; term-time holiday absence reduced from 0.8% to 0.72% across first two half terms 2025/26.</w:t>
            </w:r>
          </w:p>
        </w:tc>
      </w:tr>
      <w:tr>
        <w:trPr>
          <w:cantSplit w:val="0"/>
          <w:tblHeader w:val="0"/>
        </w:trPr>
        <w:tc>
          <w:tcPr/>
          <w:p w:rsidR="00000000" w:rsidDel="00000000" w:rsidP="00000000" w:rsidRDefault="00000000" w:rsidRPr="00000000" w14:paraId="000000EE">
            <w:pPr>
              <w:spacing w:after="0" w:line="240" w:lineRule="auto"/>
              <w:rPr>
                <w:color w:val="000000"/>
              </w:rPr>
            </w:pPr>
            <w:r w:rsidDel="00000000" w:rsidR="00000000" w:rsidRPr="00000000">
              <w:rPr>
                <w:color w:val="000000"/>
                <w:rtl w:val="0"/>
              </w:rPr>
              <w:t xml:space="preserve">4. Compound disadvantage: SEND / SEMH / EAL overlaps</w:t>
            </w:r>
          </w:p>
        </w:tc>
        <w:tc>
          <w:tcPr/>
          <w:p w:rsidR="00000000" w:rsidDel="00000000" w:rsidP="00000000" w:rsidRDefault="00000000" w:rsidRPr="00000000" w14:paraId="000000EF">
            <w:pPr>
              <w:spacing w:after="0" w:line="240" w:lineRule="auto"/>
              <w:rPr>
                <w:color w:val="000000"/>
              </w:rPr>
            </w:pPr>
            <w:r w:rsidDel="00000000" w:rsidR="00000000" w:rsidRPr="00000000">
              <w:rPr>
                <w:color w:val="000000"/>
                <w:rtl w:val="0"/>
              </w:rPr>
              <w:t xml:space="preserve">Targeted support prevents gaps widening and accelerates progress</w:t>
            </w:r>
          </w:p>
        </w:tc>
        <w:tc>
          <w:tcPr/>
          <w:p w:rsidR="00000000" w:rsidDel="00000000" w:rsidP="00000000" w:rsidRDefault="00000000" w:rsidRPr="00000000" w14:paraId="000000F0">
            <w:pPr>
              <w:spacing w:after="0" w:line="240" w:lineRule="auto"/>
              <w:rPr>
                <w:color w:val="000000"/>
              </w:rPr>
            </w:pPr>
            <w:r w:rsidDel="00000000" w:rsidR="00000000" w:rsidRPr="00000000">
              <w:rPr>
                <w:color w:val="000000"/>
                <w:rtl w:val="0"/>
              </w:rPr>
              <w:t xml:space="preserve">- Individualised support plans for SEND/EAL/Traveller pupils- Small group and 1:1 intervention- Adaptive classroom practice</w:t>
            </w:r>
          </w:p>
        </w:tc>
        <w:tc>
          <w:tcPr/>
          <w:p w:rsidR="00000000" w:rsidDel="00000000" w:rsidP="00000000" w:rsidRDefault="00000000" w:rsidRPr="00000000" w14:paraId="000000F1">
            <w:pPr>
              <w:spacing w:after="0" w:line="240" w:lineRule="auto"/>
              <w:rPr>
                <w:color w:val="000000"/>
              </w:rPr>
            </w:pPr>
            <w:r w:rsidDel="00000000" w:rsidR="00000000" w:rsidRPr="00000000">
              <w:rPr>
                <w:color w:val="000000"/>
                <w:rtl w:val="0"/>
              </w:rPr>
              <w:t xml:space="preserve">- Progress in line with peers- Successful reintegration from Nest/Den programmes- Parent/pupil feedback positive</w:t>
            </w:r>
          </w:p>
        </w:tc>
        <w:tc>
          <w:tcPr/>
          <w:p w:rsidR="00000000" w:rsidDel="00000000" w:rsidP="00000000" w:rsidRDefault="00000000" w:rsidRPr="00000000" w14:paraId="000000F2">
            <w:pPr>
              <w:spacing w:after="0" w:line="240" w:lineRule="auto"/>
              <w:rPr>
                <w:color w:val="000000"/>
              </w:rPr>
            </w:pPr>
            <w:r w:rsidDel="00000000" w:rsidR="00000000" w:rsidRPr="00000000">
              <w:rPr>
                <w:color w:val="000000"/>
                <w:rtl w:val="0"/>
              </w:rPr>
              <w:t xml:space="preserve">- Progress tracking- Intervention records- Provision plan reviews</w:t>
            </w:r>
          </w:p>
        </w:tc>
        <w:tc>
          <w:tcPr/>
          <w:p w:rsidR="00000000" w:rsidDel="00000000" w:rsidP="00000000" w:rsidRDefault="00000000" w:rsidRPr="00000000" w14:paraId="000000F3">
            <w:pPr>
              <w:spacing w:after="0" w:line="240" w:lineRule="auto"/>
              <w:rPr>
                <w:color w:val="000000"/>
              </w:rPr>
            </w:pPr>
            <w:r w:rsidDel="00000000" w:rsidR="00000000" w:rsidRPr="00000000">
              <w:rPr>
                <w:color w:val="000000"/>
                <w:rtl w:val="0"/>
              </w:rPr>
              <w:t xml:space="preserve">The Den and The Nest show strong reintegration outcomes; SEND early identification accelerated via private EP service; positive feedback from families; gaps closing in KS2 for disadvantaged pupils.</w:t>
            </w:r>
          </w:p>
        </w:tc>
      </w:tr>
      <w:tr>
        <w:trPr>
          <w:cantSplit w:val="0"/>
          <w:tblHeader w:val="0"/>
        </w:trPr>
        <w:tc>
          <w:tcPr/>
          <w:p w:rsidR="00000000" w:rsidDel="00000000" w:rsidP="00000000" w:rsidRDefault="00000000" w:rsidRPr="00000000" w14:paraId="000000F4">
            <w:pPr>
              <w:spacing w:after="0" w:line="240" w:lineRule="auto"/>
              <w:rPr>
                <w:color w:val="000000"/>
              </w:rPr>
            </w:pPr>
            <w:r w:rsidDel="00000000" w:rsidR="00000000" w:rsidRPr="00000000">
              <w:rPr>
                <w:color w:val="000000"/>
                <w:rtl w:val="0"/>
              </w:rPr>
              <w:t xml:space="preserve">5. Limited access to enrichment &amp; cultural capital</w:t>
            </w:r>
          </w:p>
        </w:tc>
        <w:tc>
          <w:tcPr/>
          <w:p w:rsidR="00000000" w:rsidDel="00000000" w:rsidP="00000000" w:rsidRDefault="00000000" w:rsidRPr="00000000" w14:paraId="000000F5">
            <w:pPr>
              <w:spacing w:after="0" w:line="240" w:lineRule="auto"/>
              <w:rPr>
                <w:color w:val="000000"/>
              </w:rPr>
            </w:pPr>
            <w:r w:rsidDel="00000000" w:rsidR="00000000" w:rsidRPr="00000000">
              <w:rPr>
                <w:color w:val="000000"/>
                <w:rtl w:val="0"/>
              </w:rPr>
              <w:t xml:space="preserve">Pupils access enrichment &amp; leadership opportunities</w:t>
            </w:r>
          </w:p>
        </w:tc>
        <w:tc>
          <w:tcPr/>
          <w:p w:rsidR="00000000" w:rsidDel="00000000" w:rsidP="00000000" w:rsidRDefault="00000000" w:rsidRPr="00000000" w14:paraId="000000F6">
            <w:pPr>
              <w:spacing w:after="0" w:line="240" w:lineRule="auto"/>
              <w:rPr>
                <w:color w:val="000000"/>
              </w:rPr>
            </w:pPr>
            <w:r w:rsidDel="00000000" w:rsidR="00000000" w:rsidRPr="00000000">
              <w:rPr>
                <w:color w:val="000000"/>
                <w:rtl w:val="0"/>
              </w:rPr>
              <w:t xml:space="preserve">- Funded trips and curriculum experiences- Clubs, FAB Team, School Council roles for disadvantaged pupils- Whole-school reading-for-pleasure initiatives</w:t>
            </w:r>
          </w:p>
        </w:tc>
        <w:tc>
          <w:tcPr/>
          <w:p w:rsidR="00000000" w:rsidDel="00000000" w:rsidP="00000000" w:rsidRDefault="00000000" w:rsidRPr="00000000" w14:paraId="000000F7">
            <w:pPr>
              <w:spacing w:after="0" w:line="240" w:lineRule="auto"/>
              <w:rPr>
                <w:color w:val="000000"/>
              </w:rPr>
            </w:pPr>
            <w:r w:rsidDel="00000000" w:rsidR="00000000" w:rsidRPr="00000000">
              <w:rPr>
                <w:color w:val="000000"/>
                <w:rtl w:val="0"/>
              </w:rPr>
              <w:t xml:space="preserve">- Participation of disadvantaged pupils reflects school proportion- Pupil voice confirms engagement and enjoyment- Observed cross-curricular application of skills</w:t>
            </w:r>
          </w:p>
        </w:tc>
        <w:tc>
          <w:tcPr/>
          <w:p w:rsidR="00000000" w:rsidDel="00000000" w:rsidP="00000000" w:rsidRDefault="00000000" w:rsidRPr="00000000" w14:paraId="000000F8">
            <w:pPr>
              <w:spacing w:after="0" w:line="240" w:lineRule="auto"/>
              <w:rPr>
                <w:color w:val="000000"/>
              </w:rPr>
            </w:pPr>
            <w:r w:rsidDel="00000000" w:rsidR="00000000" w:rsidRPr="00000000">
              <w:rPr>
                <w:color w:val="000000"/>
                <w:rtl w:val="0"/>
              </w:rPr>
              <w:t xml:space="preserve">- Club registers &amp; participation data- Pupil voice surveys- Book looks &amp; learning evidence</w:t>
            </w:r>
          </w:p>
        </w:tc>
        <w:tc>
          <w:tcPr/>
          <w:p w:rsidR="00000000" w:rsidDel="00000000" w:rsidP="00000000" w:rsidRDefault="00000000" w:rsidRPr="00000000" w14:paraId="000000F9">
            <w:pPr>
              <w:spacing w:after="0" w:line="240" w:lineRule="auto"/>
              <w:rPr>
                <w:color w:val="000000"/>
              </w:rPr>
            </w:pPr>
            <w:r w:rsidDel="00000000" w:rsidR="00000000" w:rsidRPr="00000000">
              <w:rPr>
                <w:color w:val="000000"/>
                <w:rtl w:val="0"/>
              </w:rPr>
              <w:t xml:space="preserve">Derwent Hill funded for pupil premium pupils; whole-school enrichment including art galleries, Safety Works, Nissan visits in place; strong pupil voice in reading culture emerging. Enrichment increasingly reflects the local Hetton community and wider region, including heritage walks, local museums, emergency services, authors and employers such as Nissan, helping pupils contextualise learning and develop early career awareness.</w:t>
            </w:r>
          </w:p>
        </w:tc>
      </w:tr>
      <w:tr>
        <w:trPr>
          <w:cantSplit w:val="0"/>
          <w:tblHeader w:val="0"/>
        </w:trPr>
        <w:tc>
          <w:tcPr/>
          <w:p w:rsidR="00000000" w:rsidDel="00000000" w:rsidP="00000000" w:rsidRDefault="00000000" w:rsidRPr="00000000" w14:paraId="000000FA">
            <w:pPr>
              <w:spacing w:after="0" w:line="240" w:lineRule="auto"/>
              <w:rPr>
                <w:color w:val="000000"/>
              </w:rPr>
            </w:pPr>
            <w:r w:rsidDel="00000000" w:rsidR="00000000" w:rsidRPr="00000000">
              <w:rPr>
                <w:color w:val="000000"/>
                <w:rtl w:val="0"/>
              </w:rPr>
              <w:t xml:space="preserve">6. Writing stamina &amp; extended composition weaker than reading</w:t>
            </w:r>
          </w:p>
        </w:tc>
        <w:tc>
          <w:tcPr/>
          <w:p w:rsidR="00000000" w:rsidDel="00000000" w:rsidP="00000000" w:rsidRDefault="00000000" w:rsidRPr="00000000" w14:paraId="000000FB">
            <w:pPr>
              <w:spacing w:after="0" w:line="240" w:lineRule="auto"/>
              <w:rPr>
                <w:color w:val="000000"/>
              </w:rPr>
            </w:pPr>
            <w:r w:rsidDel="00000000" w:rsidR="00000000" w:rsidRPr="00000000">
              <w:rPr>
                <w:color w:val="000000"/>
                <w:rtl w:val="0"/>
              </w:rPr>
              <w:t xml:space="preserve">Pupils develop writing stamina, accuracy, and composition across curriculum</w:t>
            </w:r>
          </w:p>
        </w:tc>
        <w:tc>
          <w:tcPr/>
          <w:p w:rsidR="00000000" w:rsidDel="00000000" w:rsidP="00000000" w:rsidRDefault="00000000" w:rsidRPr="00000000" w14:paraId="000000FC">
            <w:pPr>
              <w:spacing w:after="0" w:line="240" w:lineRule="auto"/>
              <w:rPr>
                <w:color w:val="000000"/>
              </w:rPr>
            </w:pPr>
            <w:r w:rsidDel="00000000" w:rsidR="00000000" w:rsidRPr="00000000">
              <w:rPr>
                <w:color w:val="000000"/>
                <w:rtl w:val="0"/>
              </w:rPr>
              <w:t xml:space="preserve">- Whole-school handwriting and spelling programme- Grammar &amp; punctuation sequences (Grammarsaurus)- Structured writing interventions- Extended writing across curriculum- Teacher CPD &amp; coaching</w:t>
            </w:r>
          </w:p>
        </w:tc>
        <w:tc>
          <w:tcPr/>
          <w:p w:rsidR="00000000" w:rsidDel="00000000" w:rsidP="00000000" w:rsidRDefault="00000000" w:rsidRPr="00000000" w14:paraId="000000FD">
            <w:pPr>
              <w:spacing w:after="0" w:line="240" w:lineRule="auto"/>
              <w:rPr>
                <w:color w:val="000000"/>
              </w:rPr>
            </w:pPr>
            <w:r w:rsidDel="00000000" w:rsidR="00000000" w:rsidRPr="00000000">
              <w:rPr>
                <w:color w:val="000000"/>
                <w:rtl w:val="0"/>
              </w:rPr>
              <w:t xml:space="preserve">- Improved writing outcomes term-on-term- Narrowed gaps with peers- Increased % of pupils achieving expected/greater depth</w:t>
            </w:r>
          </w:p>
        </w:tc>
        <w:tc>
          <w:tcPr/>
          <w:p w:rsidR="00000000" w:rsidDel="00000000" w:rsidP="00000000" w:rsidRDefault="00000000" w:rsidRPr="00000000" w14:paraId="000000FE">
            <w:pPr>
              <w:spacing w:after="0" w:line="240" w:lineRule="auto"/>
              <w:rPr>
                <w:color w:val="000000"/>
              </w:rPr>
            </w:pPr>
            <w:r w:rsidDel="00000000" w:rsidR="00000000" w:rsidRPr="00000000">
              <w:rPr>
                <w:color w:val="000000"/>
                <w:rtl w:val="0"/>
              </w:rPr>
              <w:t xml:space="preserve">- Book scrutiny- Assessment data- Moderation records- Pupil work samples</w:t>
            </w:r>
          </w:p>
        </w:tc>
        <w:tc>
          <w:tcPr/>
          <w:p w:rsidR="00000000" w:rsidDel="00000000" w:rsidP="00000000" w:rsidRDefault="00000000" w:rsidRPr="00000000" w14:paraId="000000FF">
            <w:pPr>
              <w:spacing w:after="0" w:line="240" w:lineRule="auto"/>
              <w:rPr>
                <w:color w:val="000000"/>
              </w:rPr>
            </w:pPr>
            <w:r w:rsidDel="00000000" w:rsidR="00000000" w:rsidRPr="00000000">
              <w:rPr>
                <w:color w:val="000000"/>
                <w:rtl w:val="0"/>
              </w:rPr>
              <w:t xml:space="preserve">Writing focus area identified; new framework introduced; weekly intervention in place for higher attainers; oracy-led approaches strengthening comprehension and vocabulary.</w:t>
            </w:r>
          </w:p>
        </w:tc>
      </w:tr>
      <w:tr>
        <w:trPr>
          <w:cantSplit w:val="0"/>
          <w:tblHeader w:val="0"/>
        </w:trPr>
        <w:tc>
          <w:tcPr/>
          <w:p w:rsidR="00000000" w:rsidDel="00000000" w:rsidP="00000000" w:rsidRDefault="00000000" w:rsidRPr="00000000" w14:paraId="00000100">
            <w:pPr>
              <w:spacing w:after="0" w:line="240" w:lineRule="auto"/>
              <w:rPr>
                <w:color w:val="000000"/>
              </w:rPr>
            </w:pPr>
            <w:r w:rsidDel="00000000" w:rsidR="00000000" w:rsidRPr="00000000">
              <w:rPr>
                <w:color w:val="000000"/>
                <w:rtl w:val="0"/>
              </w:rPr>
              <w:t xml:space="preserve">7. Sustaining strong reading outcomes and comprehension</w:t>
            </w:r>
          </w:p>
        </w:tc>
        <w:tc>
          <w:tcPr/>
          <w:p w:rsidR="00000000" w:rsidDel="00000000" w:rsidP="00000000" w:rsidRDefault="00000000" w:rsidRPr="00000000" w14:paraId="00000101">
            <w:pPr>
              <w:spacing w:after="0" w:line="240" w:lineRule="auto"/>
              <w:rPr>
                <w:color w:val="000000"/>
              </w:rPr>
            </w:pPr>
            <w:r w:rsidDel="00000000" w:rsidR="00000000" w:rsidRPr="00000000">
              <w:rPr>
                <w:color w:val="000000"/>
                <w:rtl w:val="0"/>
              </w:rPr>
              <w:t xml:space="preserve">Disadvantaged pupils make strong progress in reading and comprehension</w:t>
            </w:r>
          </w:p>
        </w:tc>
        <w:tc>
          <w:tcPr/>
          <w:p w:rsidR="00000000" w:rsidDel="00000000" w:rsidP="00000000" w:rsidRDefault="00000000" w:rsidRPr="00000000" w14:paraId="00000102">
            <w:pPr>
              <w:spacing w:after="0" w:line="240" w:lineRule="auto"/>
              <w:rPr>
                <w:color w:val="000000"/>
              </w:rPr>
            </w:pPr>
            <w:r w:rsidDel="00000000" w:rsidR="00000000" w:rsidRPr="00000000">
              <w:rPr>
                <w:color w:val="000000"/>
                <w:rtl w:val="0"/>
              </w:rPr>
              <w:t xml:space="preserve">- Revised reading curriculum embedded EYFS–Y6- Reading interventions &amp; tutoring for below expected pupils- Voice 21 oracy strategies in reading lessons- Greater depth provision &amp; challenge texts- Reading for pleasure initiatives and parental engagement</w:t>
            </w:r>
          </w:p>
        </w:tc>
        <w:tc>
          <w:tcPr/>
          <w:p w:rsidR="00000000" w:rsidDel="00000000" w:rsidP="00000000" w:rsidRDefault="00000000" w:rsidRPr="00000000" w14:paraId="00000103">
            <w:pPr>
              <w:spacing w:after="0" w:line="240" w:lineRule="auto"/>
              <w:rPr>
                <w:color w:val="000000"/>
              </w:rPr>
            </w:pPr>
            <w:r w:rsidDel="00000000" w:rsidR="00000000" w:rsidRPr="00000000">
              <w:rPr>
                <w:color w:val="000000"/>
                <w:rtl w:val="0"/>
              </w:rPr>
              <w:t xml:space="preserve">- Upward trend in reading attainment &amp; progress- Increased % of disadvantaged pupils at greater depth- Pupil voice demonstrates improved comprehension and reasoning</w:t>
            </w:r>
          </w:p>
        </w:tc>
        <w:tc>
          <w:tcPr/>
          <w:p w:rsidR="00000000" w:rsidDel="00000000" w:rsidP="00000000" w:rsidRDefault="00000000" w:rsidRPr="00000000" w14:paraId="00000104">
            <w:pPr>
              <w:spacing w:after="0" w:line="240" w:lineRule="auto"/>
              <w:rPr>
                <w:color w:val="000000"/>
              </w:rPr>
            </w:pPr>
            <w:r w:rsidDel="00000000" w:rsidR="00000000" w:rsidRPr="00000000">
              <w:rPr>
                <w:color w:val="000000"/>
                <w:rtl w:val="0"/>
              </w:rPr>
              <w:t xml:space="preserve">- Reading assessments &amp; progress tracking- Lesson observations- Book scrutiny- Pupil voice surveys</w:t>
            </w:r>
          </w:p>
        </w:tc>
        <w:tc>
          <w:tcPr/>
          <w:p w:rsidR="00000000" w:rsidDel="00000000" w:rsidP="00000000" w:rsidRDefault="00000000" w:rsidRPr="00000000" w14:paraId="00000105">
            <w:pPr>
              <w:spacing w:after="0" w:line="240" w:lineRule="auto"/>
              <w:rPr>
                <w:color w:val="000000"/>
              </w:rPr>
            </w:pPr>
            <w:r w:rsidDel="00000000" w:rsidR="00000000" w:rsidRPr="00000000">
              <w:rPr>
                <w:color w:val="000000"/>
                <w:rtl w:val="0"/>
              </w:rPr>
              <w:t xml:space="preserve">Reading curriculum and pedagogy strengthened; assessment systems refined; reading for pleasure embedded; KS2 results indicate internal progress improving though some statutory outcomes below national average.</w:t>
            </w:r>
          </w:p>
        </w:tc>
      </w:tr>
      <w:tr>
        <w:trPr>
          <w:cantSplit w:val="0"/>
          <w:tblHeader w:val="0"/>
        </w:trPr>
        <w:tc>
          <w:tcPr/>
          <w:p w:rsidR="00000000" w:rsidDel="00000000" w:rsidP="00000000" w:rsidRDefault="00000000" w:rsidRPr="00000000" w14:paraId="00000106">
            <w:pPr>
              <w:spacing w:after="0" w:line="240" w:lineRule="auto"/>
              <w:rPr>
                <w:color w:val="000000"/>
              </w:rPr>
            </w:pPr>
            <w:r w:rsidDel="00000000" w:rsidR="00000000" w:rsidRPr="00000000">
              <w:rPr>
                <w:color w:val="000000"/>
                <w:rtl w:val="0"/>
              </w:rPr>
              <w:t xml:space="preserve">8. Leadership &amp; staff capacity variability</w:t>
            </w:r>
          </w:p>
        </w:tc>
        <w:tc>
          <w:tcPr/>
          <w:p w:rsidR="00000000" w:rsidDel="00000000" w:rsidP="00000000" w:rsidRDefault="00000000" w:rsidRPr="00000000" w14:paraId="00000107">
            <w:pPr>
              <w:spacing w:after="0" w:line="240" w:lineRule="auto"/>
              <w:rPr>
                <w:color w:val="000000"/>
              </w:rPr>
            </w:pPr>
            <w:r w:rsidDel="00000000" w:rsidR="00000000" w:rsidRPr="00000000">
              <w:rPr>
                <w:color w:val="000000"/>
                <w:rtl w:val="0"/>
              </w:rPr>
              <w:t xml:space="preserve">Staff consistently deliver high-quality teaching &amp; intervention</w:t>
            </w:r>
          </w:p>
        </w:tc>
        <w:tc>
          <w:tcPr/>
          <w:p w:rsidR="00000000" w:rsidDel="00000000" w:rsidP="00000000" w:rsidRDefault="00000000" w:rsidRPr="00000000" w14:paraId="00000108">
            <w:pPr>
              <w:spacing w:after="0" w:line="240" w:lineRule="auto"/>
              <w:rPr>
                <w:color w:val="000000"/>
              </w:rPr>
            </w:pPr>
            <w:r w:rsidDel="00000000" w:rsidR="00000000" w:rsidRPr="00000000">
              <w:rPr>
                <w:color w:val="000000"/>
                <w:rtl w:val="0"/>
              </w:rPr>
              <w:t xml:space="preserve">- Structured induction, mentoring &amp; CPD for ECTs, TAs, leaders- Subject leads (Reading/Writing/SEND) drive monitoring &amp; coaching- Performance appraisal &amp; feedback</w:t>
            </w:r>
          </w:p>
        </w:tc>
        <w:tc>
          <w:tcPr/>
          <w:p w:rsidR="00000000" w:rsidDel="00000000" w:rsidP="00000000" w:rsidRDefault="00000000" w:rsidRPr="00000000" w14:paraId="00000109">
            <w:pPr>
              <w:spacing w:after="0" w:line="240" w:lineRule="auto"/>
              <w:rPr>
                <w:color w:val="000000"/>
              </w:rPr>
            </w:pPr>
            <w:r w:rsidDel="00000000" w:rsidR="00000000" w:rsidRPr="00000000">
              <w:rPr>
                <w:color w:val="000000"/>
                <w:rtl w:val="0"/>
              </w:rPr>
              <w:t xml:space="preserve">- High-quality, consistent teaching across school- Evidence of pupil progress linked to interventions- Staff confidence and retention improves</w:t>
            </w:r>
          </w:p>
        </w:tc>
        <w:tc>
          <w:tcPr/>
          <w:p w:rsidR="00000000" w:rsidDel="00000000" w:rsidP="00000000" w:rsidRDefault="00000000" w:rsidRPr="00000000" w14:paraId="0000010A">
            <w:pPr>
              <w:spacing w:after="0" w:line="240" w:lineRule="auto"/>
              <w:rPr>
                <w:color w:val="000000"/>
              </w:rPr>
            </w:pPr>
            <w:r w:rsidDel="00000000" w:rsidR="00000000" w:rsidRPr="00000000">
              <w:rPr>
                <w:color w:val="000000"/>
                <w:rtl w:val="0"/>
              </w:rPr>
              <w:t xml:space="preserve">- Lesson observations- Learning walks- Appraisal &amp; CPD logs- Pupil progress review</w:t>
            </w:r>
          </w:p>
        </w:tc>
        <w:tc>
          <w:tcPr/>
          <w:p w:rsidR="00000000" w:rsidDel="00000000" w:rsidP="00000000" w:rsidRDefault="00000000" w:rsidRPr="00000000" w14:paraId="0000010B">
            <w:pPr>
              <w:spacing w:after="0" w:line="240" w:lineRule="auto"/>
              <w:rPr>
                <w:color w:val="000000"/>
              </w:rPr>
            </w:pPr>
            <w:r w:rsidDel="00000000" w:rsidR="00000000" w:rsidRPr="00000000">
              <w:rPr>
                <w:color w:val="000000"/>
                <w:rtl w:val="0"/>
              </w:rPr>
              <w:t xml:space="preserve">New leaders and ECTs in post; coaching and CPD in place; Writing &amp; Reading Leads established; early impact on curriculum delivery noted; staff survey evidence shows morale improving.</w:t>
            </w:r>
          </w:p>
        </w:tc>
      </w:tr>
    </w:tbl>
    <w:p w:rsidR="00000000" w:rsidDel="00000000" w:rsidP="00000000" w:rsidRDefault="00000000" w:rsidRPr="00000000" w14:paraId="0000010C">
      <w:pPr>
        <w:rPr/>
        <w:sectPr>
          <w:type w:val="nextPage"/>
          <w:pgSz w:h="11906" w:w="16838" w:orient="landscape"/>
          <w:pgMar w:bottom="1134" w:top="1276" w:left="1134" w:right="1134" w:header="709" w:footer="709"/>
        </w:sect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9493.0" w:type="dxa"/>
        <w:jc w:val="left"/>
        <w:tblLayout w:type="fixed"/>
        <w:tblLook w:val="0400"/>
      </w:tblPr>
      <w:tblGrid>
        <w:gridCol w:w="9493"/>
        <w:tblGridChange w:id="0">
          <w:tblGrid>
            <w:gridCol w:w="9493"/>
          </w:tblGrid>
        </w:tblGridChange>
      </w:tblGrid>
      <w:tr>
        <w:trPr>
          <w:cantSplit w:val="0"/>
          <w:trHeight w:val="11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E">
            <w:pPr>
              <w:pStyle w:val="Heading3"/>
              <w:rPr>
                <w:color w:val="000000"/>
                <w:sz w:val="27"/>
                <w:szCs w:val="27"/>
              </w:rPr>
            </w:pPr>
            <w:r w:rsidDel="00000000" w:rsidR="00000000" w:rsidRPr="00000000">
              <w:rPr>
                <w:rtl w:val="0"/>
              </w:rPr>
              <w:t xml:space="preserve">Outcomes for disadvantaged pupils</w:t>
              <w:br w:type="textWrapping"/>
              <w:br w:type="textWrapping"/>
            </w:r>
            <w:r w:rsidDel="00000000" w:rsidR="00000000" w:rsidRPr="00000000">
              <w:rPr>
                <w:sz w:val="24"/>
                <w:szCs w:val="24"/>
                <w:rtl w:val="0"/>
              </w:rPr>
              <w:t xml:space="preserve">1. Overview</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Pupil Premium spending in 2024/25 has had a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positive impact on outcomes for disadvantaged pupils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at Hetton Lyons Primary School. Despite the challenges of high levels of deprivation, SEND, EAL, and Traveller mobility, end-of-key-stage outcomes indicate that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disadvantaged pupils are performing at least in line with national averages for disadvantaged pupils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in several areas are exceeding them.</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strategy has been assessed through a combination of:</w:t>
            </w:r>
          </w:p>
          <w:p w:rsidR="00000000" w:rsidDel="00000000" w:rsidP="00000000" w:rsidRDefault="00000000" w:rsidRPr="00000000" w14:paraId="000001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National assessment data and internal summative assessments;</w:t>
            </w:r>
          </w:p>
          <w:p w:rsidR="00000000" w:rsidDel="00000000" w:rsidP="00000000" w:rsidRDefault="00000000" w:rsidRPr="00000000" w14:paraId="000001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Formative assessments, including teacher observations, book scrutiny, and termly progress tracking;</w:t>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Attendance and behaviour records;</w:t>
            </w:r>
          </w:p>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SEMH and wellbeing observations from the Family Support Worker (FSW), counsellor, Nurture and The Nest/The Den provision;</w:t>
            </w:r>
          </w:p>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Pupil voice and engagement surveys.</w:t>
            </w:r>
          </w:p>
          <w:p w:rsidR="00000000" w:rsidDel="00000000" w:rsidP="00000000" w:rsidRDefault="00000000" w:rsidRPr="00000000" w14:paraId="00000116">
            <w:pPr>
              <w:pStyle w:val="Heading3"/>
              <w:rPr>
                <w:sz w:val="24"/>
                <w:szCs w:val="24"/>
              </w:rPr>
            </w:pPr>
            <w:r w:rsidDel="00000000" w:rsidR="00000000" w:rsidRPr="00000000">
              <w:rPr>
                <w:sz w:val="24"/>
                <w:szCs w:val="24"/>
                <w:rtl w:val="0"/>
              </w:rPr>
              <w:t xml:space="preserve">2. Academic Outcomes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Early Years (EYFS)</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GLD: 43% of disadvantaged pupils achieved a Good Level of Development (Disadvantaged nationally: [insert]).</w:t>
            </w:r>
          </w:p>
          <w:p w:rsidR="00000000" w:rsidDel="00000000" w:rsidP="00000000" w:rsidRDefault="00000000" w:rsidRPr="00000000" w14:paraId="000001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Observations indicate progress in communication and language, particularly in children receiving targeted support.</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Phonics Screening Check</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46% of disadvantaged pupils met the expected standard (national disadvantaged: 67%).</w:t>
            </w:r>
          </w:p>
          <w:p w:rsidR="00000000" w:rsidDel="00000000" w:rsidP="00000000" w:rsidRDefault="00000000" w:rsidRPr="00000000" w14:paraId="000001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Catch-up interventions and small-group phonics support have begun to accelerate progress, particularly in Year 1 and lower Key Stage 2.</w:t>
            </w:r>
          </w:p>
          <w:tbl>
            <w:tblPr>
              <w:tblStyle w:val="Table11"/>
              <w:tblW w:w="7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7"/>
              <w:gridCol w:w="2697"/>
              <w:gridCol w:w="2910"/>
              <w:tblGridChange w:id="0">
                <w:tblGrid>
                  <w:gridCol w:w="1977"/>
                  <w:gridCol w:w="2697"/>
                  <w:gridCol w:w="2910"/>
                </w:tblGrid>
              </w:tblGridChange>
            </w:tblGrid>
            <w:tr>
              <w:trPr>
                <w:cantSplit w:val="0"/>
                <w:tblHeader w:val="0"/>
              </w:trPr>
              <w:tc>
                <w:tcPr/>
                <w:p w:rsidR="00000000" w:rsidDel="00000000" w:rsidP="00000000" w:rsidRDefault="00000000" w:rsidRPr="00000000" w14:paraId="0000011D">
                  <w:pPr>
                    <w:spacing w:after="0" w:line="240" w:lineRule="auto"/>
                    <w:jc w:val="center"/>
                    <w:rPr>
                      <w:b w:val="1"/>
                      <w:bCs w:val="1"/>
                      <w:color w:val="000000"/>
                    </w:rPr>
                  </w:pPr>
                  <w:r w:rsidDel="00000000" w:rsidR="00000000" w:rsidRPr="00000000">
                    <w:rPr>
                      <w:b w:val="1"/>
                      <w:bCs w:val="1"/>
                      <w:rtl w:val="0"/>
                    </w:rPr>
                    <w:t xml:space="preserve">Subject</w:t>
                  </w:r>
                  <w:r w:rsidDel="00000000" w:rsidR="00000000" w:rsidRPr="00000000">
                    <w:rPr>
                      <w:rtl w:val="0"/>
                    </w:rPr>
                  </w:r>
                </w:p>
              </w:tc>
              <w:tc>
                <w:tcPr/>
                <w:p w:rsidR="00000000" w:rsidDel="00000000" w:rsidP="00000000" w:rsidRDefault="00000000" w:rsidRPr="00000000" w14:paraId="0000011E">
                  <w:pPr>
                    <w:jc w:val="center"/>
                    <w:rPr>
                      <w:b w:val="1"/>
                      <w:bCs w:val="1"/>
                    </w:rPr>
                  </w:pPr>
                  <w:r w:rsidDel="00000000" w:rsidR="00000000" w:rsidRPr="00000000">
                    <w:rPr>
                      <w:b w:val="1"/>
                      <w:bCs w:val="1"/>
                      <w:rtl w:val="0"/>
                    </w:rPr>
                    <w:t xml:space="preserve">Disadvantaged pupils</w:t>
                  </w:r>
                </w:p>
              </w:tc>
              <w:tc>
                <w:tcPr/>
                <w:p w:rsidR="00000000" w:rsidDel="00000000" w:rsidP="00000000" w:rsidRDefault="00000000" w:rsidRPr="00000000" w14:paraId="0000011F">
                  <w:pPr>
                    <w:jc w:val="center"/>
                    <w:rPr>
                      <w:b w:val="1"/>
                      <w:bCs w:val="1"/>
                    </w:rPr>
                  </w:pPr>
                  <w:r w:rsidDel="00000000" w:rsidR="00000000" w:rsidRPr="00000000">
                    <w:rPr>
                      <w:b w:val="1"/>
                      <w:bCs w:val="1"/>
                      <w:rtl w:val="0"/>
                    </w:rPr>
                    <w:t xml:space="preserve">National disadvantaged</w:t>
                  </w:r>
                </w:p>
              </w:tc>
            </w:tr>
            <w:tr>
              <w:trPr>
                <w:cantSplit w:val="0"/>
                <w:tblHeader w:val="0"/>
              </w:trPr>
              <w:tc>
                <w:tcPr/>
                <w:p w:rsidR="00000000" w:rsidDel="00000000" w:rsidP="00000000" w:rsidRDefault="00000000" w:rsidRPr="00000000" w14:paraId="00000120">
                  <w:pPr>
                    <w:rPr/>
                  </w:pPr>
                  <w:r w:rsidDel="00000000" w:rsidR="00000000" w:rsidRPr="00000000">
                    <w:rPr>
                      <w:rtl w:val="0"/>
                    </w:rPr>
                    <w:t xml:space="preserve">Reading</w:t>
                  </w:r>
                </w:p>
              </w:tc>
              <w:tc>
                <w:tcPr/>
                <w:p w:rsidR="00000000" w:rsidDel="00000000" w:rsidP="00000000" w:rsidRDefault="00000000" w:rsidRPr="00000000" w14:paraId="00000121">
                  <w:pPr>
                    <w:rPr/>
                  </w:pPr>
                  <w:r w:rsidDel="00000000" w:rsidR="00000000" w:rsidRPr="00000000">
                    <w:rPr>
                      <w:rtl w:val="0"/>
                    </w:rPr>
                    <w:t xml:space="preserve">67%</w:t>
                  </w:r>
                </w:p>
              </w:tc>
              <w:tc>
                <w:tcPr/>
                <w:p w:rsidR="00000000" w:rsidDel="00000000" w:rsidP="00000000" w:rsidRDefault="00000000" w:rsidRPr="00000000" w14:paraId="00000122">
                  <w:pPr>
                    <w:rPr/>
                  </w:pPr>
                  <w:r w:rsidDel="00000000" w:rsidR="00000000" w:rsidRPr="00000000">
                    <w:rPr>
                      <w:rtl w:val="0"/>
                    </w:rPr>
                    <w:t xml:space="preserve">64%</w:t>
                  </w:r>
                </w:p>
              </w:tc>
            </w:tr>
            <w:tr>
              <w:trPr>
                <w:cantSplit w:val="0"/>
                <w:tblHeader w:val="0"/>
              </w:trPr>
              <w:tc>
                <w:tcPr/>
                <w:p w:rsidR="00000000" w:rsidDel="00000000" w:rsidP="00000000" w:rsidRDefault="00000000" w:rsidRPr="00000000" w14:paraId="00000123">
                  <w:pPr>
                    <w:rPr/>
                  </w:pPr>
                  <w:r w:rsidDel="00000000" w:rsidR="00000000" w:rsidRPr="00000000">
                    <w:rPr>
                      <w:rtl w:val="0"/>
                    </w:rPr>
                    <w:t xml:space="preserve">Writing</w:t>
                  </w:r>
                </w:p>
              </w:tc>
              <w:tc>
                <w:tcPr/>
                <w:p w:rsidR="00000000" w:rsidDel="00000000" w:rsidP="00000000" w:rsidRDefault="00000000" w:rsidRPr="00000000" w14:paraId="00000124">
                  <w:pPr>
                    <w:rPr/>
                  </w:pPr>
                  <w:r w:rsidDel="00000000" w:rsidR="00000000" w:rsidRPr="00000000">
                    <w:rPr>
                      <w:rtl w:val="0"/>
                    </w:rPr>
                    <w:t xml:space="preserve">78%</w:t>
                  </w:r>
                </w:p>
              </w:tc>
              <w:tc>
                <w:tcPr/>
                <w:p w:rsidR="00000000" w:rsidDel="00000000" w:rsidP="00000000" w:rsidRDefault="00000000" w:rsidRPr="00000000" w14:paraId="00000125">
                  <w:pPr>
                    <w:rPr/>
                  </w:pPr>
                  <w:r w:rsidDel="00000000" w:rsidR="00000000" w:rsidRPr="00000000">
                    <w:rPr>
                      <w:rtl w:val="0"/>
                    </w:rPr>
                    <w:t xml:space="preserve">67%</w:t>
                  </w:r>
                </w:p>
              </w:tc>
            </w:tr>
            <w:tr>
              <w:trPr>
                <w:cantSplit w:val="0"/>
                <w:tblHeader w:val="0"/>
              </w:trPr>
              <w:tc>
                <w:tcPr/>
                <w:p w:rsidR="00000000" w:rsidDel="00000000" w:rsidP="00000000" w:rsidRDefault="00000000" w:rsidRPr="00000000" w14:paraId="00000126">
                  <w:pPr>
                    <w:rPr/>
                  </w:pPr>
                  <w:r w:rsidDel="00000000" w:rsidR="00000000" w:rsidRPr="00000000">
                    <w:rPr>
                      <w:rtl w:val="0"/>
                    </w:rPr>
                    <w:t xml:space="preserve">Maths</w:t>
                  </w:r>
                </w:p>
              </w:tc>
              <w:tc>
                <w:tcPr/>
                <w:p w:rsidR="00000000" w:rsidDel="00000000" w:rsidP="00000000" w:rsidRDefault="00000000" w:rsidRPr="00000000" w14:paraId="00000127">
                  <w:pPr>
                    <w:rPr/>
                  </w:pPr>
                  <w:r w:rsidDel="00000000" w:rsidR="00000000" w:rsidRPr="00000000">
                    <w:rPr>
                      <w:rtl w:val="0"/>
                    </w:rPr>
                    <w:t xml:space="preserve">83%</w:t>
                  </w:r>
                </w:p>
              </w:tc>
              <w:tc>
                <w:tcPr/>
                <w:p w:rsidR="00000000" w:rsidDel="00000000" w:rsidP="00000000" w:rsidRDefault="00000000" w:rsidRPr="00000000" w14:paraId="00000128">
                  <w:pPr>
                    <w:rPr/>
                  </w:pPr>
                  <w:r w:rsidDel="00000000" w:rsidR="00000000" w:rsidRPr="00000000">
                    <w:rPr>
                      <w:rtl w:val="0"/>
                    </w:rPr>
                    <w:t xml:space="preserve">69%</w:t>
                  </w:r>
                </w:p>
              </w:tc>
            </w:tr>
            <w:tr>
              <w:trPr>
                <w:cantSplit w:val="0"/>
                <w:tblHeader w:val="0"/>
              </w:trPr>
              <w:tc>
                <w:tcPr/>
                <w:p w:rsidR="00000000" w:rsidDel="00000000" w:rsidP="00000000" w:rsidRDefault="00000000" w:rsidRPr="00000000" w14:paraId="00000129">
                  <w:pPr>
                    <w:rPr/>
                  </w:pPr>
                  <w:r w:rsidDel="00000000" w:rsidR="00000000" w:rsidRPr="00000000">
                    <w:rPr>
                      <w:rtl w:val="0"/>
                    </w:rPr>
                    <w:t xml:space="preserve">Combined RWM</w:t>
                  </w:r>
                </w:p>
              </w:tc>
              <w:tc>
                <w:tcPr/>
                <w:p w:rsidR="00000000" w:rsidDel="00000000" w:rsidP="00000000" w:rsidRDefault="00000000" w:rsidRPr="00000000" w14:paraId="0000012A">
                  <w:pPr>
                    <w:rPr/>
                  </w:pPr>
                  <w:r w:rsidDel="00000000" w:rsidR="00000000" w:rsidRPr="00000000">
                    <w:rPr>
                      <w:rtl w:val="0"/>
                    </w:rPr>
                    <w:t xml:space="preserve">56%</w:t>
                  </w:r>
                </w:p>
              </w:tc>
              <w:tc>
                <w:tcPr/>
                <w:p w:rsidR="00000000" w:rsidDel="00000000" w:rsidP="00000000" w:rsidRDefault="00000000" w:rsidRPr="00000000" w14:paraId="0000012B">
                  <w:pPr>
                    <w:rPr/>
                  </w:pPr>
                  <w:r w:rsidDel="00000000" w:rsidR="00000000" w:rsidRPr="00000000">
                    <w:rPr>
                      <w:rtl w:val="0"/>
                    </w:rPr>
                    <w:t xml:space="preserve">51%</w:t>
                  </w:r>
                </w:p>
              </w:tc>
            </w:tr>
          </w:tbl>
          <w:p w:rsidR="00000000" w:rsidDel="00000000" w:rsidP="00000000" w:rsidRDefault="00000000" w:rsidRPr="00000000" w14:paraId="0000012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 the last three years:</w:t>
            </w:r>
          </w:p>
          <w:p w:rsidR="00000000" w:rsidDel="00000000" w:rsidP="00000000" w:rsidRDefault="00000000" w:rsidRPr="00000000" w14:paraId="0000012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60% of disadvantaged pupils (29/48) achieved the expected standard or above in Reading.</w:t>
            </w:r>
          </w:p>
          <w:p w:rsidR="00000000" w:rsidDel="00000000" w:rsidP="00000000" w:rsidRDefault="00000000" w:rsidRPr="00000000" w14:paraId="0000012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71% (34/48) achieved expected standard or above in Writing.</w:t>
            </w:r>
          </w:p>
          <w:p w:rsidR="00000000" w:rsidDel="00000000" w:rsidP="00000000" w:rsidRDefault="00000000" w:rsidRPr="00000000" w14:paraId="0000012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50% (24/48) achieved expected standard or above in Combined RWM.</w:t>
            </w:r>
          </w:p>
          <w:p w:rsidR="00000000" w:rsidDel="00000000" w:rsidP="00000000" w:rsidRDefault="00000000" w:rsidRPr="00000000" w14:paraId="000001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Internal data demonstrates that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progress for disadvantaged pupils is accelerating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particularly in reading and writing, due to targeted interventions and adaptive teaching.</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Analysis:</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Disadvantaged pupils are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making strong progress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with notable success in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writing and maths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Reading progress is improving, particularly where phonics catch-up and structured reading interventions have been implemented; some gaps remain in statutory outcomes but internal assessment shows secure upward trajectory.</w:t>
            </w:r>
          </w:p>
          <w:p w:rsidR="00000000" w:rsidDel="00000000" w:rsidP="00000000" w:rsidRDefault="00000000" w:rsidRPr="00000000" w14:paraId="000001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Greater depth attainment is emerging, reflecting the school’s focus 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challenge texts, oracy strategies, and fluency development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35">
            <w:pPr>
              <w:pStyle w:val="Heading3"/>
              <w:rPr>
                <w:sz w:val="24"/>
                <w:szCs w:val="24"/>
              </w:rPr>
            </w:pPr>
            <w:r w:rsidDel="00000000" w:rsidR="00000000" w:rsidRPr="00000000">
              <w:rPr>
                <w:sz w:val="24"/>
                <w:szCs w:val="24"/>
                <w:rtl w:val="0"/>
              </w:rPr>
              <w:t xml:space="preserve">3. Quality of Teaching and Learning</w:t>
            </w:r>
          </w:p>
          <w:p w:rsidR="00000000" w:rsidDel="00000000" w:rsidP="00000000" w:rsidRDefault="00000000" w:rsidRPr="00000000" w14:paraId="000001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Adaptive teaching and retrieval practice have been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primary focus for PP spending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enabling teachers to respond effectively to the needs of disadvantaged pupils.</w:t>
            </w:r>
          </w:p>
          <w:p w:rsidR="00000000" w:rsidDel="00000000" w:rsidP="00000000" w:rsidRDefault="00000000" w:rsidRPr="00000000" w14:paraId="000001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Evidence from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lesson observations, work scrutiny, and pupil progress tracking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shows that pupils are well supported within high-quality classroom teaching, reducing over-reliance on withdrawal interventions.</w:t>
            </w:r>
          </w:p>
          <w:p w:rsidR="00000000" w:rsidDel="00000000" w:rsidP="00000000" w:rsidRDefault="00000000" w:rsidRPr="00000000" w14:paraId="0000013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Reading interventions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particularly phonics catch-up and structured comprehension sessions, have contributed to accelerated progress in KS1 and lower KS2.</w:t>
            </w:r>
          </w:p>
          <w:p w:rsidR="00000000" w:rsidDel="00000000" w:rsidP="00000000" w:rsidRDefault="00000000" w:rsidRPr="00000000" w14:paraId="0000013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Writing improvements are supported by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whole-school handwriting and spelling programmes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with early impact visible in composition and transcription skills.</w:t>
            </w:r>
          </w:p>
          <w:p w:rsidR="00000000" w:rsidDel="00000000" w:rsidP="00000000" w:rsidRDefault="00000000" w:rsidRPr="00000000" w14:paraId="0000013A">
            <w:pPr>
              <w:pStyle w:val="Heading3"/>
              <w:rPr>
                <w:sz w:val="24"/>
                <w:szCs w:val="24"/>
              </w:rPr>
            </w:pPr>
            <w:r w:rsidDel="00000000" w:rsidR="00000000" w:rsidRPr="00000000">
              <w:rPr>
                <w:sz w:val="24"/>
                <w:szCs w:val="24"/>
                <w:rtl w:val="0"/>
              </w:rPr>
              <w:t xml:space="preserve">4. Wider Strategies: Attendance and Wellbeing</w:t>
            </w:r>
          </w:p>
          <w:p w:rsidR="00000000" w:rsidDel="00000000" w:rsidP="00000000" w:rsidRDefault="00000000" w:rsidRPr="00000000" w14:paraId="000001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Attendance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FSW has had a positive impact through early intervention, family engagement, and targeted support for at-risk groups.</w:t>
            </w:r>
          </w:p>
          <w:p w:rsidR="00000000" w:rsidDel="00000000" w:rsidP="00000000" w:rsidRDefault="00000000" w:rsidRPr="00000000" w14:paraId="0000013C">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Traveller absence remains extremely low at 0.4%.</w:t>
            </w:r>
          </w:p>
          <w:p w:rsidR="00000000" w:rsidDel="00000000" w:rsidP="00000000" w:rsidRDefault="00000000" w:rsidRPr="00000000" w14:paraId="0000013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Term-time holiday absence reduced from 0.8% to 0.72% in the first two half terms of 2025/26.</w:t>
            </w:r>
          </w:p>
          <w:p w:rsidR="00000000" w:rsidDel="00000000" w:rsidP="00000000" w:rsidRDefault="00000000" w:rsidRPr="00000000" w14:paraId="0000013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Overall attendance is trending upwards, with disadvantaged pupils showing measurable improvement.</w:t>
            </w:r>
          </w:p>
          <w:p w:rsidR="00000000" w:rsidDel="00000000" w:rsidP="00000000" w:rsidRDefault="00000000" w:rsidRPr="00000000" w14:paraId="0000013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SEMH and readiness to learn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0">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school-based counsellor and Nurture programmes (The Nest/The Den) have improved emotional regulation and engagement.</w:t>
            </w:r>
          </w:p>
          <w:p w:rsidR="00000000" w:rsidDel="00000000" w:rsidP="00000000" w:rsidRDefault="00000000" w:rsidRPr="00000000" w14:paraId="0000014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Pupils receiving support demonstrate more consistent access to learning.</w:t>
            </w:r>
          </w:p>
          <w:p w:rsidR="00000000" w:rsidDel="00000000" w:rsidP="00000000" w:rsidRDefault="00000000" w:rsidRPr="00000000" w14:paraId="00000142">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FSW interventions and targeted support ensure that pupils from highly deprived backgrounds are well-supported.</w:t>
            </w:r>
          </w:p>
          <w:p w:rsidR="00000000" w:rsidDel="00000000" w:rsidP="00000000" w:rsidRDefault="00000000" w:rsidRPr="00000000" w14:paraId="0000014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Mental Health and Wellbeing: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t xml:space="preserve">In 2025, Hetton Lyons was awarded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Gold Mental Health Charter Mark</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recognising our high-quality, evidence-informed provision for pupil wellbeing. This achievement validates the effectiveness of our multi-pathway SEMH support — including the Family Support Worker, school-based counselling service, Mental Health Support Team (MHST), and Nurture Programme — in improving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engagement, emotional regulation, and readiness to learn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disadvantaged pupils. The award reflects the impact of targeted and universal strategies, which have contributed to stronger attendance, improved behaviour, and enhanced access to learning opportunities across the school.</w:t>
            </w:r>
          </w:p>
          <w:p w:rsidR="00000000" w:rsidDel="00000000" w:rsidP="00000000" w:rsidRDefault="00000000" w:rsidRPr="00000000" w14:paraId="00000144">
            <w:pPr>
              <w:pStyle w:val="Heading3"/>
              <w:rPr>
                <w:sz w:val="24"/>
                <w:szCs w:val="24"/>
              </w:rPr>
            </w:pPr>
            <w:r w:rsidDel="00000000" w:rsidR="00000000" w:rsidRPr="00000000">
              <w:rPr>
                <w:sz w:val="24"/>
                <w:szCs w:val="24"/>
                <w:rtl w:val="0"/>
              </w:rPr>
              <w:t xml:space="preserve">5. Analysis of Strategy Effectiveness</w:t>
            </w:r>
          </w:p>
          <w:p w:rsidR="00000000" w:rsidDel="00000000" w:rsidP="00000000" w:rsidRDefault="00000000" w:rsidRPr="00000000" w14:paraId="0000014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2024/25 Pupil Premium strategy has been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effective in improving outcomes and addressing barriers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associated with disadvantage.</w:t>
            </w:r>
          </w:p>
          <w:p w:rsidR="00000000" w:rsidDel="00000000" w:rsidP="00000000" w:rsidRDefault="00000000" w:rsidRPr="00000000" w14:paraId="000001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Strengths identified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Strong adaptive teaching and targeted academic interventions.</w:t>
            </w:r>
          </w:p>
          <w:p w:rsidR="00000000" w:rsidDel="00000000" w:rsidP="00000000" w:rsidRDefault="00000000" w:rsidRPr="00000000" w14:paraId="0000014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Positive impact of SEMH and wellbeing provision on pupil engagement.</w:t>
            </w:r>
          </w:p>
          <w:p w:rsidR="00000000" w:rsidDel="00000000" w:rsidP="00000000" w:rsidRDefault="00000000" w:rsidRPr="00000000" w14:paraId="0000014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Attendance improvements for disadvantaged pupils, including Traveller families.</w:t>
            </w:r>
          </w:p>
          <w:p w:rsidR="00000000" w:rsidDel="00000000" w:rsidP="00000000" w:rsidRDefault="00000000" w:rsidRPr="00000000" w14:paraId="0000014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Writing attainment shows marked improvement, exceeding national benchmarks.</w:t>
            </w:r>
          </w:p>
          <w:p w:rsidR="00000000" w:rsidDel="00000000" w:rsidP="00000000" w:rsidRDefault="00000000" w:rsidRPr="00000000" w14:paraId="000001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Areas for refinement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Reading outcomes, particularly statutory results, require continued focus 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fluency, comprehension, oracy, and targeted interventions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240" w:before="0" w:line="240" w:lineRule="auto"/>
              <w:ind w:left="144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Greater depth attainment in reading and writing will be monitored to ensure sustained progress.</w:t>
            </w:r>
          </w:p>
          <w:p w:rsidR="00000000" w:rsidDel="00000000" w:rsidP="00000000" w:rsidRDefault="00000000" w:rsidRPr="00000000" w14:paraId="0000014E">
            <w:pPr>
              <w:pStyle w:val="Heading3"/>
              <w:keepNext w:val="0"/>
              <w:spacing w:after="80" w:before="280" w:lineRule="auto"/>
              <w:rPr>
                <w:color w:val="000000"/>
                <w:sz w:val="24"/>
                <w:szCs w:val="24"/>
              </w:rPr>
            </w:pPr>
            <w:bookmarkStart w:colFirst="0" w:colLast="0" w:name="_heading=h.ybfygdomyyn5" w:id="4"/>
            <w:bookmarkEnd w:id="4"/>
            <w:r w:rsidDel="00000000" w:rsidR="00000000" w:rsidRPr="00000000">
              <w:rPr>
                <w:color w:val="000000"/>
                <w:sz w:val="24"/>
                <w:szCs w:val="24"/>
                <w:rtl w:val="0"/>
              </w:rPr>
              <w:t xml:space="preserve">5a. Personal development, enrichment and aspiration</w:t>
            </w:r>
          </w:p>
          <w:p w:rsidR="00000000" w:rsidDel="00000000" w:rsidP="00000000" w:rsidRDefault="00000000" w:rsidRPr="00000000" w14:paraId="0000014F">
            <w:pPr>
              <w:spacing w:before="240" w:line="240" w:lineRule="auto"/>
              <w:ind w:left="600" w:right="600" w:firstLine="0"/>
              <w:rPr>
                <w:color w:val="000000"/>
              </w:rPr>
            </w:pPr>
            <w:r w:rsidDel="00000000" w:rsidR="00000000" w:rsidRPr="00000000">
              <w:rPr>
                <w:color w:val="000000"/>
                <w:rtl w:val="0"/>
              </w:rPr>
              <w:t xml:space="preserve">Disadvantaged pupils have benefitted from a broad, well-planned enrichment offer including curriculum-linked visits, residential experiences, visitors and an extensive after-school club programme. Targeted funding ensures pupils access activities such as baking, cooking, archery, sports, arts and reading clubs, removing financial barriers to participation.</w:t>
            </w:r>
          </w:p>
          <w:p w:rsidR="00000000" w:rsidDel="00000000" w:rsidP="00000000" w:rsidRDefault="00000000" w:rsidRPr="00000000" w14:paraId="00000150">
            <w:pPr>
              <w:spacing w:before="240" w:line="240" w:lineRule="auto"/>
              <w:ind w:left="600" w:right="600" w:firstLine="0"/>
              <w:rPr>
                <w:color w:val="000000"/>
              </w:rPr>
            </w:pPr>
            <w:r w:rsidDel="00000000" w:rsidR="00000000" w:rsidRPr="00000000">
              <w:rPr>
                <w:color w:val="000000"/>
                <w:rtl w:val="0"/>
              </w:rPr>
              <w:t xml:space="preserve">Pupil voice indicates increased confidence, enjoyment of school, teamwork and aspiration. Pupils can talk knowledgeably about their experiences, link them to curriculum learning and describe future ambitions. These opportunities contribute directly to improved engagement, attendance and readiness to learn.</w:t>
            </w:r>
          </w:p>
          <w:p w:rsidR="00000000" w:rsidDel="00000000" w:rsidP="00000000" w:rsidRDefault="00000000" w:rsidRPr="00000000" w14:paraId="00000151">
            <w:pPr>
              <w:pStyle w:val="Heading3"/>
              <w:rPr>
                <w:sz w:val="24"/>
                <w:szCs w:val="24"/>
              </w:rPr>
            </w:pPr>
            <w:r w:rsidDel="00000000" w:rsidR="00000000" w:rsidRPr="00000000">
              <w:rPr>
                <w:sz w:val="24"/>
                <w:szCs w:val="24"/>
                <w:rtl w:val="0"/>
              </w:rPr>
              <w:t xml:space="preserve">6. Transition to 2025/26 Priorities</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Building on the 2024/25 strategy:</w:t>
            </w:r>
          </w:p>
          <w:p w:rsidR="00000000" w:rsidDel="00000000" w:rsidP="00000000" w:rsidRDefault="00000000" w:rsidRPr="00000000" w14:paraId="000001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strong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adaptive teaching and targeted interventions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across reading, writing, and maths.</w:t>
            </w:r>
          </w:p>
          <w:p w:rsidR="00000000" w:rsidDel="00000000" w:rsidP="00000000" w:rsidRDefault="00000000" w:rsidRPr="00000000" w14:paraId="000001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Focus 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sustaining and accelerating reading progress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including oracy-led comprehension strategies.</w:t>
            </w:r>
          </w:p>
          <w:p w:rsidR="00000000" w:rsidDel="00000000" w:rsidP="00000000" w:rsidRDefault="00000000" w:rsidRPr="00000000" w14:paraId="000001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Continue to strengthen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writing attainment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developing stamina, accuracy, and composition across the curriculum.</w:t>
            </w:r>
          </w:p>
          <w:p w:rsidR="00000000" w:rsidDel="00000000" w:rsidP="00000000" w:rsidRDefault="00000000" w:rsidRPr="00000000" w14:paraId="0000015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attendance and SEMH support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with an emphasis on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early identification and prevention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equitable access to enrichment and cultural capital opportunities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all disadvantaged pupils.</w:t>
            </w:r>
          </w:p>
          <w:p w:rsidR="00000000" w:rsidDel="00000000" w:rsidP="00000000" w:rsidRDefault="00000000" w:rsidRPr="00000000" w14:paraId="000001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Year 2 strategy aims to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secure further narrowing of gaps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consolidate gains from Year 1, and ensure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full impact of interventions is reflected in internal and statutory outcomes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59">
      <w:pPr>
        <w:pStyle w:val="Heading2"/>
        <w:rPr/>
      </w:pPr>
      <w:r w:rsidDel="00000000" w:rsidR="00000000" w:rsidRPr="00000000">
        <w:rPr>
          <w:rtl w:val="0"/>
        </w:rPr>
        <w:t xml:space="preserve">Externally provided programmes</w:t>
      </w:r>
    </w:p>
    <w:p w:rsidR="00000000" w:rsidDel="00000000" w:rsidP="00000000" w:rsidRDefault="00000000" w:rsidRPr="00000000" w14:paraId="0000015A">
      <w:pPr>
        <w:rPr>
          <w:i w:val="1"/>
          <w:iCs w:val="1"/>
        </w:rPr>
      </w:pPr>
      <w:r w:rsidDel="00000000" w:rsidR="00000000" w:rsidRPr="00000000">
        <w:rPr>
          <w:i w:val="1"/>
          <w:iCs w:val="1"/>
          <w:rtl w:val="0"/>
        </w:rPr>
        <w:t xml:space="preserve">Please include the names of any non-DfE programmes that you used your pupil premium to fund in the previous academic year. </w:t>
      </w:r>
    </w:p>
    <w:tbl>
      <w:tblPr>
        <w:tblStyle w:val="Table12"/>
        <w:tblW w:w="9486.0" w:type="dxa"/>
        <w:jc w:val="left"/>
        <w:tblLayout w:type="fixed"/>
        <w:tblLook w:val="0400"/>
      </w:tblPr>
      <w:tblGrid>
        <w:gridCol w:w="4815"/>
        <w:gridCol w:w="4671"/>
        <w:tblGridChange w:id="0">
          <w:tblGrid>
            <w:gridCol w:w="4815"/>
            <w:gridCol w:w="467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Programme</w:t>
            </w:r>
          </w:p>
        </w:tc>
        <w:tc>
          <w:tcPr>
            <w:tcBorders>
              <w:top w:color="000000" w:space="0" w:sz="4" w:val="single"/>
              <w:left w:color="000000" w:space="0" w:sz="4" w:val="single"/>
              <w:bottom w:color="000000" w:space="0" w:sz="4" w:val="single"/>
              <w:right w:color="000000" w:space="0" w:sz="4" w:val="single"/>
            </w:tcBorders>
            <w:shd w:fill="cfdce3" w:val="clear"/>
            <w:tcMar>
              <w:top w:w="0.0" w:type="dxa"/>
              <w:left w:w="108.0" w:type="dxa"/>
              <w:bottom w:w="0.0" w:type="dxa"/>
              <w:right w:w="108.0" w:type="dxa"/>
            </w:tcMar>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0d0d"/>
                <w:sz w:val="24"/>
                <w:szCs w:val="24"/>
                <w:u w:val="none"/>
                <w:shd w:fill="auto" w:val="clear"/>
                <w:vertAlign w:val="baseline"/>
                <w:rtl w:val="0"/>
              </w:rPr>
              <w:t xml:space="preserve">Provider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1">
      <w:pPr>
        <w:pStyle w:val="Heading2"/>
        <w:rPr/>
      </w:pPr>
      <w:r w:rsidDel="00000000" w:rsidR="00000000" w:rsidRPr="00000000">
        <w:rPr>
          <w:rtl w:val="0"/>
        </w:rPr>
        <w:t xml:space="preserve">Service pupil premium funding (optional)</w:t>
      </w:r>
    </w:p>
    <w:tbl>
      <w:tblPr>
        <w:tblStyle w:val="Table13"/>
        <w:tblW w:w="94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6"/>
        <w:tblGridChange w:id="0">
          <w:tblGrid>
            <w:gridCol w:w="9486"/>
          </w:tblGrid>
        </w:tblGridChange>
      </w:tblGrid>
      <w:tr>
        <w:trPr>
          <w:cantSplit w:val="0"/>
          <w:tblHeader w:val="0"/>
        </w:trPr>
        <w:tc>
          <w:tcPr>
            <w:shd w:fill="cfdce3" w:val="clear"/>
          </w:tcPr>
          <w:p w:rsidR="00000000" w:rsidDel="00000000" w:rsidP="00000000" w:rsidRDefault="00000000" w:rsidRPr="00000000" w14:paraId="00000162">
            <w:pPr>
              <w:spacing w:after="60" w:before="60" w:lineRule="auto"/>
              <w:rPr>
                <w:b w:val="1"/>
                <w:bCs w:val="1"/>
              </w:rPr>
            </w:pPr>
            <w:r w:rsidDel="00000000" w:rsidR="00000000" w:rsidRPr="00000000">
              <w:rPr>
                <w:i w:val="1"/>
                <w:iCs w:val="1"/>
                <w:rtl w:val="0"/>
              </w:rPr>
              <w:t xml:space="preserve">For schools that receive this funding, you may wish to provide the following information: </w:t>
            </w:r>
            <w:r w:rsidDel="00000000" w:rsidR="00000000" w:rsidRPr="00000000">
              <w:rPr>
                <w:b w:val="1"/>
                <w:bCs w:val="1"/>
                <w:color w:val="000000"/>
                <w:rtl w:val="0"/>
              </w:rPr>
              <w:t xml:space="preserve">How our service pupil premium allocation was spent last academic year</w:t>
            </w:r>
            <w:r w:rsidDel="00000000" w:rsidR="00000000" w:rsidRPr="00000000">
              <w:rPr>
                <w:rtl w:val="0"/>
              </w:rPr>
            </w:r>
          </w:p>
        </w:tc>
      </w:tr>
      <w:tr>
        <w:trPr>
          <w:cantSplit w:val="0"/>
          <w:tblHeader w:val="0"/>
        </w:trPr>
        <w:tc>
          <w:tcPr/>
          <w:p w:rsidR="00000000" w:rsidDel="00000000" w:rsidP="00000000" w:rsidRDefault="00000000" w:rsidRPr="00000000" w14:paraId="00000163">
            <w:pPr>
              <w:rPr/>
            </w:pPr>
            <w:r w:rsidDel="00000000" w:rsidR="00000000" w:rsidRPr="00000000">
              <w:rPr>
                <w:rtl w:val="0"/>
              </w:rPr>
            </w:r>
          </w:p>
        </w:tc>
      </w:tr>
      <w:tr>
        <w:trPr>
          <w:cantSplit w:val="0"/>
          <w:tblHeader w:val="0"/>
        </w:trPr>
        <w:tc>
          <w:tcPr>
            <w:shd w:fill="cfdce3" w:val="clear"/>
          </w:tcPr>
          <w:p w:rsidR="00000000" w:rsidDel="00000000" w:rsidP="00000000" w:rsidRDefault="00000000" w:rsidRPr="00000000" w14:paraId="00000164">
            <w:pPr>
              <w:spacing w:after="60" w:before="60" w:lineRule="auto"/>
              <w:rPr>
                <w:b w:val="1"/>
                <w:bCs w:val="1"/>
              </w:rPr>
            </w:pPr>
            <w:r w:rsidDel="00000000" w:rsidR="00000000" w:rsidRPr="00000000">
              <w:rPr>
                <w:b w:val="1"/>
                <w:bCs w:val="1"/>
                <w:color w:val="000000"/>
                <w:rtl w:val="0"/>
              </w:rPr>
              <w:t xml:space="preserve">The impact of that spending on service pupil premium eligible pupils</w:t>
            </w:r>
            <w:r w:rsidDel="00000000" w:rsidR="00000000" w:rsidRPr="00000000">
              <w:rPr>
                <w:rtl w:val="0"/>
              </w:rPr>
            </w:r>
          </w:p>
        </w:tc>
      </w:tr>
      <w:tr>
        <w:trPr>
          <w:cantSplit w:val="0"/>
          <w:tblHeader w:val="0"/>
        </w:trPr>
        <w:tc>
          <w:tcPr/>
          <w:p w:rsidR="00000000" w:rsidDel="00000000" w:rsidP="00000000" w:rsidRDefault="00000000" w:rsidRPr="00000000" w14:paraId="00000165">
            <w:pPr>
              <w:rPr/>
            </w:pPr>
            <w:r w:rsidDel="00000000" w:rsidR="00000000" w:rsidRPr="00000000">
              <w:rPr>
                <w:rtl w:val="0"/>
              </w:rPr>
            </w:r>
          </w:p>
        </w:tc>
      </w:tr>
    </w:tbl>
    <w:p w:rsidR="00000000" w:rsidDel="00000000" w:rsidP="00000000" w:rsidRDefault="00000000" w:rsidRPr="00000000" w14:paraId="00000166">
      <w:pPr>
        <w:spacing w:after="0" w:line="240" w:lineRule="auto"/>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sectPr>
      <w:type w:val="nextPage"/>
      <w:pgSz w:h="16838" w:w="11906" w:orient="portrait"/>
      <w:pgMar w:bottom="1134" w:top="1134" w:left="1134" w:right="1276"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4513"/>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d0d0d"/>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0d0d"/>
        <w:sz w:val="24"/>
        <w:szCs w:val="24"/>
        <w:lang w:val="en_GB"/>
      </w:rPr>
    </w:rPrDefault>
    <w:pPrDefault>
      <w:pPr>
        <w:spacing w:after="24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1"/>
      <w:spacing w:line="240" w:lineRule="auto"/>
    </w:pPr>
    <w:rPr>
      <w:b w:val="1"/>
      <w:bCs w:val="1"/>
      <w:color w:val="104f75"/>
      <w:sz w:val="36"/>
      <w:szCs w:val="36"/>
    </w:rPr>
  </w:style>
  <w:style w:type="paragraph" w:styleId="Heading2">
    <w:name w:val="heading 2"/>
    <w:basedOn w:val="Normal"/>
    <w:next w:val="Normal"/>
    <w:pPr>
      <w:keepNext w:val="1"/>
      <w:spacing w:before="480" w:line="240" w:lineRule="auto"/>
    </w:pPr>
    <w:rPr>
      <w:b w:val="1"/>
      <w:bCs w:val="1"/>
      <w:color w:val="104f75"/>
      <w:sz w:val="32"/>
      <w:szCs w:val="32"/>
    </w:rPr>
  </w:style>
  <w:style w:type="paragraph" w:styleId="Heading3">
    <w:name w:val="heading 3"/>
    <w:basedOn w:val="Normal"/>
    <w:next w:val="Normal"/>
    <w:pPr>
      <w:keepNext w:val="1"/>
      <w:spacing w:before="360" w:line="240" w:lineRule="auto"/>
    </w:pPr>
    <w:rPr>
      <w:b w:val="1"/>
      <w:bCs w:val="1"/>
      <w:color w:val="104f75"/>
      <w:sz w:val="28"/>
      <w:szCs w:val="28"/>
    </w:rPr>
  </w:style>
  <w:style w:type="paragraph" w:styleId="Heading4">
    <w:name w:val="heading 4"/>
    <w:basedOn w:val="Normal"/>
    <w:next w:val="Normal"/>
    <w:pPr>
      <w:keepNext w:val="1"/>
      <w:spacing w:before="240" w:line="240" w:lineRule="auto"/>
    </w:pPr>
    <w:rPr>
      <w:b w:val="1"/>
      <w:bCs w:val="1"/>
      <w:color w:val="104f75"/>
      <w:sz w:val="24"/>
      <w:szCs w:val="24"/>
    </w:rPr>
  </w:style>
  <w:style w:type="paragraph" w:styleId="Heading5">
    <w:name w:val="heading 5"/>
    <w:basedOn w:val="Normal"/>
    <w:next w:val="Normal"/>
    <w:pPr>
      <w:spacing w:after="60" w:before="240" w:lineRule="auto"/>
      <w:ind w:left="1008" w:hanging="1008"/>
    </w:pPr>
    <w:rPr>
      <w:rFonts w:ascii="Calibri" w:cs="Calibri" w:eastAsia="Calibri" w:hAnsi="Calibri"/>
      <w:b w:val="1"/>
      <w:bCs w:val="1"/>
      <w:i w:val="1"/>
      <w:iCs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bCs w:val="1"/>
    </w:rPr>
  </w:style>
  <w:style w:type="paragraph" w:styleId="Title">
    <w:name w:val="Title"/>
    <w:basedOn w:val="Normal"/>
    <w:next w:val="Normal"/>
    <w:pPr>
      <w:spacing w:before="240" w:line="240" w:lineRule="auto"/>
    </w:pPr>
    <w:rPr>
      <w:b w:val="1"/>
      <w:bCs w:val="1"/>
      <w:color w:val="104f75"/>
      <w:sz w:val="96"/>
      <w:szCs w:val="96"/>
    </w:rPr>
  </w:style>
  <w:style w:type="paragraph" w:styleId="Heading7">
    <w:name w:val="heading 7"/>
    <w:basedOn w:val="Normal"/>
    <w:next w:val="Normal"/>
    <w:pPr>
      <w:numPr>
        <w:ilvl w:val="6"/>
        <w:numId w:val="1"/>
      </w:numPr>
      <w:spacing w:after="60" w:before="240"/>
      <w:outlineLvl w:val="6"/>
    </w:pPr>
    <w:rPr>
      <w:rFonts w:ascii="Calibri" w:hAnsi="Calibri"/>
    </w:rPr>
  </w:style>
  <w:style w:type="paragraph" w:styleId="Heading8">
    <w:name w:val="heading 8"/>
    <w:basedOn w:val="Normal"/>
    <w:next w:val="Normal"/>
    <w:pPr>
      <w:numPr>
        <w:ilvl w:val="7"/>
        <w:numId w:val="1"/>
      </w:numPr>
      <w:spacing w:after="60" w:before="240"/>
      <w:outlineLvl w:val="7"/>
    </w:pPr>
    <w:rPr>
      <w:rFonts w:ascii="Calibri" w:hAnsi="Calibri"/>
      <w:i w:val="1"/>
      <w:iCs w:val="1"/>
    </w:rPr>
  </w:style>
  <w:style w:type="paragraph" w:styleId="Heading9">
    <w:name w:val="heading 9"/>
    <w:basedOn w:val="Normal"/>
    <w:next w:val="Normal"/>
    <w:pPr>
      <w:numPr>
        <w:ilvl w:val="8"/>
        <w:numId w:val="1"/>
      </w:numPr>
      <w:spacing w:after="60" w:before="240"/>
      <w:outlineLvl w:val="8"/>
    </w:pPr>
    <w:rPr>
      <w:rFonts w:ascii="Cambria" w:hAnsi="Cambria"/>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numbering" w:styleId="WWOutlineListStyle1" w:customStyle="1">
    <w:name w:val="WW_OutlineListStyle_1"/>
    <w:basedOn w:val="NoList"/>
    <w:pPr>
      <w:numPr>
        <w:numId w:val="1"/>
      </w:numPr>
    </w:pPr>
  </w:style>
  <w:style w:type="character" w:styleId="Heading1Char" w:customStyle="1">
    <w:name w:val="Heading 1 Char"/>
    <w:rPr>
      <w:b w:val="1"/>
      <w:color w:val="104f75"/>
      <w:sz w:val="36"/>
      <w:szCs w:val="24"/>
    </w:rPr>
  </w:style>
  <w:style w:type="character" w:styleId="Heading2Char" w:customStyle="1">
    <w:name w:val="Heading 2 Char"/>
    <w:rPr>
      <w:b w:val="1"/>
      <w:color w:val="104f75"/>
      <w:sz w:val="32"/>
      <w:szCs w:val="32"/>
    </w:rPr>
  </w:style>
  <w:style w:type="character" w:styleId="Heading3Char" w:customStyle="1">
    <w:name w:val="Heading 3 Char"/>
    <w:rPr>
      <w:b w:val="1"/>
      <w:bCs w:val="1"/>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val="1"/>
    </w:pPr>
    <w:rPr>
      <w:rFonts w:cs="Arial"/>
      <w:b w:val="1"/>
      <w:color w:val="365f91"/>
      <w:sz w:val="36"/>
      <w:szCs w:val="28"/>
      <w:lang w:eastAsia="ja-JP"/>
    </w:rPr>
  </w:style>
  <w:style w:type="paragraph" w:styleId="TitleText" w:customStyle="1">
    <w:name w:val="TitleText"/>
    <w:basedOn w:val="Normal"/>
    <w:pPr>
      <w:spacing w:before="3600" w:line="240" w:lineRule="auto"/>
    </w:pPr>
    <w:rPr>
      <w:rFonts w:cs="Arial"/>
      <w:b w:val="1"/>
      <w:color w:val="104f75"/>
      <w:sz w:val="92"/>
      <w:szCs w:val="92"/>
    </w:rPr>
  </w:style>
  <w:style w:type="character" w:styleId="TitleTextChar" w:customStyle="1">
    <w:name w:val="TitleText Char"/>
    <w:rPr>
      <w:rFonts w:cs="Arial"/>
      <w:b w:val="1"/>
      <w:color w:val="104f75"/>
      <w:sz w:val="92"/>
      <w:szCs w:val="92"/>
    </w:rPr>
  </w:style>
  <w:style w:type="paragraph" w:styleId="SubtitleText" w:customStyle="1">
    <w:name w:val="SubtitleText"/>
    <w:basedOn w:val="Normal"/>
    <w:pPr>
      <w:spacing w:after="1520"/>
    </w:pPr>
    <w:rPr>
      <w:rFonts w:cs="Arial"/>
      <w:b w:val="1"/>
      <w:color w:val="104f75"/>
      <w:sz w:val="48"/>
      <w:szCs w:val="48"/>
    </w:rPr>
  </w:style>
  <w:style w:type="character" w:styleId="SubtitleTextChar" w:customStyle="1">
    <w:name w:val="SubtitleText Char"/>
    <w:rPr>
      <w:rFonts w:cs="Arial"/>
      <w:b w:val="1"/>
      <w:color w:val="104f75"/>
      <w:sz w:val="48"/>
      <w:szCs w:val="48"/>
    </w:rPr>
  </w:style>
  <w:style w:type="paragraph" w:styleId="ListBullet">
    <w:name w:val="List Bullet"/>
    <w:basedOn w:val="ListBullet5"/>
    <w:pPr>
      <w:numPr>
        <w:numId w:val="5"/>
      </w:numPr>
      <w:contextualSpacing w:val="1"/>
    </w:pPr>
  </w:style>
  <w:style w:type="paragraph" w:styleId="TOC1">
    <w:name w:val="toc 1"/>
    <w:basedOn w:val="Normal"/>
    <w:next w:val="Normal"/>
    <w:autoRedefine w:val="1"/>
    <w:pPr>
      <w:tabs>
        <w:tab w:val="right" w:pos="9498"/>
      </w:tabs>
      <w:spacing w:after="120"/>
    </w:pPr>
  </w:style>
  <w:style w:type="paragraph" w:styleId="TOC2">
    <w:name w:val="toc 2"/>
    <w:basedOn w:val="Normal"/>
    <w:next w:val="Normal"/>
    <w:autoRedefine w:val="1"/>
    <w:pPr>
      <w:tabs>
        <w:tab w:val="right" w:pos="9498"/>
      </w:tabs>
      <w:spacing w:after="120"/>
      <w:ind w:left="238"/>
    </w:pPr>
  </w:style>
  <w:style w:type="paragraph" w:styleId="TOC3">
    <w:name w:val="toc 3"/>
    <w:basedOn w:val="Normal"/>
    <w:next w:val="Normal"/>
    <w:autoRedefine w:val="1"/>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after="120" w:before="6000"/>
    </w:pPr>
  </w:style>
  <w:style w:type="character" w:styleId="CopyrightSpacingChar" w:customStyle="1">
    <w:name w:val="CopyrightSpacing Char"/>
    <w:rPr>
      <w:sz w:val="24"/>
      <w:szCs w:val="24"/>
    </w:rPr>
  </w:style>
  <w:style w:type="character" w:styleId="TitleChar" w:customStyle="1">
    <w:name w:val="Title Char"/>
    <w:rPr>
      <w:rFonts w:ascii="Arial" w:cs="Arial" w:hAnsi="Arial"/>
      <w:b w:val="1"/>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val="1"/>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pPr>
      <w:numPr>
        <w:numId w:val="8"/>
      </w:numPr>
      <w:contextualSpacing w:val="1"/>
    </w:pPr>
  </w:style>
  <w:style w:type="paragraph" w:styleId="Caption">
    <w:name w:val="caption"/>
    <w:basedOn w:val="Normal"/>
    <w:next w:val="Normal"/>
    <w:pPr>
      <w:spacing w:after="120" w:before="120"/>
      <w:jc w:val="center"/>
    </w:pPr>
    <w:rPr>
      <w:b w:val="1"/>
      <w:bCs w:val="1"/>
      <w:color w:val="000000"/>
      <w:sz w:val="20"/>
      <w:szCs w:val="20"/>
    </w:rPr>
  </w:style>
  <w:style w:type="character" w:styleId="Heading4Char" w:customStyle="1">
    <w:name w:val="Heading 4 Char"/>
    <w:rPr>
      <w:b w:val="1"/>
      <w:bCs w:val="1"/>
      <w:color w:val="104f75"/>
      <w:sz w:val="24"/>
      <w:szCs w:val="28"/>
    </w:rPr>
  </w:style>
  <w:style w:type="character" w:styleId="Heading5Char" w:customStyle="1">
    <w:name w:val="Heading 5 Char"/>
    <w:rPr>
      <w:rFonts w:ascii="Calibri" w:hAnsi="Calibri"/>
      <w:b w:val="1"/>
      <w:bCs w:val="1"/>
      <w:i w:val="1"/>
      <w:iCs w:val="1"/>
      <w:color w:val="0d0d0d"/>
      <w:sz w:val="26"/>
      <w:szCs w:val="26"/>
    </w:rPr>
  </w:style>
  <w:style w:type="character" w:styleId="Heading6Char" w:customStyle="1">
    <w:name w:val="Heading 6 Char"/>
    <w:rPr>
      <w:rFonts w:ascii="Calibri" w:hAnsi="Calibri"/>
      <w:b w:val="1"/>
      <w:bCs w:val="1"/>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val="1"/>
      <w:iCs w:val="1"/>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val="1"/>
      <w:spacing w:after="60" w:before="60"/>
      <w:ind w:left="57" w:right="57"/>
      <w:jc w:val="center"/>
    </w:pPr>
    <w:rPr>
      <w:b w:val="1"/>
      <w:color w:val="0d0d0d"/>
      <w:sz w:val="24"/>
      <w:szCs w:val="24"/>
    </w:rPr>
  </w:style>
  <w:style w:type="paragraph" w:styleId="BalloonText">
    <w:name w:val="Balloon Text"/>
    <w:basedOn w:val="Normal"/>
    <w:pPr>
      <w:spacing w:after="0" w:line="240" w:lineRule="auto"/>
    </w:pPr>
    <w:rPr>
      <w:rFonts w:ascii="Tahoma" w:cs="Tahoma" w:hAnsi="Tahoma"/>
      <w:sz w:val="16"/>
      <w:szCs w:val="16"/>
    </w:rPr>
  </w:style>
  <w:style w:type="character" w:styleId="BalloonTextChar" w:customStyle="1">
    <w:name w:val="Balloon Text Char"/>
    <w:rPr>
      <w:rFonts w:ascii="Tahoma" w:cs="Tahoma" w:hAnsi="Tahoma"/>
      <w:sz w:val="16"/>
      <w:szCs w:val="16"/>
    </w:rPr>
  </w:style>
  <w:style w:type="paragraph" w:styleId="TableRow" w:customStyle="1">
    <w:name w:val="TableRow"/>
    <w:pPr>
      <w:suppressAutoHyphens w:val="1"/>
      <w:spacing w:after="60" w:before="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val="1"/>
      <w:bCs w:val="1"/>
      <w:sz w:val="20"/>
    </w:rPr>
  </w:style>
  <w:style w:type="paragraph" w:styleId="ColouredBoxHeadline" w:customStyle="1">
    <w:name w:val="Coloured Box Headline"/>
    <w:basedOn w:val="Normal"/>
    <w:pPr>
      <w:spacing w:before="120"/>
    </w:pPr>
    <w:rPr>
      <w:b w:val="1"/>
      <w:bCs w:val="1"/>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styleId="CommentTextChar" w:customStyle="1">
    <w:name w:val="Comment Text Char"/>
    <w:basedOn w:val="DefaultParagraphFont"/>
    <w:uiPriority w:val="99"/>
  </w:style>
  <w:style w:type="paragraph" w:styleId="CommentSubject">
    <w:name w:val="annotation subject"/>
    <w:basedOn w:val="CommentText"/>
    <w:next w:val="CommentText"/>
    <w:rPr>
      <w:b w:val="1"/>
      <w:bCs w:val="1"/>
    </w:rPr>
  </w:style>
  <w:style w:type="character" w:styleId="CommentSubjectChar" w:customStyle="1">
    <w:name w:val="Comment Subject Char"/>
    <w:basedOn w:val="CommentTextChar"/>
    <w:rPr>
      <w:b w:val="1"/>
      <w:bCs w:val="1"/>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val="1"/>
      <w:bCs w:val="1"/>
      <w:color w:val="104f75"/>
      <w:sz w:val="44"/>
      <w:szCs w:val="44"/>
    </w:rPr>
  </w:style>
  <w:style w:type="character" w:styleId="DateChar" w:customStyle="1">
    <w:name w:val="Date Char"/>
    <w:basedOn w:val="DefaultParagraphFont"/>
    <w:rPr>
      <w:rFonts w:cs="Arial"/>
      <w:b w:val="1"/>
      <w:bCs w:val="1"/>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val="1"/>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val="1"/>
    </w:pPr>
  </w:style>
  <w:style w:type="paragraph" w:styleId="Logos" w:customStyle="1">
    <w:name w:val="Logos"/>
    <w:basedOn w:val="Normal"/>
    <w:pPr>
      <w:pageBreakBefore w:val="1"/>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val="1"/>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val="1"/>
      <w:suppressAutoHyphens w:val="1"/>
    </w:pPr>
    <w:rPr>
      <w:b w:val="1"/>
      <w:color w:val="104f75"/>
      <w:sz w:val="36"/>
      <w:szCs w:val="24"/>
    </w:rPr>
  </w:style>
  <w:style w:type="character" w:styleId="TOCHeaderChar" w:customStyle="1">
    <w:name w:val="TOC Header Char"/>
    <w:rPr>
      <w:b w:val="1"/>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val="1"/>
      <w:keepLines w:val="1"/>
      <w:widowControl w:val="0"/>
      <w:overflowPunct w:val="0"/>
      <w:autoSpaceDE w:val="0"/>
      <w:spacing w:before="240" w:line="240" w:lineRule="auto"/>
      <w:ind w:left="-720"/>
      <w:textAlignment w:val="baseline"/>
    </w:pPr>
    <w:rPr>
      <w:b w:val="1"/>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cs="Arial" w:hAnsi="Arial"/>
      <w:color w:val="auto"/>
      <w:sz w:val="20"/>
    </w:rPr>
  </w:style>
  <w:style w:type="character" w:styleId="PersonalReplyStyle" w:customStyle="1">
    <w:name w:val="Personal Reply Style"/>
    <w:basedOn w:val="DefaultParagraphFont"/>
    <w:rPr>
      <w:rFonts w:ascii="Arial" w:cs="Arial" w:hAnsi="Arial"/>
      <w:color w:val="auto"/>
      <w:sz w:val="20"/>
    </w:rPr>
  </w:style>
  <w:style w:type="paragraph" w:styleId="Sub-Heading" w:customStyle="1">
    <w:name w:val="Sub-Heading"/>
    <w:basedOn w:val="Heading"/>
    <w:next w:val="Numbered"/>
    <w:pPr>
      <w:spacing w:before="0"/>
    </w:pPr>
  </w:style>
  <w:style w:type="character" w:styleId="SubtitleChar" w:customStyle="1">
    <w:name w:val="Subtitle Char"/>
    <w:basedOn w:val="DefaultParagraphFont"/>
    <w:rPr>
      <w:i w:val="1"/>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color="auto" w:fill="e1dfdd" w:val="clear"/>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paragraph" w:styleId="Revision">
    <w:name w:val="Revision"/>
    <w:hidden w:val="1"/>
    <w:uiPriority w:val="99"/>
    <w:semiHidden w:val="1"/>
    <w:rsid w:val="00115538"/>
    <w:pPr>
      <w:autoSpaceDN w:val="1"/>
    </w:pPr>
    <w:rPr>
      <w:color w:val="0d0d0d"/>
      <w:sz w:val="24"/>
      <w:szCs w:val="24"/>
    </w:rPr>
  </w:style>
  <w:style w:type="character" w:styleId="Mention">
    <w:name w:val="Mention"/>
    <w:basedOn w:val="DefaultParagraphFont"/>
    <w:uiPriority w:val="99"/>
    <w:unhideWhenUsed w:val="1"/>
    <w:rsid w:val="00E726A6"/>
    <w:rPr>
      <w:color w:val="2b579a"/>
      <w:shd w:color="auto" w:fill="e1dfdd" w:val="clear"/>
    </w:rPr>
  </w:style>
  <w:style w:type="table" w:styleId="TableGrid">
    <w:name w:val="Table Grid"/>
    <w:basedOn w:val="TableNormal"/>
    <w:uiPriority w:val="39"/>
    <w:rsid w:val="009539E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val="1"/>
    <w:rsid w:val="00721B51"/>
    <w:rPr>
      <w:color w:val="0d0d0d"/>
      <w:sz w:val="24"/>
      <w:szCs w:val="24"/>
    </w:rPr>
  </w:style>
  <w:style w:type="character" w:styleId="ui-provider" w:customStyle="1">
    <w:name w:val="ui-provider"/>
    <w:basedOn w:val="DefaultParagraphFont"/>
    <w:rsid w:val="00287FA8"/>
  </w:style>
  <w:style w:type="paragraph" w:styleId="TableParagraph" w:customStyle="1">
    <w:name w:val="Table Paragraph"/>
    <w:basedOn w:val="Normal"/>
    <w:uiPriority w:val="1"/>
    <w:qFormat w:val="1"/>
    <w:rsid w:val="00C9351C"/>
    <w:pPr>
      <w:widowControl w:val="0"/>
      <w:suppressAutoHyphens w:val="0"/>
      <w:autoSpaceDE w:val="0"/>
      <w:spacing w:after="0" w:line="240" w:lineRule="auto"/>
    </w:pPr>
    <w:rPr>
      <w:rFonts w:ascii="Calibri" w:cs="Calibri" w:eastAsia="Calibri" w:hAnsi="Calibri"/>
      <w:color w:val="auto"/>
      <w:sz w:val="22"/>
      <w:szCs w:val="22"/>
      <w:lang w:eastAsia="en-US" w:val="en-US"/>
    </w:rPr>
  </w:style>
  <w:style w:type="paragraph" w:styleId="NormalWeb">
    <w:name w:val="Normal (Web)"/>
    <w:basedOn w:val="Normal"/>
    <w:uiPriority w:val="99"/>
    <w:unhideWhenUsed w:val="1"/>
    <w:rsid w:val="00C9351C"/>
    <w:pPr>
      <w:suppressAutoHyphens w:val="0"/>
      <w:autoSpaceDN w:val="1"/>
      <w:spacing w:after="100" w:afterAutospacing="1" w:before="100" w:beforeAutospacing="1" w:line="240" w:lineRule="auto"/>
    </w:pPr>
    <w:rPr>
      <w:rFonts w:ascii="Times New Roman" w:hAnsi="Times New Roman"/>
      <w:color w:val="auto"/>
    </w:rPr>
  </w:style>
  <w:style w:type="character" w:styleId="Strong">
    <w:name w:val="Strong"/>
    <w:basedOn w:val="DefaultParagraphFont"/>
    <w:uiPriority w:val="22"/>
    <w:qFormat w:val="1"/>
    <w:rsid w:val="00C9351C"/>
    <w:rPr>
      <w:b w:val="1"/>
      <w:bCs w:val="1"/>
    </w:rPr>
  </w:style>
  <w:style w:type="paragraph" w:styleId="Subtitle">
    <w:name w:val="Subtitle"/>
    <w:basedOn w:val="Normal"/>
    <w:next w:val="Normal"/>
    <w:pPr>
      <w:widowControl w:val="0"/>
      <w:spacing w:after="60" w:line="240" w:lineRule="auto"/>
      <w:jc w:val="center"/>
    </w:pPr>
    <w:rPr>
      <w:i w:val="1"/>
      <w:iCs w:val="1"/>
      <w:color w:val="000000"/>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1r9UHUMw15g349d0VnbJwcb3A==">CgMxLjAaJAoBMBIfCh0IB0IZCgVBcmlhbBIQQXJpYWwgVW5pY29kZSBNUxodCgExEhgKFggHQhISEEFyaWFsIFVuaWNvZGUgTVMyDmguZXkydGxrNW5yM2ZpMg5oLmZqOGxkbWUwNXRtcTIOaC53cXZieWhucTR1aHMyDWgud2ZxcTB5ZDdtOXMyDmgueWJmeWdkb215eW41OAByITFrYVFKaUxsa3Radl9ETF9DNWJicVlialVPcEZ1WkxrNA==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2026-01-11T20:35:00Z</dcterms:created>
  <dc:creator>Department for Education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