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7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2"/>
        <w:gridCol w:w="1992"/>
        <w:gridCol w:w="1992"/>
        <w:gridCol w:w="1993"/>
        <w:gridCol w:w="1993"/>
        <w:gridCol w:w="1993"/>
        <w:gridCol w:w="1993"/>
        <w:tblGridChange w:id="0">
          <w:tblGrid>
            <w:gridCol w:w="1992"/>
            <w:gridCol w:w="1992"/>
            <w:gridCol w:w="1992"/>
            <w:gridCol w:w="1993"/>
            <w:gridCol w:w="1993"/>
            <w:gridCol w:w="1993"/>
            <w:gridCol w:w="1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Class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Autumn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Autumn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Spring 1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Spring 2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Summer 1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winkl" w:cs="Twinkl" w:eastAsia="Twinkl" w:hAnsi="Twinkl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b w:val="1"/>
                <w:bCs w:val="1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  <w:p w:rsidR="00000000" w:rsidDel="00000000" w:rsidP="00000000" w:rsidRDefault="00000000" w:rsidRPr="00000000" w14:paraId="0000000B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(Me and my Body Parts) </w:t>
            </w:r>
          </w:p>
          <w:p w:rsidR="00000000" w:rsidDel="00000000" w:rsidP="00000000" w:rsidRDefault="00000000" w:rsidRPr="00000000" w14:paraId="0000000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0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(Autumn)</w:t>
            </w:r>
          </w:p>
          <w:p w:rsidR="00000000" w:rsidDel="00000000" w:rsidP="00000000" w:rsidRDefault="00000000" w:rsidRPr="00000000" w14:paraId="0000000F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12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(Winter, Light and Dark and Day and Night)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Use of Everyday Materials</w:t>
            </w:r>
          </w:p>
          <w:p w:rsidR="00000000" w:rsidDel="00000000" w:rsidP="00000000" w:rsidRDefault="00000000" w:rsidRPr="00000000" w14:paraId="00000014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(Sorting and categorising)</w:t>
            </w:r>
          </w:p>
          <w:p w:rsidR="00000000" w:rsidDel="00000000" w:rsidP="00000000" w:rsidRDefault="00000000" w:rsidRPr="00000000" w14:paraId="00000015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Living Things</w:t>
            </w:r>
          </w:p>
          <w:p w:rsidR="00000000" w:rsidDel="00000000" w:rsidP="00000000" w:rsidRDefault="00000000" w:rsidRPr="00000000" w14:paraId="00000017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(Sorting Animals)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  <w:p w:rsidR="00000000" w:rsidDel="00000000" w:rsidP="00000000" w:rsidRDefault="00000000" w:rsidRPr="00000000" w14:paraId="00000019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(Life cycles) </w:t>
            </w:r>
          </w:p>
          <w:p w:rsidR="00000000" w:rsidDel="00000000" w:rsidP="00000000" w:rsidRDefault="00000000" w:rsidRPr="00000000" w14:paraId="0000001A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1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(Spring)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Plants</w:t>
            </w:r>
          </w:p>
          <w:p w:rsidR="00000000" w:rsidDel="00000000" w:rsidP="00000000" w:rsidRDefault="00000000" w:rsidRPr="00000000" w14:paraId="0000001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(Parts of a plant and growing)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Seasonal Changes</w:t>
            </w:r>
          </w:p>
          <w:p w:rsidR="00000000" w:rsidDel="00000000" w:rsidP="00000000" w:rsidRDefault="00000000" w:rsidRPr="00000000" w14:paraId="00000021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(Summer)</w:t>
            </w:r>
          </w:p>
          <w:p w:rsidR="00000000" w:rsidDel="00000000" w:rsidP="00000000" w:rsidRDefault="00000000" w:rsidRPr="00000000" w14:paraId="00000022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Classification</w:t>
            </w:r>
          </w:p>
          <w:p w:rsidR="00000000" w:rsidDel="00000000" w:rsidP="00000000" w:rsidRDefault="00000000" w:rsidRPr="00000000" w14:paraId="00000024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(Grouping minibeasts)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R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26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Continuous provision available e.g. magnets and floating and sinking.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Y1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Everyday Materials</w:t>
            </w:r>
          </w:p>
          <w:p w:rsidR="00000000" w:rsidDel="00000000" w:rsidP="00000000" w:rsidRDefault="00000000" w:rsidRPr="00000000" w14:paraId="0000002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winkl" w:cs="Twinkl" w:eastAsia="Twinkl" w:hAnsi="Twinkl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Seasonal Changes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Seasonal Changes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Seasonal Changes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Use of Everyday Materials</w:t>
            </w:r>
          </w:p>
          <w:p w:rsidR="00000000" w:rsidDel="00000000" w:rsidP="00000000" w:rsidRDefault="00000000" w:rsidRPr="00000000" w14:paraId="00000037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Plants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Y3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040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Rocks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Forces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Plants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Y4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049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Sound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States of Matter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Y5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Earth and Space</w:t>
            </w:r>
          </w:p>
          <w:p w:rsidR="00000000" w:rsidDel="00000000" w:rsidP="00000000" w:rsidRDefault="00000000" w:rsidRPr="00000000" w14:paraId="00000052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Forces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Properties and Changes in Materials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Y6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Evolution and Inheritance</w:t>
            </w:r>
          </w:p>
          <w:p w:rsidR="00000000" w:rsidDel="00000000" w:rsidP="00000000" w:rsidRDefault="00000000" w:rsidRPr="00000000" w14:paraId="0000005A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Light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Animals, including Humans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sz w:val="28"/>
                <w:szCs w:val="28"/>
                <w:rtl w:val="0"/>
              </w:rPr>
              <w:t xml:space="preserve">Electricity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winkl" w:cs="Twinkl" w:eastAsia="Twinkl" w:hAnsi="Twinkl"/>
                <w:sz w:val="28"/>
                <w:szCs w:val="28"/>
              </w:rPr>
            </w:pPr>
            <w:r w:rsidDel="00000000" w:rsidR="00000000" w:rsidRPr="00000000">
              <w:rPr>
                <w:rFonts w:ascii="Twinkl" w:cs="Twinkl" w:eastAsia="Twinkl" w:hAnsi="Twinkl"/>
                <w:color w:val="ff0000"/>
                <w:sz w:val="28"/>
                <w:szCs w:val="28"/>
                <w:rtl w:val="0"/>
              </w:rPr>
              <w:t xml:space="preserve">Living Things and their Habitats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Unit of learning taught across the academic year.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wink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Science Knowledge and Skills Progression Overview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