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3479800</wp:posOffset>
                </wp:positionH>
                <wp:positionV relativeFrom="paragraph">
                  <wp:posOffset>127000</wp:posOffset>
                </wp:positionV>
                <wp:extent cx="2765425" cy="2270125"/>
                <wp:effectExtent b="0" l="0" r="0" t="0"/>
                <wp:wrapNone/>
                <wp:docPr id="15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3974400" y="2656050"/>
                          <a:ext cx="2743200" cy="2247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22225">
                          <a:solidFill>
                            <a:srgbClr val="3F315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283.99999618530273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Play" w:cs="Play" w:eastAsia="Play" w:hAnsi="Play"/>
                                <w:b w:val="1"/>
                                <w:i w:val="0"/>
                                <w:smallCaps w:val="0"/>
                                <w:strike w:val="0"/>
                                <w:color w:val="403152"/>
                                <w:sz w:val="28"/>
                                <w:vertAlign w:val="baseline"/>
                              </w:rPr>
                              <w:t xml:space="preserve">Monitoring &amp; Reporting Standards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Play" w:cs="Play" w:eastAsia="Play" w:hAnsi="Play"/>
                                <w:b w:val="1"/>
                                <w:i w:val="0"/>
                                <w:smallCaps w:val="0"/>
                                <w:strike w:val="0"/>
                                <w:color w:val="403152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Play" w:cs="Play" w:eastAsia="Play" w:hAnsi="Play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Teachers enter termly assessment scores onto Sims trackers.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Play" w:cs="Play" w:eastAsia="Play" w:hAnsi="Play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Play" w:cs="Play" w:eastAsia="Play" w:hAnsi="Play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The subject leader monitors recorded work, talks to pupils and samples lessons as well as scrutinising data to support development within the subject area.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Play" w:cs="Play" w:eastAsia="Play" w:hAnsi="Play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Play" w:cs="Play" w:eastAsia="Play" w:hAnsi="Play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The headteacher holds termly pupil progress meetings, during which reading is discussed.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Play" w:cs="Play" w:eastAsia="Play" w:hAnsi="Play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90000" lIns="91425" spcFirstLastPara="1" rIns="91425" wrap="square" tIns="900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3479800</wp:posOffset>
                </wp:positionH>
                <wp:positionV relativeFrom="paragraph">
                  <wp:posOffset>127000</wp:posOffset>
                </wp:positionV>
                <wp:extent cx="2765425" cy="2270125"/>
                <wp:effectExtent b="0" l="0" r="0" t="0"/>
                <wp:wrapNone/>
                <wp:docPr id="15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65425" cy="22701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12701</wp:posOffset>
                </wp:positionH>
                <wp:positionV relativeFrom="paragraph">
                  <wp:posOffset>127000</wp:posOffset>
                </wp:positionV>
                <wp:extent cx="3337560" cy="1068019"/>
                <wp:effectExtent b="0" l="0" r="0" t="0"/>
                <wp:wrapNone/>
                <wp:docPr id="20" name=""/>
                <a:graphic>
                  <a:graphicData uri="http://schemas.microsoft.com/office/word/2010/wordprocessingShape">
                    <wps:wsp>
                      <wps:cNvSpPr/>
                      <wps:cNvPr id="12" name="Shape 12"/>
                      <wps:spPr>
                        <a:xfrm>
                          <a:off x="3688333" y="3253903"/>
                          <a:ext cx="3315335" cy="1052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22225">
                          <a:solidFill>
                            <a:srgbClr val="3F315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283.99999618530273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Play" w:cs="Play" w:eastAsia="Play" w:hAnsi="Play"/>
                                <w:b w:val="1"/>
                                <w:i w:val="0"/>
                                <w:smallCaps w:val="0"/>
                                <w:strike w:val="0"/>
                                <w:color w:val="403152"/>
                                <w:sz w:val="28"/>
                                <w:vertAlign w:val="baseline"/>
                              </w:rPr>
                              <w:t xml:space="preserve">Leadership Personnel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Play" w:cs="Play" w:eastAsia="Play" w:hAnsi="Play"/>
                                <w:b w:val="1"/>
                                <w:i w:val="0"/>
                                <w:smallCaps w:val="0"/>
                                <w:strike w:val="0"/>
                                <w:color w:val="403152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283.99999618530273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Play" w:cs="Play" w:eastAsia="Play" w:hAnsi="Play"/>
                                <w:b w:val="1"/>
                                <w:i w:val="0"/>
                                <w:smallCaps w:val="0"/>
                                <w:strike w:val="0"/>
                                <w:color w:val="403152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Play" w:cs="Play" w:eastAsia="Play" w:hAnsi="Play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Subject Leader Jane Charlton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283.99999618530273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Play" w:cs="Play" w:eastAsia="Play" w:hAnsi="Play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90000" lIns="91425" spcFirstLastPara="1" rIns="91425" wrap="square" tIns="900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12701</wp:posOffset>
                </wp:positionH>
                <wp:positionV relativeFrom="paragraph">
                  <wp:posOffset>127000</wp:posOffset>
                </wp:positionV>
                <wp:extent cx="3337560" cy="1068019"/>
                <wp:effectExtent b="0" l="0" r="0" t="0"/>
                <wp:wrapNone/>
                <wp:docPr id="20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37560" cy="106801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6426200</wp:posOffset>
                </wp:positionH>
                <wp:positionV relativeFrom="paragraph">
                  <wp:posOffset>127000</wp:posOffset>
                </wp:positionV>
                <wp:extent cx="3337560" cy="3061019"/>
                <wp:effectExtent b="0" l="0" r="0" t="0"/>
                <wp:wrapNone/>
                <wp:docPr id="18" name=""/>
                <a:graphic>
                  <a:graphicData uri="http://schemas.microsoft.com/office/word/2010/wordprocessingShape">
                    <wps:wsp>
                      <wps:cNvSpPr/>
                      <wps:cNvPr id="10" name="Shape 10"/>
                      <wps:spPr>
                        <a:xfrm>
                          <a:off x="3688333" y="2345853"/>
                          <a:ext cx="3315335" cy="2868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22225">
                          <a:solidFill>
                            <a:srgbClr val="3F315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283.99999618530273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Play" w:cs="Play" w:eastAsia="Play" w:hAnsi="Play"/>
                                <w:b w:val="1"/>
                                <w:i w:val="0"/>
                                <w:smallCaps w:val="0"/>
                                <w:strike w:val="0"/>
                                <w:color w:val="403152"/>
                                <w:sz w:val="28"/>
                                <w:vertAlign w:val="baseline"/>
                              </w:rPr>
                              <w:t xml:space="preserve">Curriculum Design &amp; Organisation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Play" w:cs="Play" w:eastAsia="Play" w:hAnsi="Play"/>
                                <w:b w:val="1"/>
                                <w:i w:val="0"/>
                                <w:smallCaps w:val="0"/>
                                <w:strike w:val="0"/>
                                <w:color w:val="403152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Play" w:cs="Play" w:eastAsia="Play" w:hAnsi="Play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Our ultimate aim is for our children to become proficient readers who read for pleasure and to further their knowledge and vocabulary.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Play" w:cs="Play" w:eastAsia="Play" w:hAnsi="Play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Play" w:cs="Play" w:eastAsia="Play" w:hAnsi="Play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We teach phonics daily in years R and 1 and spelling patterns in year 2 to support decoding skills. Children read twice per week within guided reading groups in years R and 1, with a focus on phonics</w:t>
                            </w:r>
                            <w:r w:rsidDel="00000000" w:rsidR="00000000" w:rsidRPr="00000000">
                              <w:rPr>
                                <w:rFonts w:ascii="Play" w:cs="Play" w:eastAsia="Play" w:hAnsi="Play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Play" w:cs="Play" w:eastAsia="Play" w:hAnsi="Play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Play" w:cs="Play" w:eastAsia="Play" w:hAnsi="Play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During year 2, the focus shifts toward whole class comprehension work on the reading domains for the majority of children, whilst some still work on decoding through guided group work.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Play" w:cs="Play" w:eastAsia="Play" w:hAnsi="Play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Play" w:cs="Play" w:eastAsia="Play" w:hAnsi="Play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Play" w:cs="Play" w:eastAsia="Play" w:hAnsi="Play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Children are read to daily in order to develop vocabulary and oral comprehension.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Play" w:cs="Play" w:eastAsia="Play" w:hAnsi="Play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Play" w:cs="Play" w:eastAsia="Play" w:hAnsi="Play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anchorCtr="0" anchor="t" bIns="90000" lIns="91425" spcFirstLastPara="1" rIns="91425" wrap="square" tIns="900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6426200</wp:posOffset>
                </wp:positionH>
                <wp:positionV relativeFrom="paragraph">
                  <wp:posOffset>127000</wp:posOffset>
                </wp:positionV>
                <wp:extent cx="3337560" cy="3061019"/>
                <wp:effectExtent b="0" l="0" r="0" t="0"/>
                <wp:wrapNone/>
                <wp:docPr id="18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37560" cy="306101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-38099</wp:posOffset>
                </wp:positionH>
                <wp:positionV relativeFrom="paragraph">
                  <wp:posOffset>50800</wp:posOffset>
                </wp:positionV>
                <wp:extent cx="3329940" cy="3530309"/>
                <wp:effectExtent b="0" l="0" r="0" t="0"/>
                <wp:wrapNone/>
                <wp:docPr id="13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692150" y="2088050"/>
                          <a:ext cx="3307800" cy="350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22225">
                          <a:solidFill>
                            <a:srgbClr val="3F315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283.99999618530273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Play" w:cs="Play" w:eastAsia="Play" w:hAnsi="Play"/>
                                <w:b w:val="1"/>
                                <w:i w:val="0"/>
                                <w:smallCaps w:val="0"/>
                                <w:strike w:val="0"/>
                                <w:color w:val="403152"/>
                                <w:sz w:val="28"/>
                                <w:vertAlign w:val="baseline"/>
                              </w:rPr>
                              <w:t xml:space="preserve">Assessment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Play" w:cs="Play" w:eastAsia="Play" w:hAnsi="Play"/>
                                <w:b w:val="1"/>
                                <w:i w:val="0"/>
                                <w:smallCaps w:val="0"/>
                                <w:strike w:val="0"/>
                                <w:color w:val="403152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Play" w:cs="Play" w:eastAsia="Play" w:hAnsi="Play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Summative: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Play" w:cs="Play" w:eastAsia="Play" w:hAnsi="Play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Play" w:cs="Play" w:eastAsia="Play" w:hAnsi="Play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EYFS – teacher assessments are made termly, informed by</w:t>
                            </w:r>
                            <w:r w:rsidDel="00000000" w:rsidR="00000000" w:rsidRPr="00000000">
                              <w:rPr>
                                <w:rFonts w:ascii="Play" w:cs="Play" w:eastAsia="Play" w:hAnsi="Play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 </w:t>
                            </w:r>
                            <w:r w:rsidDel="00000000" w:rsidR="00000000" w:rsidRPr="00000000">
                              <w:rPr>
                                <w:rFonts w:ascii="Play" w:cs="Play" w:eastAsia="Play" w:hAnsi="Play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 ability</w:t>
                            </w:r>
                            <w:r w:rsidDel="00000000" w:rsidR="00000000" w:rsidRPr="00000000">
                              <w:rPr>
                                <w:rFonts w:ascii="Play" w:cs="Play" w:eastAsia="Play" w:hAnsi="Play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 to read PGCs and words from the Floppy Phonics tracker, plus the ability to use phonics skills to access the phonic reading books.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Play" w:cs="Play" w:eastAsia="Play" w:hAnsi="Play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Play" w:cs="Play" w:eastAsia="Play" w:hAnsi="Play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Y1 – Teacher assessments made informed by half termly phonics screening tests</w:t>
                            </w:r>
                            <w:r w:rsidDel="00000000" w:rsidR="00000000" w:rsidRPr="00000000">
                              <w:rPr>
                                <w:rFonts w:ascii="Play" w:cs="Play" w:eastAsia="Play" w:hAnsi="Play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, Floppy Phonics trackers and children’s ability to read the appropriate phonic readers.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Play" w:cs="Play" w:eastAsia="Play" w:hAnsi="Play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Play" w:cs="Play" w:eastAsia="Play" w:hAnsi="Play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Year 2 – </w:t>
                            </w:r>
                            <w:r w:rsidDel="00000000" w:rsidR="00000000" w:rsidRPr="00000000">
                              <w:rPr>
                                <w:rFonts w:ascii="Play" w:cs="Play" w:eastAsia="Play" w:hAnsi="Play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NFER tests,</w:t>
                            </w:r>
                            <w:r w:rsidDel="00000000" w:rsidR="00000000" w:rsidRPr="00000000">
                              <w:rPr>
                                <w:rFonts w:ascii="Play" w:cs="Play" w:eastAsia="Play" w:hAnsi="Play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 past SAT papers and phonics/HFW trackers</w:t>
                            </w:r>
                            <w:r w:rsidDel="00000000" w:rsidR="00000000" w:rsidRPr="00000000">
                              <w:rPr>
                                <w:rFonts w:ascii="Play" w:cs="Play" w:eastAsia="Play" w:hAnsi="Play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 are used.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Play" w:cs="Play" w:eastAsia="Play" w:hAnsi="Play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Play" w:cs="Play" w:eastAsia="Play" w:hAnsi="Play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Pupils are assessed against their current end of year group objectives and judged to be </w:t>
                            </w:r>
                            <w:r w:rsidDel="00000000" w:rsidR="00000000" w:rsidRPr="00000000">
                              <w:rPr>
                                <w:rFonts w:ascii="Play" w:cs="Play" w:eastAsia="Play" w:hAnsi="Play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WT, EXP or GD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Play" w:cs="Play" w:eastAsia="Play" w:hAnsi="Play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Play" w:cs="Play" w:eastAsia="Play" w:hAnsi="Play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Formative: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Play" w:cs="Play" w:eastAsia="Play" w:hAnsi="Play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Play" w:cs="Play" w:eastAsia="Play" w:hAnsi="Play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Continual assessment during group/whole class reading –notes made on planning grids/individual pupil objective trackers.</w:t>
                            </w:r>
                          </w:p>
                        </w:txbxContent>
                      </wps:txbx>
                      <wps:bodyPr anchorCtr="0" anchor="t" bIns="90000" lIns="91425" spcFirstLastPara="1" rIns="91425" wrap="square" tIns="900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-38099</wp:posOffset>
                </wp:positionH>
                <wp:positionV relativeFrom="paragraph">
                  <wp:posOffset>50800</wp:posOffset>
                </wp:positionV>
                <wp:extent cx="3329940" cy="3530309"/>
                <wp:effectExtent b="0" l="0" r="0" t="0"/>
                <wp:wrapNone/>
                <wp:docPr id="13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29940" cy="353030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3492500</wp:posOffset>
                </wp:positionH>
                <wp:positionV relativeFrom="paragraph">
                  <wp:posOffset>114300</wp:posOffset>
                </wp:positionV>
                <wp:extent cx="2743200" cy="1908175"/>
                <wp:effectExtent b="0" l="0" r="0" t="0"/>
                <wp:wrapNone/>
                <wp:docPr id="14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3974400" y="2825913"/>
                          <a:ext cx="2743200" cy="1908175"/>
                          <a:chOff x="3974400" y="2825913"/>
                          <a:chExt cx="2743200" cy="1908175"/>
                        </a:xfrm>
                      </wpg:grpSpPr>
                      <wpg:grpSp>
                        <wpg:cNvGrpSpPr/>
                        <wpg:grpSpPr>
                          <a:xfrm>
                            <a:off x="3974400" y="2825913"/>
                            <a:ext cx="2743200" cy="1908175"/>
                            <a:chOff x="0" y="0"/>
                            <a:chExt cx="2743200" cy="1828800"/>
                          </a:xfrm>
                        </wpg:grpSpPr>
                        <wps:wsp>
                          <wps:cNvSpPr/>
                          <wps:cNvPr id="4" name="Shape 4"/>
                          <wps:spPr>
                            <a:xfrm>
                              <a:off x="0" y="0"/>
                              <a:ext cx="2743200" cy="18288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" name="Shape 5"/>
                          <wps:spPr>
                            <a:xfrm>
                              <a:off x="0" y="0"/>
                              <a:ext cx="2743200" cy="1828800"/>
                            </a:xfrm>
                            <a:prstGeom prst="roundRect">
                              <a:avLst>
                                <a:gd fmla="val 16667" name="adj"/>
                              </a:avLst>
                            </a:prstGeom>
                            <a:solidFill>
                              <a:srgbClr val="8064A2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Play" w:cs="Play" w:eastAsia="Play" w:hAnsi="Play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ffffff"/>
                                    <w:sz w:val="32"/>
                                    <w:vertAlign w:val="baseline"/>
                                  </w:rPr>
                                  <w:t xml:space="preserve">Key Stage 1 Reading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Play" w:cs="Play" w:eastAsia="Play" w:hAnsi="Play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ffffff"/>
                                    <w:sz w:val="32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  <wps:wsp>
                          <wps:cNvSpPr/>
                          <wps:cNvPr id="6" name="Shape 6"/>
                          <wps:spPr>
                            <a:xfrm>
                              <a:off x="375313" y="648269"/>
                              <a:ext cx="2005795" cy="10795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Play" w:cs="Play" w:eastAsia="Play" w:hAnsi="Play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3492500</wp:posOffset>
                </wp:positionH>
                <wp:positionV relativeFrom="paragraph">
                  <wp:posOffset>114300</wp:posOffset>
                </wp:positionV>
                <wp:extent cx="2743200" cy="1908175"/>
                <wp:effectExtent b="0" l="0" r="0" t="0"/>
                <wp:wrapNone/>
                <wp:docPr id="14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43200" cy="19081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6502400</wp:posOffset>
                </wp:positionH>
                <wp:positionV relativeFrom="paragraph">
                  <wp:posOffset>63500</wp:posOffset>
                </wp:positionV>
                <wp:extent cx="3161030" cy="2208913"/>
                <wp:effectExtent b="0" l="0" r="0" t="0"/>
                <wp:wrapNone/>
                <wp:docPr id="17" name=""/>
                <a:graphic>
                  <a:graphicData uri="http://schemas.microsoft.com/office/word/2010/wordprocessingShape">
                    <wps:wsp>
                      <wps:cNvSpPr/>
                      <wps:cNvPr id="9" name="Shape 9"/>
                      <wps:spPr>
                        <a:xfrm>
                          <a:off x="3776598" y="2685578"/>
                          <a:ext cx="3138805" cy="2188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22225">
                          <a:solidFill>
                            <a:srgbClr val="3F315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283.99999618530273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Play" w:cs="Play" w:eastAsia="Play" w:hAnsi="Play"/>
                                <w:b w:val="1"/>
                                <w:i w:val="0"/>
                                <w:smallCaps w:val="0"/>
                                <w:strike w:val="0"/>
                                <w:color w:val="403152"/>
                                <w:sz w:val="28"/>
                                <w:vertAlign w:val="baseline"/>
                              </w:rPr>
                              <w:t xml:space="preserve">Resources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283.99999618530273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Play" w:cs="Play" w:eastAsia="Play" w:hAnsi="Play"/>
                                <w:b w:val="1"/>
                                <w:i w:val="0"/>
                                <w:smallCaps w:val="0"/>
                                <w:strike w:val="0"/>
                                <w:color w:val="403152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Play" w:cs="Play" w:eastAsia="Play" w:hAnsi="Play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Phonics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283.99999618530273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Play" w:cs="Play" w:eastAsia="Play" w:hAnsi="Play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Play" w:cs="Play" w:eastAsia="Play" w:hAnsi="Play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9"/>
                                <w:vertAlign w:val="baseline"/>
                              </w:rPr>
                              <w:t xml:space="preserve">We use the Oxford Reading Tree Floppy Phonics Scheme.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283.99999618530273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Play" w:cs="Play" w:eastAsia="Play" w:hAnsi="Play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9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Play" w:cs="Play" w:eastAsia="Play" w:hAnsi="Play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Reading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283.99999618530273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Play" w:cs="Play" w:eastAsia="Play" w:hAnsi="Play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Play" w:cs="Play" w:eastAsia="Play" w:hAnsi="Play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9"/>
                                <w:vertAlign w:val="baseline"/>
                              </w:rPr>
                              <w:t xml:space="preserve">Our phonics reading books match the PGCs that the children are learning in reception and year one. Other core readers are also used to teach some high frequency exception words.</w:t>
                            </w:r>
                          </w:p>
                        </w:txbxContent>
                      </wps:txbx>
                      <wps:bodyPr anchorCtr="0" anchor="t" bIns="90000" lIns="91425" spcFirstLastPara="1" rIns="91425" wrap="square" tIns="900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6502400</wp:posOffset>
                </wp:positionH>
                <wp:positionV relativeFrom="paragraph">
                  <wp:posOffset>63500</wp:posOffset>
                </wp:positionV>
                <wp:extent cx="3161030" cy="2208913"/>
                <wp:effectExtent b="0" l="0" r="0" t="0"/>
                <wp:wrapNone/>
                <wp:docPr id="17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61030" cy="220891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left" w:pos="3273"/>
        </w:tabs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12701</wp:posOffset>
                </wp:positionH>
                <wp:positionV relativeFrom="paragraph">
                  <wp:posOffset>1460500</wp:posOffset>
                </wp:positionV>
                <wp:extent cx="3274695" cy="1427480"/>
                <wp:effectExtent b="0" l="0" r="0" t="0"/>
                <wp:wrapNone/>
                <wp:docPr id="19" name=""/>
                <a:graphic>
                  <a:graphicData uri="http://schemas.microsoft.com/office/word/2010/wordprocessingShape">
                    <wps:wsp>
                      <wps:cNvSpPr/>
                      <wps:cNvPr id="11" name="Shape 11"/>
                      <wps:spPr>
                        <a:xfrm>
                          <a:off x="3719765" y="3077373"/>
                          <a:ext cx="3252470" cy="1405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22225">
                          <a:solidFill>
                            <a:srgbClr val="3F315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283.99999618530273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Play" w:cs="Play" w:eastAsia="Play" w:hAnsi="Play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Parental engagement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283.99999618530273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Play" w:cs="Play" w:eastAsia="Play" w:hAnsi="Play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Play" w:cs="Play" w:eastAsia="Play" w:hAnsi="Play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9"/>
                                <w:vertAlign w:val="baseline"/>
                              </w:rPr>
                              <w:t xml:space="preserve">Each child has a reading diary to enable communication between parents and teachers.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283.99999618530273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Play" w:cs="Play" w:eastAsia="Play" w:hAnsi="Play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9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Play" w:cs="Play" w:eastAsia="Play" w:hAnsi="Play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9"/>
                                <w:vertAlign w:val="baseline"/>
                              </w:rPr>
                              <w:t xml:space="preserve">Reading attainment is reported to parents via written reports.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283.99999618530273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Play" w:cs="Play" w:eastAsia="Play" w:hAnsi="Play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9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Play" w:cs="Play" w:eastAsia="Play" w:hAnsi="Play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9"/>
                                <w:vertAlign w:val="baseline"/>
                              </w:rPr>
                              <w:t xml:space="preserve">Workshops are provided for parents in YR and Y1 to explain approaches to reading.</w:t>
                            </w:r>
                          </w:p>
                        </w:txbxContent>
                      </wps:txbx>
                      <wps:bodyPr anchorCtr="0" anchor="t" bIns="90000" lIns="91425" spcFirstLastPara="1" rIns="91425" wrap="square" tIns="900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12701</wp:posOffset>
                </wp:positionH>
                <wp:positionV relativeFrom="paragraph">
                  <wp:posOffset>1460500</wp:posOffset>
                </wp:positionV>
                <wp:extent cx="3274695" cy="1427480"/>
                <wp:effectExtent b="0" l="0" r="0" t="0"/>
                <wp:wrapNone/>
                <wp:docPr id="19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74695" cy="14274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6502400</wp:posOffset>
                </wp:positionH>
                <wp:positionV relativeFrom="paragraph">
                  <wp:posOffset>1981200</wp:posOffset>
                </wp:positionV>
                <wp:extent cx="3267075" cy="781050"/>
                <wp:effectExtent b="0" l="0" r="0" t="0"/>
                <wp:wrapNone/>
                <wp:docPr id="16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3723575" y="3399000"/>
                          <a:ext cx="324485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22225">
                          <a:solidFill>
                            <a:srgbClr val="3F315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283.99999618530273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Play" w:cs="Play" w:eastAsia="Play" w:hAnsi="Play"/>
                                <w:b w:val="1"/>
                                <w:i w:val="0"/>
                                <w:smallCaps w:val="0"/>
                                <w:strike w:val="0"/>
                                <w:color w:val="403152"/>
                                <w:sz w:val="28"/>
                                <w:vertAlign w:val="baseline"/>
                              </w:rPr>
                              <w:t xml:space="preserve">Planning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283.99999618530273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Play" w:cs="Play" w:eastAsia="Play" w:hAnsi="Play"/>
                                <w:b w:val="1"/>
                                <w:i w:val="0"/>
                                <w:smallCaps w:val="0"/>
                                <w:strike w:val="0"/>
                                <w:color w:val="403152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Play" w:cs="Play" w:eastAsia="Play" w:hAnsi="Play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9"/>
                                <w:vertAlign w:val="baseline"/>
                              </w:rPr>
                              <w:t xml:space="preserve">Guided reading is planned for using a standard proforma</w:t>
                            </w:r>
                            <w:r w:rsidDel="00000000" w:rsidR="00000000" w:rsidRPr="00000000">
                              <w:rPr>
                                <w:rFonts w:ascii="Play" w:cs="Play" w:eastAsia="Play" w:hAnsi="Play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9"/>
                                <w:vertAlign w:val="baseline"/>
                              </w:rPr>
                              <w:t xml:space="preserve">, as is whole class comprehension.</w:t>
                            </w:r>
                          </w:p>
                        </w:txbxContent>
                      </wps:txbx>
                      <wps:bodyPr anchorCtr="0" anchor="t" bIns="90000" lIns="91425" spcFirstLastPara="1" rIns="91425" wrap="square" tIns="900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6502400</wp:posOffset>
                </wp:positionH>
                <wp:positionV relativeFrom="paragraph">
                  <wp:posOffset>1981200</wp:posOffset>
                </wp:positionV>
                <wp:extent cx="3267075" cy="781050"/>
                <wp:effectExtent b="0" l="0" r="0" t="0"/>
                <wp:wrapNone/>
                <wp:docPr id="16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67075" cy="781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3479800</wp:posOffset>
                </wp:positionH>
                <wp:positionV relativeFrom="paragraph">
                  <wp:posOffset>1028700</wp:posOffset>
                </wp:positionV>
                <wp:extent cx="2771775" cy="1624834"/>
                <wp:effectExtent b="0" l="0" r="0" t="0"/>
                <wp:wrapNone/>
                <wp:docPr id="21" name=""/>
                <a:graphic>
                  <a:graphicData uri="http://schemas.microsoft.com/office/word/2010/wordprocessingShape">
                    <wps:wsp>
                      <wps:cNvSpPr/>
                      <wps:cNvPr id="13" name="Shape 13"/>
                      <wps:spPr>
                        <a:xfrm>
                          <a:off x="3974400" y="2978630"/>
                          <a:ext cx="2743200" cy="1602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28575">
                          <a:solidFill>
                            <a:srgbClr val="80808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Play" w:cs="Play" w:eastAsia="Play" w:hAnsi="Play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Teaching Approaches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Play" w:cs="Play" w:eastAsia="Play" w:hAnsi="Play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Play" w:cs="Play" w:eastAsia="Play" w:hAnsi="Play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9"/>
                                <w:vertAlign w:val="baseline"/>
                              </w:rPr>
                              <w:t xml:space="preserve">Guided groups for work on fluency.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Play" w:cs="Play" w:eastAsia="Play" w:hAnsi="Play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9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Play" w:cs="Play" w:eastAsia="Play" w:hAnsi="Play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9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Play" w:cs="Play" w:eastAsia="Play" w:hAnsi="Play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9"/>
                                <w:vertAlign w:val="baseline"/>
                              </w:rPr>
                              <w:t xml:space="preserve">Whole class comprehension work in year 2 as children become fluent decoders.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Play" w:cs="Play" w:eastAsia="Play" w:hAnsi="Play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9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Play" w:cs="Play" w:eastAsia="Play" w:hAnsi="Play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9"/>
                                <w:vertAlign w:val="baseline"/>
                              </w:rPr>
                              <w:t xml:space="preserve">VIPERS symbols </w:t>
                            </w:r>
                            <w:r w:rsidDel="00000000" w:rsidR="00000000" w:rsidRPr="00000000">
                              <w:rPr>
                                <w:rFonts w:ascii="Play" w:cs="Play" w:eastAsia="Play" w:hAnsi="Play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9"/>
                                <w:vertAlign w:val="baseline"/>
                              </w:rPr>
                              <w:t xml:space="preserve">are introduced</w:t>
                            </w:r>
                            <w:r w:rsidDel="00000000" w:rsidR="00000000" w:rsidRPr="00000000">
                              <w:rPr>
                                <w:rFonts w:ascii="Play" w:cs="Play" w:eastAsia="Play" w:hAnsi="Play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9"/>
                                <w:vertAlign w:val="baseline"/>
                              </w:rPr>
                              <w:t xml:space="preserve"> to support children’s understanding of the reading domains.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3479800</wp:posOffset>
                </wp:positionH>
                <wp:positionV relativeFrom="paragraph">
                  <wp:posOffset>1028700</wp:posOffset>
                </wp:positionV>
                <wp:extent cx="2771775" cy="1624834"/>
                <wp:effectExtent b="0" l="0" r="0" t="0"/>
                <wp:wrapNone/>
                <wp:docPr id="21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71775" cy="162483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headerReference r:id="rId16" w:type="default"/>
      <w:pgSz w:h="11906" w:w="16838" w:orient="landscape"/>
      <w:pgMar w:bottom="720" w:top="720" w:left="720" w:right="720" w:header="624" w:footer="62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Play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13"/>
        <w:tab w:val="right" w:pos="9026"/>
      </w:tabs>
      <w:spacing w:after="0" w:before="0" w:line="240" w:lineRule="auto"/>
      <w:ind w:left="0" w:right="0" w:firstLine="0"/>
      <w:jc w:val="center"/>
      <w:rPr>
        <w:rFonts w:ascii="Play" w:cs="Play" w:eastAsia="Play" w:hAnsi="Play"/>
        <w:b w:val="0"/>
        <w:i w:val="0"/>
        <w:smallCaps w:val="0"/>
        <w:strike w:val="0"/>
        <w:color w:val="000000"/>
        <w:sz w:val="44"/>
        <w:szCs w:val="44"/>
        <w:u w:val="none"/>
        <w:shd w:fill="auto" w:val="clear"/>
        <w:vertAlign w:val="baseline"/>
      </w:rPr>
    </w:pPr>
    <w:r w:rsidDel="00000000" w:rsidR="00000000" w:rsidRPr="00000000">
      <w:rPr>
        <w:rFonts w:ascii="Play" w:cs="Play" w:eastAsia="Play" w:hAnsi="Play"/>
        <w:b w:val="0"/>
        <w:i w:val="0"/>
        <w:smallCaps w:val="0"/>
        <w:strike w:val="0"/>
        <w:color w:val="000000"/>
        <w:sz w:val="44"/>
        <w:szCs w:val="44"/>
        <w:u w:val="none"/>
        <w:shd w:fill="auto" w:val="clear"/>
        <w:vertAlign w:val="baseline"/>
        <w:rtl w:val="0"/>
      </w:rPr>
      <w:t xml:space="preserve">Subject Organisation at a glance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Play" w:cs="Play" w:eastAsia="Play" w:hAnsi="Play"/>
        <w:sz w:val="22"/>
        <w:szCs w:val="22"/>
        <w:lang w:val="en-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</w:pPr>
    <w:rPr>
      <w:color w:val="403152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ind w:left="284"/>
    </w:pPr>
    <w:rPr>
      <w:color w:val="403152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243f60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B76B5E"/>
    <w:rPr>
      <w:rFonts w:ascii="BPreplay" w:hAnsi="BPreplay"/>
      <w:sz w:val="22"/>
      <w:szCs w:val="24"/>
    </w:rPr>
  </w:style>
  <w:style w:type="paragraph" w:styleId="Heading1">
    <w:name w:val="heading 1"/>
    <w:basedOn w:val="Normal"/>
    <w:next w:val="Normal"/>
    <w:link w:val="Heading1Char"/>
    <w:qFormat w:val="1"/>
    <w:rsid w:val="000D2C3C"/>
    <w:pPr>
      <w:keepNext w:val="1"/>
      <w:keepLines w:val="1"/>
      <w:outlineLvl w:val="0"/>
    </w:pPr>
    <w:rPr>
      <w:color w:val="403152"/>
      <w:sz w:val="32"/>
      <w:szCs w:val="32"/>
    </w:rPr>
  </w:style>
  <w:style w:type="paragraph" w:styleId="Heading2">
    <w:name w:val="heading 2"/>
    <w:basedOn w:val="Heading1"/>
    <w:next w:val="Normal"/>
    <w:link w:val="Heading2Char"/>
    <w:unhideWhenUsed w:val="1"/>
    <w:qFormat w:val="1"/>
    <w:rsid w:val="00B76B5E"/>
    <w:pPr>
      <w:ind w:left="284"/>
      <w:outlineLvl w:val="1"/>
    </w:pPr>
    <w:rPr>
      <w:sz w:val="28"/>
    </w:rPr>
  </w:style>
  <w:style w:type="paragraph" w:styleId="Heading3">
    <w:name w:val="heading 3"/>
    <w:basedOn w:val="Normal"/>
    <w:next w:val="Normal"/>
    <w:link w:val="Heading3Char"/>
    <w:unhideWhenUsed w:val="1"/>
    <w:qFormat w:val="1"/>
    <w:rsid w:val="00B76B5E"/>
    <w:pPr>
      <w:keepNext w:val="1"/>
      <w:keepLines w:val="1"/>
      <w:spacing w:before="40"/>
      <w:outlineLvl w:val="2"/>
    </w:pPr>
    <w:rPr>
      <w:rFonts w:ascii="Calibri Light" w:hAnsi="Calibri Light"/>
      <w:color w:val="243f60"/>
      <w:sz w:val="24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DF0DB7"/>
    <w:pPr>
      <w:numPr>
        <w:numId w:val="13"/>
      </w:numPr>
      <w:ind w:left="284" w:hanging="284"/>
      <w:contextualSpacing w:val="1"/>
    </w:pPr>
    <w:rPr>
      <w:sz w:val="19"/>
    </w:rPr>
  </w:style>
  <w:style w:type="character" w:styleId="Heading1Char" w:customStyle="1">
    <w:name w:val="Heading 1 Char"/>
    <w:link w:val="Heading1"/>
    <w:rsid w:val="000D2C3C"/>
    <w:rPr>
      <w:rFonts w:ascii="BPreplay" w:cs="Times New Roman" w:eastAsia="Times New Roman" w:hAnsi="BPreplay"/>
      <w:color w:val="403152"/>
      <w:sz w:val="32"/>
      <w:szCs w:val="32"/>
    </w:rPr>
  </w:style>
  <w:style w:type="character" w:styleId="Heading2Char" w:customStyle="1">
    <w:name w:val="Heading 2 Char"/>
    <w:link w:val="Heading2"/>
    <w:rsid w:val="00B76B5E"/>
    <w:rPr>
      <w:rFonts w:ascii="BPreplay" w:cs="Times New Roman" w:eastAsia="Times New Roman" w:hAnsi="BPreplay"/>
      <w:color w:val="403152"/>
      <w:sz w:val="28"/>
      <w:szCs w:val="32"/>
    </w:rPr>
  </w:style>
  <w:style w:type="character" w:styleId="Heading3Char" w:customStyle="1">
    <w:name w:val="Heading 3 Char"/>
    <w:link w:val="Heading3"/>
    <w:rsid w:val="00B76B5E"/>
    <w:rPr>
      <w:rFonts w:ascii="Calibri Light" w:cs="Times New Roman" w:eastAsia="Times New Roman" w:hAnsi="Calibri Light"/>
      <w:color w:val="243f60"/>
      <w:sz w:val="24"/>
      <w:szCs w:val="24"/>
    </w:rPr>
  </w:style>
  <w:style w:type="paragraph" w:styleId="Header">
    <w:name w:val="header"/>
    <w:basedOn w:val="Normal"/>
    <w:link w:val="HeaderChar"/>
    <w:rsid w:val="0049586F"/>
    <w:pPr>
      <w:tabs>
        <w:tab w:val="center" w:pos="4513"/>
        <w:tab w:val="right" w:pos="9026"/>
      </w:tabs>
    </w:pPr>
  </w:style>
  <w:style w:type="character" w:styleId="HeaderChar" w:customStyle="1">
    <w:name w:val="Header Char"/>
    <w:link w:val="Header"/>
    <w:rsid w:val="0049586F"/>
    <w:rPr>
      <w:rFonts w:ascii="BPreplay" w:hAnsi="BPreplay"/>
      <w:sz w:val="22"/>
      <w:szCs w:val="24"/>
    </w:rPr>
  </w:style>
  <w:style w:type="paragraph" w:styleId="Footer">
    <w:name w:val="footer"/>
    <w:basedOn w:val="Normal"/>
    <w:link w:val="FooterChar"/>
    <w:rsid w:val="0049586F"/>
    <w:pPr>
      <w:tabs>
        <w:tab w:val="center" w:pos="4513"/>
        <w:tab w:val="right" w:pos="9026"/>
      </w:tabs>
    </w:pPr>
  </w:style>
  <w:style w:type="character" w:styleId="FooterChar" w:customStyle="1">
    <w:name w:val="Footer Char"/>
    <w:link w:val="Footer"/>
    <w:rsid w:val="0049586F"/>
    <w:rPr>
      <w:rFonts w:ascii="BPreplay" w:hAnsi="BPreplay"/>
      <w:sz w:val="22"/>
      <w:szCs w:val="24"/>
    </w:rPr>
  </w:style>
  <w:style w:type="paragraph" w:styleId="BalloonText">
    <w:name w:val="Balloon Text"/>
    <w:basedOn w:val="Normal"/>
    <w:link w:val="BalloonTextChar"/>
    <w:rsid w:val="00CD138D"/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link w:val="BalloonText"/>
    <w:rsid w:val="00CD138D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2.png"/><Relationship Id="rId10" Type="http://schemas.openxmlformats.org/officeDocument/2006/relationships/image" Target="media/image1.png"/><Relationship Id="rId13" Type="http://schemas.openxmlformats.org/officeDocument/2006/relationships/image" Target="media/image7.png"/><Relationship Id="rId12" Type="http://schemas.openxmlformats.org/officeDocument/2006/relationships/image" Target="media/image5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6.png"/><Relationship Id="rId15" Type="http://schemas.openxmlformats.org/officeDocument/2006/relationships/image" Target="media/image9.png"/><Relationship Id="rId14" Type="http://schemas.openxmlformats.org/officeDocument/2006/relationships/image" Target="media/image4.png"/><Relationship Id="rId16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image" Target="media/image8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ZV9FO8ZKIc0O121LUMIYxkJ1r2A==">AMUW2mX5Y28tMZmzkKrmXiLy0MyxeRM5oIN1iqm1UwMBGxhYaLpniidCqQS6MzWl5n/6fCqPODbbYsZnzISclHpjZPX4Gs1QK66rzzf+xKHfQvRnviYweQF8xrkFBzlAE8Z73cNLQmI3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2020-05-19T13:31:00Z</dcterms:created>
  <dc:creator>A Staples</dc:creator>
</cp:coreProperties>
</file>