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79" w:rsidRDefault="00D6482C" w:rsidP="0095373C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2714624</wp:posOffset>
                </wp:positionH>
                <wp:positionV relativeFrom="paragraph">
                  <wp:posOffset>406400</wp:posOffset>
                </wp:positionV>
                <wp:extent cx="3686175" cy="561975"/>
                <wp:effectExtent l="133350" t="133350" r="161925" b="1619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0DB86B" id="Rectangle 2" o:spid="_x0000_s1026" style="position:absolute;margin-left:213.75pt;margin-top:32pt;width:290.2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" filled="f" strokecolor="#c00000" strokeweight="2pt"/>
            </w:pict>
          </mc:Fallback>
        </mc:AlternateContent>
      </w:r>
    </w:p>
    <w:p w:rsidR="00434FBA" w:rsidRDefault="00431A1D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sz w:val="48"/>
        </w:rPr>
        <w:t>Autumn: Every Day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B0802" w:rsidRPr="00DB0802" w:rsidTr="00E15FF1">
        <w:tc>
          <w:tcPr>
            <w:tcW w:w="11874" w:type="dxa"/>
          </w:tcPr>
          <w:p w:rsidR="00DB0802" w:rsidRPr="00DB0802" w:rsidRDefault="00DB0802" w:rsidP="00DB0802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B0802" w:rsidRPr="00DB0802" w:rsidTr="00E15FF1">
        <w:tc>
          <w:tcPr>
            <w:tcW w:w="11874" w:type="dxa"/>
          </w:tcPr>
          <w:p w:rsidR="00431A1D" w:rsidRPr="00431A1D" w:rsidRDefault="00431A1D" w:rsidP="00431A1D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  <w:lang w:eastAsia="en-US"/>
              </w:rPr>
            </w:pPr>
            <w:r w:rsidRPr="00431A1D">
              <w:rPr>
                <w:rFonts w:ascii="NTPreCursivefk" w:hAnsi="NTPreCursivefk"/>
                <w:sz w:val="32"/>
                <w:lang w:eastAsia="en-US"/>
              </w:rPr>
              <w:t>distinguish between an object and the material from which it is made</w:t>
            </w:r>
          </w:p>
          <w:p w:rsidR="00431A1D" w:rsidRPr="00431A1D" w:rsidRDefault="00431A1D" w:rsidP="00431A1D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  <w:lang w:eastAsia="en-US"/>
              </w:rPr>
            </w:pPr>
            <w:r w:rsidRPr="00431A1D">
              <w:rPr>
                <w:rFonts w:ascii="NTPreCursivefk" w:hAnsi="NTPreCursivefk"/>
                <w:sz w:val="32"/>
                <w:lang w:eastAsia="en-US"/>
              </w:rPr>
              <w:t>identify and name a variety of everyday materials, including wood, plastic, glass, metal, water, and rock</w:t>
            </w:r>
          </w:p>
          <w:p w:rsidR="00431A1D" w:rsidRPr="00431A1D" w:rsidRDefault="00431A1D" w:rsidP="00431A1D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  <w:lang w:eastAsia="en-US"/>
              </w:rPr>
            </w:pPr>
            <w:r w:rsidRPr="00431A1D">
              <w:rPr>
                <w:rFonts w:ascii="NTPreCursivefk" w:hAnsi="NTPreCursivefk"/>
                <w:sz w:val="32"/>
                <w:lang w:eastAsia="en-US"/>
              </w:rPr>
              <w:t>describe the simple physical properties of a variety of everyday materials</w:t>
            </w:r>
          </w:p>
          <w:p w:rsidR="00DB0802" w:rsidRPr="00DB0802" w:rsidRDefault="00431A1D" w:rsidP="00431A1D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rFonts w:ascii="NTPreCursivefk" w:hAnsi="NTPreCursivefk"/>
                <w:sz w:val="32"/>
              </w:rPr>
            </w:pPr>
            <w:r w:rsidRPr="00431A1D">
              <w:rPr>
                <w:rFonts w:ascii="NTPreCursivefk" w:hAnsi="NTPreCursivefk"/>
                <w:sz w:val="32"/>
                <w:lang w:eastAsia="en-US"/>
              </w:rPr>
              <w:t>compare and group together a variety of everyday materials on the basis of their simple physical properties</w:t>
            </w:r>
          </w:p>
        </w:tc>
      </w:tr>
    </w:tbl>
    <w:p w:rsidR="00DB0802" w:rsidRDefault="00DB0802" w:rsidP="00DB0802">
      <w:pPr>
        <w:rPr>
          <w:rFonts w:ascii="NTPreCursivefk" w:hAnsi="NTPreCursivefk"/>
          <w:sz w:val="48"/>
        </w:rPr>
      </w:pPr>
    </w:p>
    <w:p w:rsidR="00D6482C" w:rsidRDefault="00D6482C" w:rsidP="00DB0802">
      <w:pPr>
        <w:jc w:val="center"/>
        <w:rPr>
          <w:rFonts w:ascii="NTPreCursivefk" w:hAnsi="NTPreCursivefk"/>
          <w:sz w:val="48"/>
        </w:rPr>
      </w:pPr>
    </w:p>
    <w:p w:rsidR="00431A1D" w:rsidRDefault="00431A1D" w:rsidP="00DB0802">
      <w:pPr>
        <w:jc w:val="center"/>
        <w:rPr>
          <w:rFonts w:ascii="NTPreCursivefk" w:hAnsi="NTPreCursivefk"/>
          <w:sz w:val="48"/>
        </w:rPr>
      </w:pPr>
    </w:p>
    <w:p w:rsidR="00431A1D" w:rsidRDefault="00431A1D" w:rsidP="00DB0802">
      <w:pPr>
        <w:jc w:val="center"/>
        <w:rPr>
          <w:rFonts w:ascii="NTPreCursivefk" w:hAnsi="NTPreCursivefk"/>
          <w:sz w:val="48"/>
        </w:rPr>
      </w:pPr>
    </w:p>
    <w:p w:rsidR="00DB0802" w:rsidRDefault="00D6482C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-31750</wp:posOffset>
                </wp:positionV>
                <wp:extent cx="2495550" cy="400050"/>
                <wp:effectExtent l="133350" t="133350" r="152400" b="152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4C4AD" id="Rectangle 3" o:spid="_x0000_s1026" style="position:absolute;margin-left:252.75pt;margin-top:-2.5pt;width:196.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" filled="f" strokecolor="#c00000" strokeweight="2pt"/>
            </w:pict>
          </mc:Fallback>
        </mc:AlternateContent>
      </w:r>
      <w:r w:rsidR="00431A1D">
        <w:rPr>
          <w:rFonts w:ascii="NTPreCursivefk" w:hAnsi="NTPreCursivefk"/>
          <w:noProof/>
          <w:sz w:val="48"/>
          <w:lang w:eastAsia="en-GB"/>
        </w:rPr>
        <w:t>Spring: Plants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B0802" w:rsidRPr="00DB0802" w:rsidTr="00E15FF1">
        <w:tc>
          <w:tcPr>
            <w:tcW w:w="11874" w:type="dxa"/>
          </w:tcPr>
          <w:p w:rsidR="00DB0802" w:rsidRPr="00DB0802" w:rsidRDefault="00DB0802" w:rsidP="00E15FF1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B0802" w:rsidRPr="00DB0802" w:rsidTr="00E15FF1">
        <w:tc>
          <w:tcPr>
            <w:tcW w:w="11874" w:type="dxa"/>
          </w:tcPr>
          <w:p w:rsidR="00431A1D" w:rsidRPr="00431A1D" w:rsidRDefault="00431A1D" w:rsidP="00431A1D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  <w:lang w:eastAsia="en-US"/>
              </w:rPr>
            </w:pPr>
            <w:r w:rsidRPr="00431A1D">
              <w:rPr>
                <w:rFonts w:ascii="NTPreCursivefk" w:hAnsi="NTPreCursivefk"/>
                <w:sz w:val="32"/>
                <w:lang w:eastAsia="en-US"/>
              </w:rPr>
              <w:t>identify and name a variety of common wild and garden plants, including deciduous and evergreen trees</w:t>
            </w:r>
          </w:p>
          <w:p w:rsidR="00DB0802" w:rsidRPr="00DB0802" w:rsidRDefault="00431A1D" w:rsidP="00431A1D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431A1D">
              <w:rPr>
                <w:rFonts w:ascii="NTPreCursivefk" w:hAnsi="NTPreCursivefk"/>
                <w:sz w:val="32"/>
                <w:lang w:eastAsia="en-US"/>
              </w:rPr>
              <w:t>identify and describe the basic structure of a variety of common flowering plants, including trees.</w:t>
            </w:r>
          </w:p>
        </w:tc>
      </w:tr>
    </w:tbl>
    <w:p w:rsidR="00C924E0" w:rsidRDefault="00C924E0" w:rsidP="00DB0802">
      <w:pPr>
        <w:jc w:val="center"/>
        <w:rPr>
          <w:rFonts w:ascii="NTPreCursivefk" w:hAnsi="NTPreCursivefk"/>
          <w:sz w:val="48"/>
        </w:rPr>
      </w:pPr>
    </w:p>
    <w:p w:rsidR="00CE4873" w:rsidRDefault="00431A1D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E72FF" wp14:editId="1D2E608E">
                <wp:simplePos x="0" y="0"/>
                <wp:positionH relativeFrom="column">
                  <wp:posOffset>2400300</wp:posOffset>
                </wp:positionH>
                <wp:positionV relativeFrom="paragraph">
                  <wp:posOffset>523240</wp:posOffset>
                </wp:positionV>
                <wp:extent cx="4029075" cy="457200"/>
                <wp:effectExtent l="133350" t="133350" r="161925" b="152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5CFF2F" id="Rectangle 4" o:spid="_x0000_s1026" style="position:absolute;margin-left:189pt;margin-top:41.2pt;width:317.25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" filled="f" strokecolor="#c00000" strokeweight="2pt"/>
            </w:pict>
          </mc:Fallback>
        </mc:AlternateContent>
      </w:r>
    </w:p>
    <w:p w:rsidR="00DB0802" w:rsidRDefault="00431A1D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t>Summer Animals Including Humans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8E2D05" w:rsidRPr="00DB0802" w:rsidTr="00E15FF1">
        <w:tc>
          <w:tcPr>
            <w:tcW w:w="11874" w:type="dxa"/>
          </w:tcPr>
          <w:p w:rsidR="008E2D05" w:rsidRPr="00DB0802" w:rsidRDefault="008E2D05" w:rsidP="00E15FF1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8E2D05" w:rsidRPr="00DB0802" w:rsidTr="00E15FF1">
        <w:tc>
          <w:tcPr>
            <w:tcW w:w="11874" w:type="dxa"/>
          </w:tcPr>
          <w:p w:rsidR="00431A1D" w:rsidRPr="00431A1D" w:rsidRDefault="00431A1D" w:rsidP="00431A1D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eastAsia="CenturyOldStyleStd-Regular" w:hAnsi="NTPreCursivefk"/>
                <w:sz w:val="32"/>
                <w:lang w:eastAsia="en-US"/>
              </w:rPr>
            </w:pPr>
            <w:r w:rsidRPr="00431A1D">
              <w:rPr>
                <w:rFonts w:ascii="NTPreCursivefk" w:hAnsi="NTPreCursivefk"/>
                <w:sz w:val="32"/>
                <w:lang w:eastAsia="en-US"/>
              </w:rPr>
              <w:t>identify and name a variety of common animals including fish, amphibians, reptiles, birds and mammals</w:t>
            </w:r>
          </w:p>
          <w:p w:rsidR="00DB0802" w:rsidRPr="00431A1D" w:rsidRDefault="00431A1D" w:rsidP="00431A1D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  <w:lang w:eastAsia="en-US"/>
              </w:rPr>
            </w:pPr>
            <w:r w:rsidRPr="00431A1D">
              <w:rPr>
                <w:rFonts w:ascii="NTPreCursivefk" w:hAnsi="NTPreCursivefk"/>
                <w:sz w:val="32"/>
                <w:lang w:eastAsia="en-US"/>
              </w:rPr>
              <w:t>identify and name a variety of common animals that are carnivores, herbivores and omnivores</w:t>
            </w:r>
          </w:p>
          <w:p w:rsidR="00431A1D" w:rsidRPr="00431A1D" w:rsidRDefault="00431A1D" w:rsidP="00431A1D">
            <w:pPr>
              <w:pStyle w:val="bulletundertext"/>
              <w:numPr>
                <w:ilvl w:val="0"/>
                <w:numId w:val="0"/>
              </w:numPr>
              <w:spacing w:before="120" w:after="120"/>
              <w:ind w:left="357" w:hanging="357"/>
              <w:rPr>
                <w:rFonts w:ascii="NTPreCursivefk" w:hAnsi="NTPreCursivefk"/>
                <w:sz w:val="32"/>
                <w:lang w:eastAsia="en-US"/>
              </w:rPr>
            </w:pPr>
            <w:r w:rsidRPr="00431A1D">
              <w:rPr>
                <w:rFonts w:ascii="NTPreCursivefk" w:hAnsi="NTPreCursivefk"/>
                <w:sz w:val="32"/>
                <w:lang w:eastAsia="en-US"/>
              </w:rPr>
              <w:t>describe and compare the structure of a variety of common animals (fish, amphibians, reptiles, birds and mammals, including pets)</w:t>
            </w:r>
          </w:p>
          <w:p w:rsidR="00431A1D" w:rsidRPr="00DB0802" w:rsidRDefault="00431A1D" w:rsidP="00431A1D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431A1D">
              <w:rPr>
                <w:rFonts w:ascii="NTPreCursivefk" w:hAnsi="NTPreCursivefk"/>
                <w:sz w:val="32"/>
                <w:lang w:eastAsia="en-US"/>
              </w:rPr>
              <w:lastRenderedPageBreak/>
              <w:t>identify, name, draw and label the basic parts of the human body and say which part of the body is associated with each sense.</w:t>
            </w:r>
          </w:p>
        </w:tc>
      </w:tr>
    </w:tbl>
    <w:p w:rsidR="008E2D05" w:rsidRDefault="008E2D05" w:rsidP="008E2D05">
      <w:pPr>
        <w:rPr>
          <w:rFonts w:ascii="NTPreCursivefk" w:hAnsi="NTPreCursivefk"/>
          <w:sz w:val="48"/>
        </w:rPr>
      </w:pPr>
    </w:p>
    <w:p w:rsidR="00C40AA9" w:rsidRDefault="00C40AA9" w:rsidP="00C40AA9">
      <w:pPr>
        <w:jc w:val="center"/>
        <w:rPr>
          <w:rFonts w:ascii="NTPreCursivefk" w:hAnsi="NTPreCursivefk"/>
          <w:sz w:val="48"/>
        </w:rPr>
      </w:pPr>
    </w:p>
    <w:p w:rsidR="00C40AA9" w:rsidRDefault="00C40AA9" w:rsidP="00C40AA9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t>Seasonal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C40AA9" w:rsidRPr="00DB0802" w:rsidTr="00DF04BA">
        <w:tc>
          <w:tcPr>
            <w:tcW w:w="11874" w:type="dxa"/>
          </w:tcPr>
          <w:p w:rsidR="00C40AA9" w:rsidRPr="00C40AA9" w:rsidRDefault="00C40AA9" w:rsidP="00DF04BA">
            <w:pPr>
              <w:rPr>
                <w:rFonts w:ascii="NTPreCursivefk" w:hAnsi="NTPreCursivefk"/>
                <w:sz w:val="36"/>
                <w:szCs w:val="36"/>
              </w:rPr>
            </w:pPr>
            <w:r w:rsidRPr="00C40AA9">
              <w:rPr>
                <w:rFonts w:ascii="NTPreCursivefk" w:hAnsi="NTPreCursivefk"/>
                <w:sz w:val="36"/>
                <w:szCs w:val="36"/>
              </w:rPr>
              <w:t>National Curriculum Links</w:t>
            </w:r>
          </w:p>
        </w:tc>
      </w:tr>
      <w:tr w:rsidR="00C40AA9" w:rsidRPr="00DB0802" w:rsidTr="00DF04BA">
        <w:tc>
          <w:tcPr>
            <w:tcW w:w="11874" w:type="dxa"/>
          </w:tcPr>
          <w:p w:rsidR="00C40AA9" w:rsidRDefault="00C40AA9" w:rsidP="00C40AA9">
            <w:pPr>
              <w:spacing w:line="268" w:lineRule="exact"/>
              <w:rPr>
                <w:rFonts w:ascii="NTPreCursivefk" w:hAnsi="NTPreCursivefk" w:cs="Arial"/>
                <w:color w:val="000000"/>
                <w:sz w:val="36"/>
                <w:szCs w:val="36"/>
              </w:rPr>
            </w:pP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>
              <w:rPr>
                <w:rFonts w:ascii="NTPreCursivefk" w:hAnsi="NTPreCursivefk" w:cs="Arial"/>
                <w:sz w:val="36"/>
                <w:szCs w:val="36"/>
              </w:rPr>
              <w:t xml:space="preserve">to </w:t>
            </w:r>
            <w:bookmarkStart w:id="0" w:name="_GoBack"/>
            <w:bookmarkEnd w:id="0"/>
            <w:r w:rsidRPr="00C40AA9">
              <w:rPr>
                <w:rFonts w:ascii="NTPreCursivefk" w:hAnsi="NTPreCursivefk" w:cs="Arial"/>
                <w:sz w:val="36"/>
                <w:szCs w:val="36"/>
              </w:rPr>
              <w:t>be able to o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bserve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changes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across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the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four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>
              <w:rPr>
                <w:rFonts w:ascii="NTPreCursivefk" w:hAnsi="NTPreCursivefk" w:cs="Arial"/>
                <w:color w:val="000000"/>
                <w:sz w:val="36"/>
                <w:szCs w:val="36"/>
              </w:rPr>
              <w:t>seasons</w:t>
            </w:r>
          </w:p>
          <w:p w:rsidR="00C40AA9" w:rsidRPr="00C40AA9" w:rsidRDefault="00C40AA9" w:rsidP="00C40AA9">
            <w:pPr>
              <w:spacing w:line="268" w:lineRule="exact"/>
              <w:rPr>
                <w:rFonts w:ascii="NTPreCursivefk" w:hAnsi="NTPreCursivefk" w:cs="Arial"/>
                <w:color w:val="000000"/>
                <w:sz w:val="36"/>
                <w:szCs w:val="36"/>
              </w:rPr>
            </w:pPr>
            <w:r>
              <w:rPr>
                <w:rFonts w:ascii="NTPreCursivefk" w:hAnsi="NTPreCursivefk" w:cs="Arial"/>
                <w:color w:val="000000"/>
                <w:sz w:val="36"/>
                <w:szCs w:val="36"/>
              </w:rPr>
              <w:t xml:space="preserve">to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be able to observe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and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describe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weather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associated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with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the</w:t>
            </w:r>
            <w:r w:rsidRPr="00C40AA9">
              <w:rPr>
                <w:rFonts w:ascii="NTPreCursivefk" w:hAnsi="NTPreCursivefk" w:cs="Arial"/>
                <w:sz w:val="36"/>
                <w:szCs w:val="36"/>
              </w:rPr>
              <w:t xml:space="preserve"> 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seasons</w:t>
            </w:r>
            <w:r w:rsidRPr="00C40AA9">
              <w:rPr>
                <w:rFonts w:ascii="NTPreCursivefk" w:hAnsi="NTPreCursivefk" w:cs="Arial"/>
                <w:color w:val="000000"/>
                <w:sz w:val="36"/>
                <w:szCs w:val="36"/>
              </w:rPr>
              <w:t>.</w:t>
            </w:r>
          </w:p>
        </w:tc>
      </w:tr>
    </w:tbl>
    <w:p w:rsidR="00C40AA9" w:rsidRPr="00DB0802" w:rsidRDefault="00C40AA9" w:rsidP="008E2D05">
      <w:pPr>
        <w:rPr>
          <w:rFonts w:ascii="NTPreCursivefk" w:hAnsi="NTPreCursivefk"/>
          <w:sz w:val="48"/>
        </w:rPr>
      </w:pPr>
    </w:p>
    <w:sectPr w:rsidR="00C40AA9" w:rsidRPr="00DB0802" w:rsidSect="00DB080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02" w:rsidRDefault="00DB0802" w:rsidP="00DB0802">
      <w:pPr>
        <w:spacing w:after="0" w:line="240" w:lineRule="auto"/>
      </w:pPr>
      <w:r>
        <w:separator/>
      </w:r>
    </w:p>
  </w:endnote>
  <w:endnote w:type="continuationSeparator" w:id="0">
    <w:p w:rsidR="00DB0802" w:rsidRDefault="00DB0802" w:rsidP="00DB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02" w:rsidRDefault="00DB0802" w:rsidP="00DB0802">
      <w:pPr>
        <w:spacing w:after="0" w:line="240" w:lineRule="auto"/>
      </w:pPr>
      <w:r>
        <w:separator/>
      </w:r>
    </w:p>
  </w:footnote>
  <w:footnote w:type="continuationSeparator" w:id="0">
    <w:p w:rsidR="00DB0802" w:rsidRDefault="00DB0802" w:rsidP="00DB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D4F" w:rsidRPr="00D6482C" w:rsidRDefault="00DB0802" w:rsidP="00D6482C">
    <w:pPr>
      <w:pStyle w:val="Header"/>
      <w:jc w:val="center"/>
      <w:rPr>
        <w:rFonts w:ascii="NTPreCursivefk" w:hAnsi="NTPreCursivefk"/>
        <w:sz w:val="36"/>
      </w:rPr>
    </w:pPr>
    <w:r>
      <w:rPr>
        <w:noProof/>
        <w:sz w:val="28"/>
        <w:szCs w:val="28"/>
        <w:lang w:eastAsia="en-GB"/>
      </w:rPr>
      <w:drawing>
        <wp:inline distT="0" distB="0" distL="0" distR="0" wp14:anchorId="676D1B8A" wp14:editId="5FC66B5A">
          <wp:extent cx="1233181" cy="959140"/>
          <wp:effectExtent l="0" t="0" r="5080" b="0"/>
          <wp:docPr id="1" name="Picture 1" descr="school logo rainb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chool logo rainb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909" cy="96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D4F" w:rsidRPr="00102D4F">
      <w:rPr>
        <w:rFonts w:ascii="NTPreCursivefk" w:hAnsi="NTPreCursivefk"/>
        <w:sz w:val="48"/>
      </w:rPr>
      <w:t xml:space="preserve">Year </w:t>
    </w:r>
    <w:r w:rsidR="00431A1D">
      <w:rPr>
        <w:rFonts w:ascii="NTPreCursivefk" w:hAnsi="NTPreCursivefk"/>
        <w:sz w:val="48"/>
      </w:rPr>
      <w:t xml:space="preserve">1 Science </w:t>
    </w:r>
    <w:r w:rsidR="00102D4F" w:rsidRPr="00102D4F">
      <w:rPr>
        <w:rFonts w:ascii="NTPreCursivefk" w:hAnsi="NTPreCursivefk"/>
        <w:sz w:val="48"/>
      </w:rPr>
      <w:t>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D4E65C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53B2"/>
    <w:multiLevelType w:val="hybridMultilevel"/>
    <w:tmpl w:val="B3B4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7816"/>
    <w:multiLevelType w:val="hybridMultilevel"/>
    <w:tmpl w:val="F958669E"/>
    <w:lvl w:ilvl="0" w:tplc="FC529588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C743BF6"/>
    <w:multiLevelType w:val="hybridMultilevel"/>
    <w:tmpl w:val="99F25A12"/>
    <w:lvl w:ilvl="0" w:tplc="9D80E13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E1C93"/>
    <w:multiLevelType w:val="hybridMultilevel"/>
    <w:tmpl w:val="54220EAA"/>
    <w:lvl w:ilvl="0" w:tplc="B6F8F9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D08A8"/>
    <w:multiLevelType w:val="hybridMultilevel"/>
    <w:tmpl w:val="41A81B7E"/>
    <w:lvl w:ilvl="0" w:tplc="43545A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91A1F"/>
    <w:multiLevelType w:val="hybridMultilevel"/>
    <w:tmpl w:val="0C8A8BBE"/>
    <w:lvl w:ilvl="0" w:tplc="4B0A33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02"/>
    <w:rsid w:val="00102D4F"/>
    <w:rsid w:val="00146E79"/>
    <w:rsid w:val="0037335B"/>
    <w:rsid w:val="00431A1D"/>
    <w:rsid w:val="006B0C89"/>
    <w:rsid w:val="007C4FD3"/>
    <w:rsid w:val="00860786"/>
    <w:rsid w:val="008E2D05"/>
    <w:rsid w:val="0095373C"/>
    <w:rsid w:val="00B277CB"/>
    <w:rsid w:val="00C40AA9"/>
    <w:rsid w:val="00C924E0"/>
    <w:rsid w:val="00CE4873"/>
    <w:rsid w:val="00D6482C"/>
    <w:rsid w:val="00DB0802"/>
    <w:rsid w:val="00E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0070"/>
  <w15:docId w15:val="{CF3F9A1F-DC5F-4016-B686-BD82B80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02"/>
  </w:style>
  <w:style w:type="paragraph" w:styleId="Footer">
    <w:name w:val="footer"/>
    <w:basedOn w:val="Normal"/>
    <w:link w:val="Foot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02"/>
  </w:style>
  <w:style w:type="paragraph" w:styleId="BalloonText">
    <w:name w:val="Balloon Text"/>
    <w:basedOn w:val="Normal"/>
    <w:link w:val="BalloonTextChar"/>
    <w:uiPriority w:val="99"/>
    <w:semiHidden/>
    <w:unhideWhenUsed/>
    <w:rsid w:val="00D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DB080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Bladen</dc:creator>
  <cp:lastModifiedBy>Ceri Blockley</cp:lastModifiedBy>
  <cp:revision>2</cp:revision>
  <dcterms:created xsi:type="dcterms:W3CDTF">2022-04-18T08:50:00Z</dcterms:created>
  <dcterms:modified xsi:type="dcterms:W3CDTF">2022-04-18T08:50:00Z</dcterms:modified>
</cp:coreProperties>
</file>