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77B" w:rsidRDefault="00000000">
      <w:pPr>
        <w:ind w:left="0" w:right="1675"/>
        <w:jc w:val="right"/>
      </w:pPr>
      <w:r>
        <w:rPr>
          <w:noProof/>
        </w:rPr>
        <w:drawing>
          <wp:inline distT="0" distB="0" distL="0" distR="0">
            <wp:extent cx="3514725" cy="1363345"/>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5"/>
                    <a:stretch>
                      <a:fillRect/>
                    </a:stretch>
                  </pic:blipFill>
                  <pic:spPr>
                    <a:xfrm>
                      <a:off x="0" y="0"/>
                      <a:ext cx="3514725" cy="1363345"/>
                    </a:xfrm>
                    <a:prstGeom prst="rect">
                      <a:avLst/>
                    </a:prstGeom>
                  </pic:spPr>
                </pic:pic>
              </a:graphicData>
            </a:graphic>
          </wp:inline>
        </w:drawing>
      </w:r>
      <w:r>
        <w:t xml:space="preserve"> </w:t>
      </w:r>
    </w:p>
    <w:p w:rsidR="00FF577B" w:rsidRDefault="00000000">
      <w:r>
        <w:t xml:space="preserve">Mathematics Policy </w:t>
      </w:r>
    </w:p>
    <w:tbl>
      <w:tblPr>
        <w:tblStyle w:val="TableGrid"/>
        <w:tblW w:w="10459" w:type="dxa"/>
        <w:tblInd w:w="-715" w:type="dxa"/>
        <w:tblCellMar>
          <w:top w:w="18" w:type="dxa"/>
          <w:left w:w="0" w:type="dxa"/>
          <w:bottom w:w="0" w:type="dxa"/>
          <w:right w:w="96" w:type="dxa"/>
        </w:tblCellMar>
        <w:tblLook w:val="04A0" w:firstRow="1" w:lastRow="0" w:firstColumn="1" w:lastColumn="0" w:noHBand="0" w:noVBand="1"/>
      </w:tblPr>
      <w:tblGrid>
        <w:gridCol w:w="828"/>
        <w:gridCol w:w="9631"/>
      </w:tblGrid>
      <w:tr w:rsidR="00FF577B">
        <w:trPr>
          <w:trHeight w:val="350"/>
        </w:trPr>
        <w:tc>
          <w:tcPr>
            <w:tcW w:w="10459" w:type="dxa"/>
            <w:gridSpan w:val="2"/>
            <w:tcBorders>
              <w:top w:val="single" w:sz="4" w:space="0" w:color="000000"/>
              <w:left w:val="single" w:sz="4" w:space="0" w:color="000000"/>
              <w:bottom w:val="single" w:sz="4" w:space="0" w:color="000000"/>
              <w:right w:val="single" w:sz="4" w:space="0" w:color="000000"/>
            </w:tcBorders>
          </w:tcPr>
          <w:p w:rsidR="00FF577B" w:rsidRDefault="00000000">
            <w:pPr>
              <w:ind w:left="0" w:right="9"/>
              <w:jc w:val="center"/>
            </w:pPr>
            <w:r>
              <w:rPr>
                <w:b/>
                <w:u w:val="single" w:color="000000"/>
              </w:rPr>
              <w:t>INTENT</w:t>
            </w:r>
            <w:r>
              <w:rPr>
                <w:b/>
              </w:rPr>
              <w:t xml:space="preserve"> </w:t>
            </w:r>
          </w:p>
        </w:tc>
      </w:tr>
      <w:tr w:rsidR="00FF577B">
        <w:trPr>
          <w:trHeight w:val="7143"/>
        </w:trPr>
        <w:tc>
          <w:tcPr>
            <w:tcW w:w="10459" w:type="dxa"/>
            <w:gridSpan w:val="2"/>
            <w:tcBorders>
              <w:top w:val="single" w:sz="4" w:space="0" w:color="000000"/>
              <w:left w:val="single" w:sz="4" w:space="0" w:color="000000"/>
              <w:bottom w:val="single" w:sz="4" w:space="0" w:color="000000"/>
              <w:right w:val="single" w:sz="4" w:space="0" w:color="000000"/>
            </w:tcBorders>
          </w:tcPr>
          <w:p w:rsidR="00FF577B" w:rsidRDefault="00000000">
            <w:pPr>
              <w:ind w:left="0"/>
            </w:pPr>
            <w:r>
              <w:rPr>
                <w:b/>
                <w:sz w:val="22"/>
                <w:u w:val="single" w:color="000000"/>
              </w:rPr>
              <w:t>Rationale:</w:t>
            </w:r>
            <w:r>
              <w:rPr>
                <w:b/>
                <w:sz w:val="22"/>
              </w:rPr>
              <w:t xml:space="preserve"> </w:t>
            </w:r>
          </w:p>
          <w:p w:rsidR="00FF577B" w:rsidRDefault="00000000">
            <w:pPr>
              <w:spacing w:line="242" w:lineRule="auto"/>
              <w:ind w:left="0"/>
            </w:pPr>
            <w:r>
              <w:rPr>
                <w:sz w:val="22"/>
              </w:rPr>
              <w:t xml:space="preserve">At </w:t>
            </w:r>
            <w:proofErr w:type="spellStart"/>
            <w:r>
              <w:rPr>
                <w:sz w:val="22"/>
              </w:rPr>
              <w:t>Buglawton</w:t>
            </w:r>
            <w:proofErr w:type="spellEnd"/>
            <w:r>
              <w:rPr>
                <w:sz w:val="22"/>
              </w:rPr>
              <w:t xml:space="preserve"> Primary School our Maths curriculum is designed to be accessible to all so that every child knows more, remembers more and understands more. At </w:t>
            </w:r>
            <w:proofErr w:type="spellStart"/>
            <w:r>
              <w:rPr>
                <w:sz w:val="22"/>
              </w:rPr>
              <w:t>Buglawton</w:t>
            </w:r>
            <w:proofErr w:type="spellEnd"/>
            <w:r>
              <w:rPr>
                <w:sz w:val="22"/>
              </w:rPr>
              <w:t xml:space="preserve"> we provide children with the mathematical skills needed for life.</w:t>
            </w:r>
            <w:r>
              <w:rPr>
                <w:rFonts w:ascii="Cambria" w:eastAsia="Cambria" w:hAnsi="Cambria" w:cs="Cambria"/>
                <w:sz w:val="22"/>
              </w:rPr>
              <w:t xml:space="preserve"> </w:t>
            </w:r>
            <w:r>
              <w:rPr>
                <w:sz w:val="22"/>
              </w:rPr>
              <w:t xml:space="preserve"> Teachers from Reception to Year 6 follow the Power Maths Scheme of work and also use a wide variety of resources and ideas to provide children with a range of challenges where they can learn to apply their skills.</w:t>
            </w:r>
            <w:r>
              <w:rPr>
                <w:rFonts w:ascii="Cambria" w:eastAsia="Cambria" w:hAnsi="Cambria" w:cs="Cambria"/>
                <w:sz w:val="22"/>
              </w:rPr>
              <w:t xml:space="preserve"> </w:t>
            </w:r>
            <w:r>
              <w:rPr>
                <w:sz w:val="22"/>
              </w:rPr>
              <w:t xml:space="preserve">  </w:t>
            </w:r>
          </w:p>
          <w:p w:rsidR="00FF577B" w:rsidRDefault="00000000">
            <w:pPr>
              <w:ind w:left="0"/>
            </w:pPr>
            <w:r>
              <w:rPr>
                <w:b/>
                <w:sz w:val="22"/>
                <w:u w:val="single" w:color="000000"/>
              </w:rPr>
              <w:t>Ambition:</w:t>
            </w:r>
            <w:r>
              <w:rPr>
                <w:b/>
                <w:sz w:val="22"/>
              </w:rPr>
              <w:t xml:space="preserve"> </w:t>
            </w:r>
          </w:p>
          <w:p w:rsidR="00FF577B" w:rsidRDefault="00000000">
            <w:pPr>
              <w:spacing w:after="12"/>
              <w:ind w:left="0"/>
            </w:pPr>
            <w:r>
              <w:rPr>
                <w:sz w:val="22"/>
              </w:rPr>
              <w:t xml:space="preserve">Our intent is to: </w:t>
            </w:r>
          </w:p>
          <w:p w:rsidR="00FF577B" w:rsidRDefault="00000000">
            <w:pPr>
              <w:numPr>
                <w:ilvl w:val="0"/>
                <w:numId w:val="1"/>
              </w:numPr>
              <w:spacing w:after="12"/>
              <w:ind w:firstLine="360"/>
            </w:pPr>
            <w:r>
              <w:rPr>
                <w:color w:val="0B0C0C"/>
                <w:sz w:val="22"/>
              </w:rPr>
              <w:t>ensure that every child has the skills to become a numerate adult</w:t>
            </w:r>
            <w:r>
              <w:rPr>
                <w:sz w:val="22"/>
              </w:rPr>
              <w:t xml:space="preserve"> </w:t>
            </w:r>
          </w:p>
          <w:p w:rsidR="00FF577B" w:rsidRDefault="00000000">
            <w:pPr>
              <w:numPr>
                <w:ilvl w:val="0"/>
                <w:numId w:val="1"/>
              </w:numPr>
              <w:spacing w:after="12"/>
              <w:ind w:firstLine="360"/>
            </w:pPr>
            <w:r>
              <w:rPr>
                <w:sz w:val="22"/>
              </w:rPr>
              <w:t xml:space="preserve">introduce children to concepts, skills and thinking strategies that are essential in everyday life </w:t>
            </w:r>
          </w:p>
          <w:p w:rsidR="00FF577B" w:rsidRDefault="00000000">
            <w:pPr>
              <w:numPr>
                <w:ilvl w:val="0"/>
                <w:numId w:val="1"/>
              </w:numPr>
              <w:spacing w:line="254" w:lineRule="auto"/>
              <w:ind w:firstLine="360"/>
            </w:pPr>
            <w:r>
              <w:rPr>
                <w:sz w:val="22"/>
              </w:rPr>
              <w:t xml:space="preserve">help children make sense of the numbers, patterns and shapes they see in the world around them </w:t>
            </w:r>
            <w:r>
              <w:rPr>
                <w:rFonts w:ascii="Wingdings" w:eastAsia="Wingdings" w:hAnsi="Wingdings" w:cs="Wingdings"/>
                <w:sz w:val="22"/>
              </w:rPr>
              <w:t>▪</w:t>
            </w:r>
            <w:r>
              <w:rPr>
                <w:rFonts w:ascii="Arial" w:eastAsia="Arial" w:hAnsi="Arial" w:cs="Arial"/>
                <w:sz w:val="22"/>
              </w:rPr>
              <w:t xml:space="preserve"> </w:t>
            </w:r>
            <w:r>
              <w:rPr>
                <w:sz w:val="22"/>
              </w:rPr>
              <w:t xml:space="preserve">encourage children to acquire a wide vocabulary and understanding of mathematical language </w:t>
            </w:r>
            <w:r>
              <w:rPr>
                <w:b/>
                <w:sz w:val="22"/>
                <w:u w:val="single" w:color="000000"/>
              </w:rPr>
              <w:t>Concepts:</w:t>
            </w:r>
            <w:r>
              <w:rPr>
                <w:b/>
                <w:sz w:val="22"/>
              </w:rPr>
              <w:t xml:space="preserve"> </w:t>
            </w:r>
          </w:p>
          <w:p w:rsidR="00FF577B" w:rsidRDefault="00000000">
            <w:pPr>
              <w:spacing w:line="242" w:lineRule="auto"/>
              <w:ind w:left="0" w:right="9"/>
            </w:pPr>
            <w:r>
              <w:rPr>
                <w:sz w:val="22"/>
              </w:rPr>
              <w:t xml:space="preserve">A graduated and sequential approach to the teaching of knowledge and skills ensures that children build on previous understanding. Before a child reaches Year </w:t>
            </w:r>
            <w:proofErr w:type="gramStart"/>
            <w:r>
              <w:rPr>
                <w:sz w:val="22"/>
              </w:rPr>
              <w:t>1</w:t>
            </w:r>
            <w:proofErr w:type="gramEnd"/>
            <w:r>
              <w:rPr>
                <w:sz w:val="22"/>
              </w:rPr>
              <w:t xml:space="preserve"> they are able to count up to 20 and understand the value of numbers.</w:t>
            </w:r>
            <w:r>
              <w:rPr>
                <w:rFonts w:ascii="Cambria" w:eastAsia="Cambria" w:hAnsi="Cambria" w:cs="Cambria"/>
                <w:sz w:val="22"/>
              </w:rPr>
              <w:t xml:space="preserve"> </w:t>
            </w:r>
            <w:r>
              <w:rPr>
                <w:sz w:val="22"/>
              </w:rPr>
              <w:t xml:space="preserve"> Key Stage one children focus on place value and the meaning of numbers with practical activities and a range of visual representations.</w:t>
            </w:r>
            <w:r>
              <w:rPr>
                <w:rFonts w:ascii="Cambria" w:eastAsia="Cambria" w:hAnsi="Cambria" w:cs="Cambria"/>
                <w:sz w:val="22"/>
              </w:rPr>
              <w:t xml:space="preserve"> </w:t>
            </w:r>
            <w:r>
              <w:rPr>
                <w:sz w:val="22"/>
              </w:rPr>
              <w:t xml:space="preserve"> Once place value is secure, the vocabulary and calculations around the four formal operations are introduced and these skills are applied in </w:t>
            </w:r>
            <w:proofErr w:type="gramStart"/>
            <w:r>
              <w:rPr>
                <w:sz w:val="22"/>
              </w:rPr>
              <w:t>real life problem solving</w:t>
            </w:r>
            <w:proofErr w:type="gramEnd"/>
            <w:r>
              <w:rPr>
                <w:sz w:val="22"/>
              </w:rPr>
              <w:t xml:space="preserve"> activities.  At </w:t>
            </w:r>
            <w:proofErr w:type="spellStart"/>
            <w:r>
              <w:rPr>
                <w:sz w:val="22"/>
              </w:rPr>
              <w:t>Buglawton</w:t>
            </w:r>
            <w:proofErr w:type="spellEnd"/>
            <w:r>
              <w:rPr>
                <w:sz w:val="22"/>
              </w:rPr>
              <w:t xml:space="preserve"> we teach using the</w:t>
            </w:r>
            <w:r>
              <w:rPr>
                <w:rFonts w:ascii="Cambria" w:eastAsia="Cambria" w:hAnsi="Cambria" w:cs="Cambria"/>
                <w:sz w:val="22"/>
              </w:rPr>
              <w:t xml:space="preserve"> </w:t>
            </w:r>
            <w:r>
              <w:rPr>
                <w:sz w:val="22"/>
              </w:rPr>
              <w:t>mastery approach. Children should all have access to the same curriculum content and, rather than being extended with new learning, they should deepen their conceptual understanding by tackling</w:t>
            </w:r>
            <w:r>
              <w:rPr>
                <w:rFonts w:ascii="Cambria" w:eastAsia="Cambria" w:hAnsi="Cambria" w:cs="Cambria"/>
                <w:sz w:val="22"/>
              </w:rPr>
              <w:t xml:space="preserve"> </w:t>
            </w:r>
            <w:r>
              <w:rPr>
                <w:sz w:val="22"/>
              </w:rPr>
              <w:t>varied and challenging</w:t>
            </w:r>
            <w:r>
              <w:rPr>
                <w:rFonts w:ascii="Cambria" w:eastAsia="Cambria" w:hAnsi="Cambria" w:cs="Cambria"/>
                <w:sz w:val="22"/>
              </w:rPr>
              <w:t xml:space="preserve"> </w:t>
            </w:r>
            <w:r>
              <w:rPr>
                <w:sz w:val="22"/>
              </w:rPr>
              <w:t xml:space="preserve">problems. Similarly with calculation strategies, pupils must not simply rote learn procedures but demonstrate their understanding of these procedures through the use of concrete materials and pictorial representations to ensure fluency and depth of understanding. </w:t>
            </w:r>
          </w:p>
          <w:p w:rsidR="00FF577B" w:rsidRDefault="00000000">
            <w:pPr>
              <w:ind w:left="0"/>
            </w:pPr>
            <w:r>
              <w:rPr>
                <w:sz w:val="22"/>
              </w:rPr>
              <w:t xml:space="preserve">At </w:t>
            </w:r>
            <w:proofErr w:type="spellStart"/>
            <w:r>
              <w:rPr>
                <w:sz w:val="22"/>
              </w:rPr>
              <w:t>Buglawton</w:t>
            </w:r>
            <w:proofErr w:type="spellEnd"/>
            <w:r>
              <w:rPr>
                <w:sz w:val="22"/>
              </w:rPr>
              <w:t xml:space="preserve">, children also need to learn number facts so that they can instantly recall number bonds and times tables. This knowledge will enable children to answer calculations and more challenging problems as well as prepare them for the Multiplication Test at the end of Year 4. </w:t>
            </w:r>
          </w:p>
        </w:tc>
      </w:tr>
      <w:tr w:rsidR="00FF577B">
        <w:trPr>
          <w:trHeight w:val="281"/>
        </w:trPr>
        <w:tc>
          <w:tcPr>
            <w:tcW w:w="10459" w:type="dxa"/>
            <w:gridSpan w:val="2"/>
            <w:tcBorders>
              <w:top w:val="single" w:sz="4" w:space="0" w:color="000000"/>
              <w:left w:val="single" w:sz="4" w:space="0" w:color="000000"/>
              <w:bottom w:val="single" w:sz="4" w:space="0" w:color="000000"/>
              <w:right w:val="single" w:sz="4" w:space="0" w:color="000000"/>
            </w:tcBorders>
          </w:tcPr>
          <w:p w:rsidR="00FF577B" w:rsidRDefault="00000000">
            <w:pPr>
              <w:ind w:left="0" w:right="11"/>
              <w:jc w:val="center"/>
            </w:pPr>
            <w:r>
              <w:rPr>
                <w:b/>
                <w:sz w:val="22"/>
                <w:u w:val="single" w:color="000000"/>
              </w:rPr>
              <w:t>IMPLEMENTATION</w:t>
            </w:r>
            <w:r>
              <w:rPr>
                <w:b/>
                <w:sz w:val="22"/>
              </w:rPr>
              <w:t xml:space="preserve"> </w:t>
            </w:r>
          </w:p>
        </w:tc>
      </w:tr>
      <w:tr w:rsidR="00FF577B">
        <w:trPr>
          <w:trHeight w:val="3646"/>
        </w:trPr>
        <w:tc>
          <w:tcPr>
            <w:tcW w:w="10459" w:type="dxa"/>
            <w:gridSpan w:val="2"/>
            <w:tcBorders>
              <w:top w:val="single" w:sz="4" w:space="0" w:color="000000"/>
              <w:left w:val="single" w:sz="4" w:space="0" w:color="000000"/>
              <w:bottom w:val="single" w:sz="4" w:space="0" w:color="000000"/>
              <w:right w:val="single" w:sz="4" w:space="0" w:color="000000"/>
            </w:tcBorders>
          </w:tcPr>
          <w:p w:rsidR="00FF577B" w:rsidRDefault="00000000">
            <w:pPr>
              <w:spacing w:after="12"/>
              <w:ind w:left="0"/>
            </w:pPr>
            <w:r>
              <w:rPr>
                <w:sz w:val="22"/>
              </w:rPr>
              <w:t xml:space="preserve">In order to implement our intent, we have: </w:t>
            </w:r>
          </w:p>
          <w:p w:rsidR="00FF577B" w:rsidRDefault="00000000">
            <w:pPr>
              <w:numPr>
                <w:ilvl w:val="0"/>
                <w:numId w:val="2"/>
              </w:numPr>
              <w:spacing w:after="17"/>
            </w:pPr>
            <w:r>
              <w:rPr>
                <w:sz w:val="22"/>
              </w:rPr>
              <w:t xml:space="preserve">Opportunities for whole school and class enrichment. </w:t>
            </w:r>
          </w:p>
          <w:p w:rsidR="00FF577B" w:rsidRDefault="00000000">
            <w:pPr>
              <w:numPr>
                <w:ilvl w:val="0"/>
                <w:numId w:val="2"/>
              </w:numPr>
              <w:spacing w:after="19"/>
            </w:pPr>
            <w:r>
              <w:rPr>
                <w:sz w:val="22"/>
              </w:rPr>
              <w:t xml:space="preserve">A progressive scheme of work, Power Maths, that consolidates and builds on previous knowledge. </w:t>
            </w:r>
          </w:p>
          <w:p w:rsidR="00FF577B" w:rsidRDefault="00000000">
            <w:pPr>
              <w:numPr>
                <w:ilvl w:val="0"/>
                <w:numId w:val="2"/>
              </w:numPr>
              <w:spacing w:after="20"/>
            </w:pPr>
            <w:r>
              <w:rPr>
                <w:sz w:val="22"/>
              </w:rPr>
              <w:t xml:space="preserve">A scheme of work that focuses on specific and relevant vocabulary. </w:t>
            </w:r>
          </w:p>
          <w:p w:rsidR="00FF577B" w:rsidRDefault="00000000">
            <w:pPr>
              <w:numPr>
                <w:ilvl w:val="0"/>
                <w:numId w:val="2"/>
              </w:numPr>
              <w:spacing w:after="38" w:line="276" w:lineRule="auto"/>
            </w:pPr>
            <w:r>
              <w:rPr>
                <w:sz w:val="22"/>
              </w:rPr>
              <w:t xml:space="preserve">Ensured that staff are equipped with the necessary professional development to deliver our curriculum. </w:t>
            </w:r>
            <w:r>
              <w:rPr>
                <w:rFonts w:ascii="Courier New" w:eastAsia="Courier New" w:hAnsi="Courier New" w:cs="Courier New"/>
                <w:sz w:val="22"/>
              </w:rPr>
              <w:t>o</w:t>
            </w:r>
            <w:r>
              <w:rPr>
                <w:rFonts w:ascii="Arial" w:eastAsia="Arial" w:hAnsi="Arial" w:cs="Arial"/>
                <w:sz w:val="22"/>
              </w:rPr>
              <w:t xml:space="preserve"> </w:t>
            </w:r>
            <w:r>
              <w:rPr>
                <w:sz w:val="22"/>
              </w:rPr>
              <w:t xml:space="preserve">Planned opportunities for home learning tasks to consolidate and extend knowledge and skills. </w:t>
            </w:r>
            <w:r>
              <w:rPr>
                <w:rFonts w:ascii="Courier New" w:eastAsia="Courier New" w:hAnsi="Courier New" w:cs="Courier New"/>
                <w:sz w:val="22"/>
              </w:rPr>
              <w:t>o</w:t>
            </w:r>
            <w:r>
              <w:rPr>
                <w:rFonts w:ascii="Arial" w:eastAsia="Arial" w:hAnsi="Arial" w:cs="Arial"/>
                <w:sz w:val="22"/>
              </w:rPr>
              <w:t xml:space="preserve"> </w:t>
            </w:r>
            <w:r>
              <w:rPr>
                <w:sz w:val="22"/>
              </w:rPr>
              <w:t xml:space="preserve">A subject leader who regularly monitors teaching and learning, ensuring a consistent </w:t>
            </w:r>
            <w:proofErr w:type="gramStart"/>
            <w:r>
              <w:rPr>
                <w:sz w:val="22"/>
              </w:rPr>
              <w:t xml:space="preserve">approach  </w:t>
            </w:r>
            <w:r>
              <w:rPr>
                <w:rFonts w:ascii="Courier New" w:eastAsia="Courier New" w:hAnsi="Courier New" w:cs="Courier New"/>
                <w:sz w:val="22"/>
              </w:rPr>
              <w:t>o</w:t>
            </w:r>
            <w:proofErr w:type="gramEnd"/>
            <w:r>
              <w:rPr>
                <w:rFonts w:ascii="Arial" w:eastAsia="Arial" w:hAnsi="Arial" w:cs="Arial"/>
                <w:sz w:val="22"/>
              </w:rPr>
              <w:t xml:space="preserve"> </w:t>
            </w:r>
            <w:r>
              <w:rPr>
                <w:sz w:val="22"/>
              </w:rPr>
              <w:t xml:space="preserve">A focus on instant feedback, where teachers work with children during lessons to assess and move on. </w:t>
            </w:r>
            <w:r>
              <w:rPr>
                <w:rFonts w:ascii="Courier New" w:eastAsia="Courier New" w:hAnsi="Courier New" w:cs="Courier New"/>
                <w:sz w:val="22"/>
              </w:rPr>
              <w:t>o</w:t>
            </w:r>
            <w:r>
              <w:rPr>
                <w:rFonts w:ascii="Arial" w:eastAsia="Arial" w:hAnsi="Arial" w:cs="Arial"/>
                <w:sz w:val="22"/>
              </w:rPr>
              <w:t xml:space="preserve"> </w:t>
            </w:r>
            <w:r>
              <w:rPr>
                <w:sz w:val="22"/>
              </w:rPr>
              <w:t xml:space="preserve">Teaching that ensures progression of work, matching the individual needs of the child to their next steps. </w:t>
            </w:r>
            <w:r>
              <w:rPr>
                <w:rFonts w:ascii="Courier New" w:eastAsia="Courier New" w:hAnsi="Courier New" w:cs="Courier New"/>
                <w:sz w:val="22"/>
              </w:rPr>
              <w:t>o</w:t>
            </w:r>
            <w:r>
              <w:rPr>
                <w:rFonts w:ascii="Arial" w:eastAsia="Arial" w:hAnsi="Arial" w:cs="Arial"/>
                <w:sz w:val="22"/>
              </w:rPr>
              <w:t xml:space="preserve"> </w:t>
            </w:r>
            <w:r>
              <w:rPr>
                <w:sz w:val="22"/>
              </w:rPr>
              <w:t xml:space="preserve">Embedded a structure process through which to learn new concepts – concrete, pictorial, abstract </w:t>
            </w:r>
            <w:r>
              <w:rPr>
                <w:rFonts w:ascii="Courier New" w:eastAsia="Courier New" w:hAnsi="Courier New" w:cs="Courier New"/>
                <w:sz w:val="22"/>
              </w:rPr>
              <w:t>o</w:t>
            </w:r>
            <w:r>
              <w:rPr>
                <w:rFonts w:ascii="Arial" w:eastAsia="Arial" w:hAnsi="Arial" w:cs="Arial"/>
                <w:sz w:val="22"/>
              </w:rPr>
              <w:t xml:space="preserve"> </w:t>
            </w:r>
            <w:r>
              <w:rPr>
                <w:sz w:val="22"/>
              </w:rPr>
              <w:t xml:space="preserve">A subject leader who monitors teaching and learning to improve standards and outcomes. </w:t>
            </w:r>
          </w:p>
          <w:p w:rsidR="00FF577B" w:rsidRDefault="00000000">
            <w:pPr>
              <w:numPr>
                <w:ilvl w:val="0"/>
                <w:numId w:val="2"/>
              </w:numPr>
            </w:pPr>
            <w:r>
              <w:rPr>
                <w:sz w:val="22"/>
              </w:rPr>
              <w:t xml:space="preserve">A link governor who liaises with the subject leader in order to monitor and improve standards. </w:t>
            </w:r>
            <w:r>
              <w:rPr>
                <w:rFonts w:ascii="Courier New" w:eastAsia="Courier New" w:hAnsi="Courier New" w:cs="Courier New"/>
              </w:rPr>
              <w:t>o</w:t>
            </w:r>
            <w:r>
              <w:rPr>
                <w:rFonts w:ascii="Arial" w:eastAsia="Arial" w:hAnsi="Arial" w:cs="Arial"/>
              </w:rPr>
              <w:t xml:space="preserve"> </w:t>
            </w:r>
            <w:r>
              <w:rPr>
                <w:sz w:val="22"/>
              </w:rPr>
              <w:t>A curriculum that meets the needs of all pupils (SEND, PPG).</w:t>
            </w:r>
            <w:r>
              <w:t xml:space="preserve"> </w:t>
            </w:r>
          </w:p>
        </w:tc>
      </w:tr>
      <w:tr w:rsidR="00FF577B">
        <w:trPr>
          <w:trHeight w:val="278"/>
        </w:trPr>
        <w:tc>
          <w:tcPr>
            <w:tcW w:w="10459" w:type="dxa"/>
            <w:gridSpan w:val="2"/>
            <w:tcBorders>
              <w:top w:val="single" w:sz="4" w:space="0" w:color="000000"/>
              <w:left w:val="single" w:sz="4" w:space="0" w:color="000000"/>
              <w:bottom w:val="single" w:sz="4" w:space="0" w:color="000000"/>
              <w:right w:val="single" w:sz="4" w:space="0" w:color="000000"/>
            </w:tcBorders>
          </w:tcPr>
          <w:p w:rsidR="00FF577B" w:rsidRDefault="00000000">
            <w:pPr>
              <w:ind w:left="0" w:right="10"/>
              <w:jc w:val="center"/>
            </w:pPr>
            <w:r>
              <w:rPr>
                <w:b/>
                <w:sz w:val="22"/>
                <w:u w:val="single" w:color="000000"/>
              </w:rPr>
              <w:t>IMPACT</w:t>
            </w:r>
            <w:r>
              <w:rPr>
                <w:b/>
                <w:sz w:val="22"/>
              </w:rPr>
              <w:t xml:space="preserve"> </w:t>
            </w:r>
          </w:p>
        </w:tc>
      </w:tr>
      <w:tr w:rsidR="00FF577B">
        <w:trPr>
          <w:trHeight w:val="547"/>
        </w:trPr>
        <w:tc>
          <w:tcPr>
            <w:tcW w:w="10459" w:type="dxa"/>
            <w:gridSpan w:val="2"/>
            <w:tcBorders>
              <w:top w:val="single" w:sz="4" w:space="0" w:color="000000"/>
              <w:left w:val="single" w:sz="4" w:space="0" w:color="000000"/>
              <w:bottom w:val="single" w:sz="4" w:space="0" w:color="000000"/>
              <w:right w:val="single" w:sz="4" w:space="0" w:color="000000"/>
            </w:tcBorders>
          </w:tcPr>
          <w:p w:rsidR="00FF577B" w:rsidRDefault="00000000">
            <w:pPr>
              <w:ind w:left="360" w:right="4307" w:hanging="360"/>
            </w:pPr>
            <w:r>
              <w:rPr>
                <w:sz w:val="22"/>
              </w:rPr>
              <w:lastRenderedPageBreak/>
              <w:t xml:space="preserve">Through implementing the above; </w:t>
            </w:r>
            <w:r>
              <w:rPr>
                <w:rFonts w:ascii="Courier New" w:eastAsia="Courier New" w:hAnsi="Courier New" w:cs="Courier New"/>
                <w:sz w:val="22"/>
              </w:rPr>
              <w:t>o</w:t>
            </w:r>
            <w:r>
              <w:rPr>
                <w:rFonts w:ascii="Arial" w:eastAsia="Arial" w:hAnsi="Arial" w:cs="Arial"/>
                <w:sz w:val="22"/>
              </w:rPr>
              <w:t xml:space="preserve"> </w:t>
            </w:r>
            <w:r>
              <w:rPr>
                <w:sz w:val="22"/>
              </w:rPr>
              <w:t xml:space="preserve">Children will make at least ‘good’ progress in Mathematics </w:t>
            </w:r>
          </w:p>
        </w:tc>
      </w:tr>
      <w:tr w:rsidR="00FF577B">
        <w:trPr>
          <w:trHeight w:val="564"/>
        </w:trPr>
        <w:tc>
          <w:tcPr>
            <w:tcW w:w="828" w:type="dxa"/>
            <w:tcBorders>
              <w:top w:val="single" w:sz="4" w:space="0" w:color="000000"/>
              <w:left w:val="single" w:sz="4" w:space="0" w:color="000000"/>
              <w:bottom w:val="nil"/>
              <w:right w:val="nil"/>
            </w:tcBorders>
          </w:tcPr>
          <w:p w:rsidR="00FF577B" w:rsidRDefault="00000000">
            <w:pPr>
              <w:ind w:left="353"/>
              <w:jc w:val="center"/>
            </w:pPr>
            <w:r>
              <w:rPr>
                <w:rFonts w:ascii="Courier New" w:eastAsia="Courier New" w:hAnsi="Courier New" w:cs="Courier New"/>
                <w:sz w:val="22"/>
              </w:rPr>
              <w:t>o</w:t>
            </w:r>
            <w:r>
              <w:rPr>
                <w:rFonts w:ascii="Arial" w:eastAsia="Arial" w:hAnsi="Arial" w:cs="Arial"/>
                <w:sz w:val="22"/>
              </w:rPr>
              <w:t xml:space="preserve"> </w:t>
            </w:r>
          </w:p>
        </w:tc>
        <w:tc>
          <w:tcPr>
            <w:tcW w:w="9630" w:type="dxa"/>
            <w:tcBorders>
              <w:top w:val="single" w:sz="4" w:space="0" w:color="000000"/>
              <w:left w:val="nil"/>
              <w:bottom w:val="nil"/>
              <w:right w:val="single" w:sz="4" w:space="0" w:color="000000"/>
            </w:tcBorders>
          </w:tcPr>
          <w:p w:rsidR="00FF577B" w:rsidRDefault="00000000">
            <w:pPr>
              <w:ind w:left="0"/>
            </w:pPr>
            <w:r>
              <w:rPr>
                <w:sz w:val="22"/>
              </w:rPr>
              <w:t xml:space="preserve">Children will have a sound knowledge of place value, number concepts and a range of strategies to help them to problem solve. </w:t>
            </w:r>
          </w:p>
        </w:tc>
      </w:tr>
      <w:tr w:rsidR="00FF577B">
        <w:trPr>
          <w:trHeight w:val="273"/>
        </w:trPr>
        <w:tc>
          <w:tcPr>
            <w:tcW w:w="828" w:type="dxa"/>
            <w:tcBorders>
              <w:top w:val="nil"/>
              <w:left w:val="single" w:sz="4" w:space="0" w:color="000000"/>
              <w:bottom w:val="nil"/>
              <w:right w:val="nil"/>
            </w:tcBorders>
          </w:tcPr>
          <w:p w:rsidR="00FF577B" w:rsidRDefault="00000000">
            <w:pPr>
              <w:ind w:left="353"/>
              <w:jc w:val="center"/>
            </w:pPr>
            <w:r>
              <w:rPr>
                <w:rFonts w:ascii="Courier New" w:eastAsia="Courier New" w:hAnsi="Courier New" w:cs="Courier New"/>
                <w:sz w:val="22"/>
              </w:rPr>
              <w:t>o</w:t>
            </w:r>
            <w:r>
              <w:rPr>
                <w:rFonts w:ascii="Arial" w:eastAsia="Arial" w:hAnsi="Arial" w:cs="Arial"/>
                <w:sz w:val="22"/>
              </w:rPr>
              <w:t xml:space="preserve"> </w:t>
            </w:r>
          </w:p>
        </w:tc>
        <w:tc>
          <w:tcPr>
            <w:tcW w:w="9630" w:type="dxa"/>
            <w:tcBorders>
              <w:top w:val="nil"/>
              <w:left w:val="nil"/>
              <w:bottom w:val="nil"/>
              <w:right w:val="single" w:sz="4" w:space="0" w:color="000000"/>
            </w:tcBorders>
          </w:tcPr>
          <w:p w:rsidR="00FF577B" w:rsidRDefault="00000000">
            <w:pPr>
              <w:ind w:left="0"/>
            </w:pPr>
            <w:r>
              <w:rPr>
                <w:sz w:val="22"/>
              </w:rPr>
              <w:t xml:space="preserve">Children will be able to reason mathematically. </w:t>
            </w:r>
          </w:p>
        </w:tc>
      </w:tr>
      <w:tr w:rsidR="00FF577B">
        <w:trPr>
          <w:trHeight w:val="534"/>
        </w:trPr>
        <w:tc>
          <w:tcPr>
            <w:tcW w:w="828" w:type="dxa"/>
            <w:tcBorders>
              <w:top w:val="nil"/>
              <w:left w:val="single" w:sz="4" w:space="0" w:color="000000"/>
              <w:bottom w:val="nil"/>
              <w:right w:val="nil"/>
            </w:tcBorders>
          </w:tcPr>
          <w:p w:rsidR="00FF577B" w:rsidRDefault="00000000">
            <w:pPr>
              <w:ind w:left="353"/>
              <w:jc w:val="center"/>
            </w:pPr>
            <w:r>
              <w:rPr>
                <w:rFonts w:ascii="Courier New" w:eastAsia="Courier New" w:hAnsi="Courier New" w:cs="Courier New"/>
                <w:sz w:val="22"/>
              </w:rPr>
              <w:t>o</w:t>
            </w:r>
            <w:r>
              <w:rPr>
                <w:rFonts w:ascii="Arial" w:eastAsia="Arial" w:hAnsi="Arial" w:cs="Arial"/>
                <w:sz w:val="22"/>
              </w:rPr>
              <w:t xml:space="preserve"> </w:t>
            </w:r>
          </w:p>
        </w:tc>
        <w:tc>
          <w:tcPr>
            <w:tcW w:w="9630" w:type="dxa"/>
            <w:tcBorders>
              <w:top w:val="nil"/>
              <w:left w:val="nil"/>
              <w:bottom w:val="nil"/>
              <w:right w:val="single" w:sz="4" w:space="0" w:color="000000"/>
            </w:tcBorders>
          </w:tcPr>
          <w:p w:rsidR="00FF577B" w:rsidRDefault="00000000">
            <w:pPr>
              <w:ind w:left="0"/>
            </w:pPr>
            <w:r>
              <w:rPr>
                <w:sz w:val="22"/>
              </w:rPr>
              <w:t xml:space="preserve">Children will use their Mathematical knowledge across other areas of the curriculum, to enable them to know more, remember more and understand more. </w:t>
            </w:r>
          </w:p>
        </w:tc>
      </w:tr>
      <w:tr w:rsidR="00FF577B">
        <w:trPr>
          <w:trHeight w:val="535"/>
        </w:trPr>
        <w:tc>
          <w:tcPr>
            <w:tcW w:w="828" w:type="dxa"/>
            <w:tcBorders>
              <w:top w:val="nil"/>
              <w:left w:val="single" w:sz="4" w:space="0" w:color="000000"/>
              <w:bottom w:val="nil"/>
              <w:right w:val="nil"/>
            </w:tcBorders>
          </w:tcPr>
          <w:p w:rsidR="00FF577B" w:rsidRDefault="00000000">
            <w:pPr>
              <w:ind w:left="353"/>
              <w:jc w:val="center"/>
            </w:pPr>
            <w:r>
              <w:rPr>
                <w:rFonts w:ascii="Courier New" w:eastAsia="Courier New" w:hAnsi="Courier New" w:cs="Courier New"/>
                <w:sz w:val="22"/>
              </w:rPr>
              <w:t>o</w:t>
            </w:r>
            <w:r>
              <w:rPr>
                <w:rFonts w:ascii="Arial" w:eastAsia="Arial" w:hAnsi="Arial" w:cs="Arial"/>
                <w:sz w:val="22"/>
              </w:rPr>
              <w:t xml:space="preserve"> </w:t>
            </w:r>
          </w:p>
        </w:tc>
        <w:tc>
          <w:tcPr>
            <w:tcW w:w="9630" w:type="dxa"/>
            <w:tcBorders>
              <w:top w:val="nil"/>
              <w:left w:val="nil"/>
              <w:bottom w:val="nil"/>
              <w:right w:val="single" w:sz="4" w:space="0" w:color="000000"/>
            </w:tcBorders>
          </w:tcPr>
          <w:p w:rsidR="00FF577B" w:rsidRDefault="00000000">
            <w:pPr>
              <w:ind w:left="0"/>
            </w:pPr>
            <w:r>
              <w:rPr>
                <w:sz w:val="22"/>
              </w:rPr>
              <w:t xml:space="preserve">Children will recognise that Maths is a facilitating subject that can help them be successful in everyday life both now and in the future. </w:t>
            </w:r>
          </w:p>
        </w:tc>
      </w:tr>
      <w:tr w:rsidR="00FF577B">
        <w:trPr>
          <w:trHeight w:val="272"/>
        </w:trPr>
        <w:tc>
          <w:tcPr>
            <w:tcW w:w="828" w:type="dxa"/>
            <w:tcBorders>
              <w:top w:val="nil"/>
              <w:left w:val="single" w:sz="4" w:space="0" w:color="000000"/>
              <w:bottom w:val="nil"/>
              <w:right w:val="nil"/>
            </w:tcBorders>
          </w:tcPr>
          <w:p w:rsidR="00FF577B" w:rsidRDefault="00000000">
            <w:pPr>
              <w:ind w:left="353"/>
              <w:jc w:val="center"/>
            </w:pPr>
            <w:r>
              <w:rPr>
                <w:rFonts w:ascii="Courier New" w:eastAsia="Courier New" w:hAnsi="Courier New" w:cs="Courier New"/>
                <w:sz w:val="22"/>
              </w:rPr>
              <w:t>o</w:t>
            </w:r>
            <w:r>
              <w:rPr>
                <w:rFonts w:ascii="Arial" w:eastAsia="Arial" w:hAnsi="Arial" w:cs="Arial"/>
                <w:sz w:val="22"/>
              </w:rPr>
              <w:t xml:space="preserve"> </w:t>
            </w:r>
          </w:p>
        </w:tc>
        <w:tc>
          <w:tcPr>
            <w:tcW w:w="9630" w:type="dxa"/>
            <w:tcBorders>
              <w:top w:val="nil"/>
              <w:left w:val="nil"/>
              <w:bottom w:val="nil"/>
              <w:right w:val="single" w:sz="4" w:space="0" w:color="000000"/>
            </w:tcBorders>
          </w:tcPr>
          <w:p w:rsidR="00FF577B" w:rsidRDefault="00000000">
            <w:pPr>
              <w:ind w:left="0"/>
            </w:pPr>
            <w:r>
              <w:rPr>
                <w:sz w:val="22"/>
              </w:rPr>
              <w:t xml:space="preserve">Children will understand and apply subject specific vocabulary </w:t>
            </w:r>
          </w:p>
        </w:tc>
      </w:tr>
      <w:tr w:rsidR="00FF577B">
        <w:trPr>
          <w:trHeight w:val="518"/>
        </w:trPr>
        <w:tc>
          <w:tcPr>
            <w:tcW w:w="828" w:type="dxa"/>
            <w:tcBorders>
              <w:top w:val="nil"/>
              <w:left w:val="single" w:sz="4" w:space="0" w:color="000000"/>
              <w:bottom w:val="single" w:sz="4" w:space="0" w:color="000000"/>
              <w:right w:val="nil"/>
            </w:tcBorders>
          </w:tcPr>
          <w:p w:rsidR="00FF577B" w:rsidRDefault="00000000">
            <w:pPr>
              <w:ind w:left="353"/>
              <w:jc w:val="center"/>
            </w:pPr>
            <w:r>
              <w:rPr>
                <w:rFonts w:ascii="Courier New" w:eastAsia="Courier New" w:hAnsi="Courier New" w:cs="Courier New"/>
                <w:sz w:val="22"/>
              </w:rPr>
              <w:t>o</w:t>
            </w:r>
            <w:r>
              <w:rPr>
                <w:rFonts w:ascii="Arial" w:eastAsia="Arial" w:hAnsi="Arial" w:cs="Arial"/>
                <w:sz w:val="22"/>
              </w:rPr>
              <w:t xml:space="preserve"> </w:t>
            </w:r>
          </w:p>
        </w:tc>
        <w:tc>
          <w:tcPr>
            <w:tcW w:w="9630" w:type="dxa"/>
            <w:tcBorders>
              <w:top w:val="nil"/>
              <w:left w:val="nil"/>
              <w:bottom w:val="single" w:sz="4" w:space="0" w:color="000000"/>
              <w:right w:val="single" w:sz="4" w:space="0" w:color="000000"/>
            </w:tcBorders>
          </w:tcPr>
          <w:p w:rsidR="00FF577B" w:rsidRDefault="00000000">
            <w:pPr>
              <w:ind w:left="0"/>
            </w:pPr>
            <w:r>
              <w:rPr>
                <w:sz w:val="22"/>
              </w:rPr>
              <w:t xml:space="preserve">Children will have instant recall of multiplication facts and will be prepared for the Year 4 Multiplication </w:t>
            </w:r>
          </w:p>
          <w:p w:rsidR="00FF577B" w:rsidRDefault="00000000">
            <w:pPr>
              <w:ind w:left="0"/>
            </w:pPr>
            <w:r>
              <w:rPr>
                <w:sz w:val="22"/>
              </w:rPr>
              <w:t xml:space="preserve">Check </w:t>
            </w:r>
          </w:p>
        </w:tc>
      </w:tr>
    </w:tbl>
    <w:p w:rsidR="00FF577B" w:rsidRDefault="00000000">
      <w:pPr>
        <w:jc w:val="both"/>
      </w:pPr>
      <w:r>
        <w:rPr>
          <w:rFonts w:ascii="Comic Sans MS" w:eastAsia="Comic Sans MS" w:hAnsi="Comic Sans MS" w:cs="Comic Sans MS"/>
        </w:rPr>
        <w:t xml:space="preserve"> </w:t>
      </w:r>
    </w:p>
    <w:sectPr w:rsidR="00FF577B">
      <w:pgSz w:w="11906" w:h="16838"/>
      <w:pgMar w:top="720" w:right="1440" w:bottom="10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574"/>
    <w:multiLevelType w:val="hybridMultilevel"/>
    <w:tmpl w:val="E606148A"/>
    <w:lvl w:ilvl="0" w:tplc="4DE0F0C0">
      <w:start w:val="1"/>
      <w:numFmt w:val="bullet"/>
      <w:lvlText w:val="o"/>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CD6301A">
      <w:start w:val="1"/>
      <w:numFmt w:val="bullet"/>
      <w:lvlText w:val="o"/>
      <w:lvlJc w:val="left"/>
      <w:pPr>
        <w:ind w:left="1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4B4D37C">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BDE5E9A">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F56CC64">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C7CAA72">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D46A75E">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DF22954">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64813EE">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486474"/>
    <w:multiLevelType w:val="hybridMultilevel"/>
    <w:tmpl w:val="21BA2800"/>
    <w:lvl w:ilvl="0" w:tplc="FA44C24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EA6D0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23E5B32">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E8BC6A">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64113C">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54F91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E81E4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1A08D6">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5656F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311833019">
    <w:abstractNumId w:val="1"/>
  </w:num>
  <w:num w:numId="2" w16cid:durableId="1966228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7B"/>
    <w:rsid w:val="00E7338C"/>
    <w:rsid w:val="00FF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2C4F00"/>
  <w15:docId w15:val="{D3A346BE-0D7F-CE43-8CD2-593281F7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720"/>
    </w:pPr>
    <w:rPr>
      <w:rFonts w:ascii="Calibri" w:eastAsia="Calibri" w:hAnsi="Calibri" w:cs="Calibri"/>
      <w:color w:val="000000"/>
      <w:sz w:val="28"/>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AuthorisedUser</dc:creator>
  <cp:keywords/>
  <cp:lastModifiedBy>Felicity Coen</cp:lastModifiedBy>
  <cp:revision>2</cp:revision>
  <dcterms:created xsi:type="dcterms:W3CDTF">2026-07-14T16:11:00Z</dcterms:created>
  <dcterms:modified xsi:type="dcterms:W3CDTF">2026-07-14T16:11:00Z</dcterms:modified>
</cp:coreProperties>
</file>