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B5AF" w14:textId="77777777" w:rsidR="005F536B" w:rsidRPr="00886660" w:rsidRDefault="005F536B" w:rsidP="005F536B">
      <w:pPr>
        <w:spacing w:after="173"/>
        <w:ind w:left="10" w:right="6" w:hanging="10"/>
        <w:jc w:val="center"/>
        <w:rPr>
          <w:color w:val="FF0000"/>
        </w:rPr>
      </w:pPr>
      <w:r>
        <w:rPr>
          <w:color w:val="FF0000"/>
          <w:sz w:val="48"/>
        </w:rPr>
        <w:t xml:space="preserve">The Roebuck </w:t>
      </w:r>
      <w:r w:rsidRPr="00886660">
        <w:rPr>
          <w:color w:val="FF0000"/>
          <w:sz w:val="48"/>
        </w:rPr>
        <w:t xml:space="preserve">School </w:t>
      </w:r>
    </w:p>
    <w:p w14:paraId="06A4BA1E" w14:textId="77777777" w:rsidR="005F536B" w:rsidRDefault="005F536B" w:rsidP="005F536B">
      <w:pPr>
        <w:spacing w:after="150" w:line="259" w:lineRule="auto"/>
        <w:ind w:left="9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B910DD" wp14:editId="14C8C6C7">
            <wp:simplePos x="0" y="0"/>
            <wp:positionH relativeFrom="column">
              <wp:posOffset>2333524</wp:posOffset>
            </wp:positionH>
            <wp:positionV relativeFrom="paragraph">
              <wp:posOffset>96053</wp:posOffset>
            </wp:positionV>
            <wp:extent cx="819150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098" y="21194"/>
                <wp:lineTo x="21098" y="0"/>
                <wp:lineTo x="0" y="0"/>
              </wp:wrapPolygon>
            </wp:wrapThrough>
            <wp:docPr id="2" name="Picture 2" descr="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17E33"/>
          <w:sz w:val="48"/>
        </w:rPr>
        <w:t xml:space="preserve"> </w:t>
      </w:r>
    </w:p>
    <w:p w14:paraId="7884C592" w14:textId="77777777" w:rsidR="005F536B" w:rsidRDefault="005F536B" w:rsidP="005F536B">
      <w:pPr>
        <w:spacing w:after="175" w:line="259" w:lineRule="auto"/>
        <w:ind w:left="98"/>
        <w:jc w:val="center"/>
      </w:pPr>
      <w:r>
        <w:rPr>
          <w:color w:val="517E33"/>
          <w:sz w:val="48"/>
        </w:rPr>
        <w:t xml:space="preserve"> </w:t>
      </w:r>
    </w:p>
    <w:p w14:paraId="189C667B" w14:textId="77777777" w:rsidR="005F536B" w:rsidRDefault="005F536B" w:rsidP="005F536B">
      <w:pPr>
        <w:spacing w:after="25" w:line="259" w:lineRule="auto"/>
        <w:ind w:left="119"/>
        <w:jc w:val="center"/>
      </w:pPr>
      <w:r>
        <w:rPr>
          <w:color w:val="517E33"/>
          <w:sz w:val="48"/>
        </w:rPr>
        <w:t xml:space="preserve"> </w:t>
      </w:r>
    </w:p>
    <w:p w14:paraId="43143AA6" w14:textId="77777777" w:rsidR="005F536B" w:rsidRDefault="005F536B" w:rsidP="005F536B">
      <w:pPr>
        <w:spacing w:after="0" w:line="259" w:lineRule="auto"/>
        <w:ind w:left="98"/>
        <w:jc w:val="center"/>
      </w:pPr>
      <w:r>
        <w:rPr>
          <w:color w:val="517E33"/>
          <w:sz w:val="48"/>
        </w:rPr>
        <w:t xml:space="preserve"> </w:t>
      </w:r>
    </w:p>
    <w:p w14:paraId="7A1AD475" w14:textId="77777777" w:rsidR="005F536B" w:rsidRDefault="005F536B" w:rsidP="005F536B">
      <w:pPr>
        <w:spacing w:after="355" w:line="259" w:lineRule="auto"/>
        <w:ind w:left="54"/>
        <w:jc w:val="center"/>
      </w:pPr>
      <w:r>
        <w:rPr>
          <w:color w:val="636363"/>
          <w:sz w:val="29"/>
        </w:rPr>
        <w:t xml:space="preserve"> </w:t>
      </w:r>
    </w:p>
    <w:p w14:paraId="374E0A6E" w14:textId="54E7090C" w:rsidR="000B58F0" w:rsidRPr="005F536B" w:rsidRDefault="005F536B" w:rsidP="005F536B">
      <w:pPr>
        <w:pStyle w:val="Heading2"/>
        <w:jc w:val="center"/>
        <w:rPr>
          <w:color w:val="FF0000"/>
          <w:sz w:val="32"/>
          <w:szCs w:val="32"/>
        </w:rPr>
      </w:pPr>
      <w:r w:rsidRPr="005F536B">
        <w:rPr>
          <w:color w:val="FF0000"/>
          <w:sz w:val="32"/>
          <w:szCs w:val="32"/>
        </w:rPr>
        <w:t>Intimate Care/Nappy Changing policy</w:t>
      </w:r>
    </w:p>
    <w:p w14:paraId="3D5C5D09" w14:textId="47F2EE0F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Purpose of This Policy</w:t>
      </w:r>
    </w:p>
    <w:p w14:paraId="1B69F6B7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This policy ensures safe, hygienic, respectful and developmentally appropriate nappy</w:t>
      </w:r>
      <w:r w:rsidRPr="00093495">
        <w:rPr>
          <w:rFonts w:ascii="Cambria Math" w:hAnsi="Cambria Math" w:cs="Cambria Math"/>
          <w:sz w:val="24"/>
          <w:szCs w:val="24"/>
        </w:rPr>
        <w:t>‑</w:t>
      </w:r>
      <w:r w:rsidRPr="00093495">
        <w:rPr>
          <w:rFonts w:asciiTheme="majorHAnsi" w:hAnsiTheme="majorHAnsi" w:cstheme="majorHAnsi"/>
          <w:sz w:val="24"/>
          <w:szCs w:val="24"/>
        </w:rPr>
        <w:t xml:space="preserve">changing procedures in line with the Early Years Foundation Stage (EYFS) statutory framework and the latest updates </w:t>
      </w:r>
      <w:r w:rsidRPr="00093495">
        <w:rPr>
          <w:rFonts w:asciiTheme="majorHAnsi" w:hAnsiTheme="majorHAnsi" w:cstheme="majorHAnsi"/>
          <w:sz w:val="24"/>
          <w:szCs w:val="24"/>
        </w:rPr>
        <w:t>regarding safeguarding, privacy, and hygiene. The policy supports children’s wellbeing, safety, dignity, and independence.</w:t>
      </w:r>
    </w:p>
    <w:p w14:paraId="4B2A9928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Relevant Statutory Guidance</w:t>
      </w:r>
    </w:p>
    <w:p w14:paraId="3C4262BB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- EYFS 2025/26 updates require providers to balance children’s privacy with safeguarding needs during nap</w:t>
      </w:r>
      <w:r w:rsidRPr="00093495">
        <w:rPr>
          <w:rFonts w:asciiTheme="majorHAnsi" w:hAnsiTheme="majorHAnsi" w:cstheme="majorHAnsi"/>
          <w:sz w:val="24"/>
          <w:szCs w:val="24"/>
        </w:rPr>
        <w:t>py changing and toileting.</w:t>
      </w:r>
    </w:p>
    <w:p w14:paraId="59D2798C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- The framework emphasises strengthened safeguarding requirements including appropriate supervision, safe recruitment, staff training and robust policies for intimate care routines.</w:t>
      </w:r>
    </w:p>
    <w:p w14:paraId="7A8DD2FC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- Amendments highlight the need to ensure child</w:t>
      </w:r>
      <w:r w:rsidRPr="00093495">
        <w:rPr>
          <w:rFonts w:asciiTheme="majorHAnsi" w:hAnsiTheme="majorHAnsi" w:cstheme="majorHAnsi"/>
          <w:sz w:val="24"/>
          <w:szCs w:val="24"/>
        </w:rPr>
        <w:t>ren’s privacy during nappy changing is respected while maintaining safeguarding visibility.</w:t>
      </w:r>
    </w:p>
    <w:p w14:paraId="2DE419AA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- Updated guidance reinforces the need for safe, clean environments with appropriate equipment and respect for children’s dignity and independence.</w:t>
      </w:r>
    </w:p>
    <w:p w14:paraId="22B95BDC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Principles</w:t>
      </w:r>
    </w:p>
    <w:p w14:paraId="3C05DD3D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Our s</w:t>
      </w:r>
      <w:r w:rsidRPr="00093495">
        <w:rPr>
          <w:rFonts w:asciiTheme="majorHAnsi" w:hAnsiTheme="majorHAnsi" w:cstheme="majorHAnsi"/>
          <w:sz w:val="24"/>
          <w:szCs w:val="24"/>
        </w:rPr>
        <w:t xml:space="preserve">chool is committed to promoting children's health, safety and wellbeing; ensuring all children who are not yet toilet trained are fully included; treating children with dignity and respect; maintaining hygiene; and ensuring safeguarding remains central to </w:t>
      </w:r>
      <w:r w:rsidRPr="00093495">
        <w:rPr>
          <w:rFonts w:asciiTheme="majorHAnsi" w:hAnsiTheme="majorHAnsi" w:cstheme="majorHAnsi"/>
          <w:sz w:val="24"/>
          <w:szCs w:val="24"/>
        </w:rPr>
        <w:t>all intimate care practices.</w:t>
      </w:r>
    </w:p>
    <w:p w14:paraId="48055097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Staff Roles and Safeguarding Requirements</w:t>
      </w:r>
    </w:p>
    <w:p w14:paraId="0EF18C1F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Designated staff within the class are responsible for nappy changing. Staff must not change a child in isolation; another adult must be nearby for safeguarding. Visibility must allow sa</w:t>
      </w:r>
      <w:r w:rsidRPr="00093495">
        <w:rPr>
          <w:rFonts w:asciiTheme="majorHAnsi" w:hAnsiTheme="majorHAnsi" w:cstheme="majorHAnsi"/>
          <w:sz w:val="24"/>
          <w:szCs w:val="24"/>
        </w:rPr>
        <w:t>feguarding oversight while protecting child privacy.</w:t>
      </w:r>
    </w:p>
    <w:p w14:paraId="63993DE0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lastRenderedPageBreak/>
        <w:t>Nappy Changing Facilities and Equipment</w:t>
      </w:r>
    </w:p>
    <w:p w14:paraId="08E7B88F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Changing areas must be safe, purpose-built, clean, sanitised regularly, and equipped with easy</w:t>
      </w:r>
      <w:r w:rsidRPr="00093495">
        <w:rPr>
          <w:rFonts w:ascii="Cambria Math" w:hAnsi="Cambria Math" w:cs="Cambria Math"/>
          <w:sz w:val="24"/>
          <w:szCs w:val="24"/>
        </w:rPr>
        <w:t>‑</w:t>
      </w:r>
      <w:r w:rsidRPr="00093495">
        <w:rPr>
          <w:rFonts w:asciiTheme="majorHAnsi" w:hAnsiTheme="majorHAnsi" w:cstheme="majorHAnsi"/>
          <w:sz w:val="24"/>
          <w:szCs w:val="24"/>
        </w:rPr>
        <w:t>to</w:t>
      </w:r>
      <w:r w:rsidRPr="00093495">
        <w:rPr>
          <w:rFonts w:ascii="Cambria Math" w:hAnsi="Cambria Math" w:cs="Cambria Math"/>
          <w:sz w:val="24"/>
          <w:szCs w:val="24"/>
        </w:rPr>
        <w:t>‑</w:t>
      </w:r>
      <w:r w:rsidRPr="00093495">
        <w:rPr>
          <w:rFonts w:asciiTheme="majorHAnsi" w:hAnsiTheme="majorHAnsi" w:cstheme="majorHAnsi"/>
          <w:sz w:val="24"/>
          <w:szCs w:val="24"/>
        </w:rPr>
        <w:t>clean fixtures and antibacterial surfaces. PPE must be worn and d</w:t>
      </w:r>
      <w:r w:rsidRPr="00093495">
        <w:rPr>
          <w:rFonts w:asciiTheme="majorHAnsi" w:hAnsiTheme="majorHAnsi" w:cstheme="majorHAnsi"/>
          <w:sz w:val="24"/>
          <w:szCs w:val="24"/>
        </w:rPr>
        <w:t>isposed of appropriately.</w:t>
      </w:r>
    </w:p>
    <w:p w14:paraId="3C9FF4EE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Hygiene Procedures</w:t>
      </w:r>
    </w:p>
    <w:p w14:paraId="5F842407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Areas must be cleaned before and after each use. Staff must follow infection control measures and children must wash their hands after changing.</w:t>
      </w:r>
    </w:p>
    <w:p w14:paraId="6B670B04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Promoting Children’s Independence and Dignity</w:t>
      </w:r>
    </w:p>
    <w:p w14:paraId="6B1E7690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Children are encoura</w:t>
      </w:r>
      <w:r w:rsidRPr="00093495">
        <w:rPr>
          <w:rFonts w:asciiTheme="majorHAnsi" w:hAnsiTheme="majorHAnsi" w:cstheme="majorHAnsi"/>
          <w:sz w:val="24"/>
          <w:szCs w:val="24"/>
        </w:rPr>
        <w:t>ged to participate in their own self</w:t>
      </w:r>
      <w:r w:rsidRPr="00093495">
        <w:rPr>
          <w:rFonts w:ascii="Cambria Math" w:hAnsi="Cambria Math" w:cs="Cambria Math"/>
          <w:sz w:val="24"/>
          <w:szCs w:val="24"/>
        </w:rPr>
        <w:t>‑</w:t>
      </w:r>
      <w:r w:rsidRPr="00093495">
        <w:rPr>
          <w:rFonts w:asciiTheme="majorHAnsi" w:hAnsiTheme="majorHAnsi" w:cstheme="majorHAnsi"/>
          <w:sz w:val="24"/>
          <w:szCs w:val="24"/>
        </w:rPr>
        <w:t>care. Staff must use gentle, reassuring language and respect privacy while maintaining safeguarding visibility.</w:t>
      </w:r>
    </w:p>
    <w:p w14:paraId="0AB7518D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Parent Partnership</w:t>
      </w:r>
    </w:p>
    <w:p w14:paraId="35C03C9B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Parents supply nappies, wipes, creams, and spare clothing. Parents are informed when cha</w:t>
      </w:r>
      <w:r w:rsidRPr="00093495">
        <w:rPr>
          <w:rFonts w:asciiTheme="majorHAnsi" w:hAnsiTheme="majorHAnsi" w:cstheme="majorHAnsi"/>
          <w:sz w:val="24"/>
          <w:szCs w:val="24"/>
        </w:rPr>
        <w:t>nging support was required. Toilet training is approached in partnership with families.</w:t>
      </w:r>
    </w:p>
    <w:p w14:paraId="2AE1CA7F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Record Keeping and Monitoring</w:t>
      </w:r>
    </w:p>
    <w:p w14:paraId="332228DA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Nappy changes should be logged. Safeguarding concerns must be reported following the school’s safeguarding procedures.</w:t>
      </w:r>
    </w:p>
    <w:p w14:paraId="40860E4F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Staff Training</w:t>
      </w:r>
    </w:p>
    <w:p w14:paraId="71DFC1BD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Staf</w:t>
      </w:r>
      <w:r w:rsidRPr="00093495">
        <w:rPr>
          <w:rFonts w:asciiTheme="majorHAnsi" w:hAnsiTheme="majorHAnsi" w:cstheme="majorHAnsi"/>
          <w:sz w:val="24"/>
          <w:szCs w:val="24"/>
        </w:rPr>
        <w:t>f receive regular hygiene, intimate care, and safeguarding training in line with EYFS requirements.</w:t>
      </w:r>
    </w:p>
    <w:p w14:paraId="30187615" w14:textId="77777777" w:rsidR="00A156E0" w:rsidRPr="00093495" w:rsidRDefault="005F536B">
      <w:pPr>
        <w:pStyle w:val="Heading2"/>
        <w:rPr>
          <w:rFonts w:cstheme="majorHAnsi"/>
          <w:color w:val="FF0000"/>
          <w:sz w:val="24"/>
          <w:szCs w:val="24"/>
        </w:rPr>
      </w:pPr>
      <w:r w:rsidRPr="00093495">
        <w:rPr>
          <w:rFonts w:cstheme="majorHAnsi"/>
          <w:color w:val="FF0000"/>
          <w:sz w:val="24"/>
          <w:szCs w:val="24"/>
        </w:rPr>
        <w:t>Review of Practices</w:t>
      </w:r>
    </w:p>
    <w:p w14:paraId="3576D839" w14:textId="77777777" w:rsidR="00A156E0" w:rsidRPr="00093495" w:rsidRDefault="005F536B">
      <w:pPr>
        <w:rPr>
          <w:rFonts w:asciiTheme="majorHAnsi" w:hAnsiTheme="majorHAnsi" w:cstheme="majorHAnsi"/>
          <w:sz w:val="24"/>
          <w:szCs w:val="24"/>
        </w:rPr>
      </w:pPr>
      <w:r w:rsidRPr="00093495">
        <w:rPr>
          <w:rFonts w:asciiTheme="majorHAnsi" w:hAnsiTheme="majorHAnsi" w:cstheme="majorHAnsi"/>
          <w:sz w:val="24"/>
          <w:szCs w:val="24"/>
        </w:rPr>
        <w:t>Policy is reviewed annually or earlier if guidance changes.</w:t>
      </w:r>
    </w:p>
    <w:p w14:paraId="65401F7E" w14:textId="77777777" w:rsidR="000B58F0" w:rsidRPr="00093495" w:rsidRDefault="000B58F0">
      <w:pPr>
        <w:rPr>
          <w:rFonts w:asciiTheme="majorHAnsi" w:hAnsiTheme="majorHAnsi" w:cstheme="majorHAnsi"/>
          <w:sz w:val="24"/>
          <w:szCs w:val="24"/>
        </w:rPr>
      </w:pPr>
    </w:p>
    <w:sectPr w:rsidR="000B58F0" w:rsidRPr="000934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1262" w14:textId="77777777" w:rsidR="00093495" w:rsidRDefault="00093495" w:rsidP="00093495">
      <w:pPr>
        <w:spacing w:after="0" w:line="240" w:lineRule="auto"/>
      </w:pPr>
      <w:r>
        <w:separator/>
      </w:r>
    </w:p>
  </w:endnote>
  <w:endnote w:type="continuationSeparator" w:id="0">
    <w:p w14:paraId="6BEB14A4" w14:textId="77777777" w:rsidR="00093495" w:rsidRDefault="00093495" w:rsidP="0009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7D6E" w14:textId="77777777" w:rsidR="00093495" w:rsidRDefault="00093495" w:rsidP="00093495">
      <w:pPr>
        <w:spacing w:after="0" w:line="240" w:lineRule="auto"/>
      </w:pPr>
      <w:r>
        <w:separator/>
      </w:r>
    </w:p>
  </w:footnote>
  <w:footnote w:type="continuationSeparator" w:id="0">
    <w:p w14:paraId="57CDE9D8" w14:textId="77777777" w:rsidR="00093495" w:rsidRDefault="00093495" w:rsidP="00093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E8A"/>
    <w:rsid w:val="00093495"/>
    <w:rsid w:val="000B58F0"/>
    <w:rsid w:val="0015074B"/>
    <w:rsid w:val="0029639D"/>
    <w:rsid w:val="00326F90"/>
    <w:rsid w:val="005F536B"/>
    <w:rsid w:val="00A156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81D6"/>
  <w14:defaultImageDpi w14:val="300"/>
  <w15:docId w15:val="{00C41917-A3D0-264C-A299-8062602C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 Alexander-Steele</cp:lastModifiedBy>
  <cp:revision>3</cp:revision>
  <dcterms:created xsi:type="dcterms:W3CDTF">2026-01-25T14:59:00Z</dcterms:created>
  <dcterms:modified xsi:type="dcterms:W3CDTF">2026-01-25T15:01:00Z</dcterms:modified>
  <cp:category/>
</cp:coreProperties>
</file>