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C55A" w14:textId="4E2409E1" w:rsidR="00C37446" w:rsidRDefault="00614ACB">
      <w:pPr>
        <w:rPr>
          <w:b/>
          <w:bCs/>
        </w:rPr>
      </w:pPr>
      <w:r w:rsidRPr="00614ACB">
        <w:rPr>
          <w:b/>
          <w:bCs/>
        </w:rPr>
        <w:t>This school's data covers the financial year April 2024 to March 2025 consistent financial reporting return (CFR).</w:t>
      </w:r>
    </w:p>
    <w:p w14:paraId="1AC4EDF6" w14:textId="77777777" w:rsidR="00614ACB" w:rsidRDefault="00614ACB"/>
    <w:p w14:paraId="619843E8" w14:textId="75171802" w:rsidR="00DB5662" w:rsidRDefault="000B772B">
      <w:r w:rsidRPr="000B772B">
        <w:rPr>
          <w:noProof/>
        </w:rPr>
        <w:drawing>
          <wp:inline distT="0" distB="0" distL="0" distR="0" wp14:anchorId="12010DC6" wp14:editId="161F9329">
            <wp:extent cx="5731510" cy="2438400"/>
            <wp:effectExtent l="0" t="0" r="2540" b="0"/>
            <wp:docPr id="399597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5971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512A8" w14:textId="2E779D4B" w:rsidR="000B772B" w:rsidRDefault="00397B53">
      <w:r w:rsidRPr="00397B53">
        <w:rPr>
          <w:noProof/>
        </w:rPr>
        <w:drawing>
          <wp:inline distT="0" distB="0" distL="0" distR="0" wp14:anchorId="3DDA1A9E" wp14:editId="0FA6BD5B">
            <wp:extent cx="5731510" cy="2587625"/>
            <wp:effectExtent l="0" t="0" r="2540" b="3175"/>
            <wp:docPr id="1465860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6058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72B" w:rsidRPr="000B772B">
        <w:rPr>
          <w:noProof/>
        </w:rPr>
        <w:drawing>
          <wp:inline distT="0" distB="0" distL="0" distR="0" wp14:anchorId="51238358" wp14:editId="61CD2683">
            <wp:extent cx="5731510" cy="2587625"/>
            <wp:effectExtent l="0" t="0" r="2540" b="3175"/>
            <wp:docPr id="836733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335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BF865" w14:textId="17682ED4" w:rsidR="000B772B" w:rsidRDefault="0006347D">
      <w:r w:rsidRPr="0006347D">
        <w:rPr>
          <w:noProof/>
        </w:rPr>
        <w:lastRenderedPageBreak/>
        <w:drawing>
          <wp:inline distT="0" distB="0" distL="0" distR="0" wp14:anchorId="12D93BE8" wp14:editId="05B54FE9">
            <wp:extent cx="5731510" cy="2587625"/>
            <wp:effectExtent l="0" t="0" r="2540" b="3175"/>
            <wp:docPr id="2086299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999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9471" w14:textId="4E499882" w:rsidR="00DB5662" w:rsidRDefault="00151150" w:rsidP="00DB5662">
      <w:r w:rsidRPr="00151150">
        <w:rPr>
          <w:noProof/>
        </w:rPr>
        <w:drawing>
          <wp:inline distT="0" distB="0" distL="0" distR="0" wp14:anchorId="786C9441" wp14:editId="5F3C0AED">
            <wp:extent cx="5731510" cy="2587625"/>
            <wp:effectExtent l="0" t="0" r="2540" b="3175"/>
            <wp:docPr id="1079751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75153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2642E" w14:textId="2757BADD" w:rsidR="004641F8" w:rsidRDefault="004641F8" w:rsidP="00DB5662">
      <w:r w:rsidRPr="004641F8">
        <w:rPr>
          <w:noProof/>
        </w:rPr>
        <w:drawing>
          <wp:inline distT="0" distB="0" distL="0" distR="0" wp14:anchorId="6BA87D29" wp14:editId="65C46E04">
            <wp:extent cx="5731510" cy="2587625"/>
            <wp:effectExtent l="0" t="0" r="2540" b="3175"/>
            <wp:docPr id="2047354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544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1C93D" w14:textId="23AEEBEB" w:rsidR="004641F8" w:rsidRDefault="004641F8" w:rsidP="00DB5662">
      <w:r w:rsidRPr="004641F8">
        <w:rPr>
          <w:noProof/>
        </w:rPr>
        <w:lastRenderedPageBreak/>
        <w:drawing>
          <wp:inline distT="0" distB="0" distL="0" distR="0" wp14:anchorId="089D6799" wp14:editId="6A4870C1">
            <wp:extent cx="5731510" cy="2587625"/>
            <wp:effectExtent l="0" t="0" r="2540" b="3175"/>
            <wp:docPr id="1358431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3180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71E5A" w14:textId="6D67B685" w:rsidR="00732720" w:rsidRDefault="00732720" w:rsidP="00DB5662">
      <w:r w:rsidRPr="00732720">
        <w:rPr>
          <w:noProof/>
        </w:rPr>
        <w:drawing>
          <wp:inline distT="0" distB="0" distL="0" distR="0" wp14:anchorId="3ED1F225" wp14:editId="086E1070">
            <wp:extent cx="5731510" cy="2587625"/>
            <wp:effectExtent l="0" t="0" r="2540" b="3175"/>
            <wp:docPr id="332263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6357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3A8A" w14:textId="50476A6F" w:rsidR="00732720" w:rsidRDefault="00732720" w:rsidP="00DB5662">
      <w:r w:rsidRPr="00732720">
        <w:rPr>
          <w:noProof/>
        </w:rPr>
        <w:drawing>
          <wp:inline distT="0" distB="0" distL="0" distR="0" wp14:anchorId="5ECB0654" wp14:editId="700696B0">
            <wp:extent cx="5731510" cy="2460625"/>
            <wp:effectExtent l="0" t="0" r="2540" b="0"/>
            <wp:docPr id="953949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4941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8E81B" w14:textId="57977EF2" w:rsidR="00811400" w:rsidRDefault="00811400" w:rsidP="00DB5662">
      <w:r w:rsidRPr="00811400">
        <w:rPr>
          <w:noProof/>
        </w:rPr>
        <w:lastRenderedPageBreak/>
        <w:drawing>
          <wp:inline distT="0" distB="0" distL="0" distR="0" wp14:anchorId="69EDE82C" wp14:editId="1F98F62A">
            <wp:extent cx="5731510" cy="2587625"/>
            <wp:effectExtent l="0" t="0" r="2540" b="3175"/>
            <wp:docPr id="578533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3396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D6A1B" w14:textId="62142BEF" w:rsidR="005C67B3" w:rsidRDefault="005C67B3" w:rsidP="00DB5662">
      <w:r w:rsidRPr="005C67B3">
        <w:rPr>
          <w:noProof/>
        </w:rPr>
        <w:drawing>
          <wp:inline distT="0" distB="0" distL="0" distR="0" wp14:anchorId="3AE650C8" wp14:editId="1C25D380">
            <wp:extent cx="5731510" cy="2587625"/>
            <wp:effectExtent l="0" t="0" r="2540" b="3175"/>
            <wp:docPr id="650791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9113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31BE8" w14:textId="67E83772" w:rsidR="0088244A" w:rsidRDefault="0088244A" w:rsidP="00DB5662">
      <w:r w:rsidRPr="0088244A">
        <w:rPr>
          <w:noProof/>
        </w:rPr>
        <w:drawing>
          <wp:inline distT="0" distB="0" distL="0" distR="0" wp14:anchorId="52A40CDE" wp14:editId="0F24B7DA">
            <wp:extent cx="5731510" cy="2587625"/>
            <wp:effectExtent l="0" t="0" r="2540" b="3175"/>
            <wp:docPr id="1012602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0292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A2884" w14:textId="77777777" w:rsidR="009A0C82" w:rsidRDefault="009A0C82" w:rsidP="00DB5662"/>
    <w:p w14:paraId="62C4F535" w14:textId="77777777" w:rsidR="00FE4DB1" w:rsidRDefault="00FE4DB1" w:rsidP="00DB5662"/>
    <w:p w14:paraId="6458757C" w14:textId="1F3F25D6" w:rsidR="009A0C82" w:rsidRPr="00FE4DB1" w:rsidRDefault="009A0C82" w:rsidP="00DB5662">
      <w:pPr>
        <w:rPr>
          <w:b/>
          <w:bCs/>
          <w:u w:val="single"/>
        </w:rPr>
      </w:pPr>
      <w:r w:rsidRPr="00FE4DB1">
        <w:rPr>
          <w:b/>
          <w:bCs/>
          <w:u w:val="single"/>
        </w:rPr>
        <w:lastRenderedPageBreak/>
        <w:t>Guide to cost c</w:t>
      </w:r>
      <w:r w:rsidR="00FE4DB1" w:rsidRPr="00FE4DB1">
        <w:rPr>
          <w:b/>
          <w:bCs/>
          <w:u w:val="single"/>
        </w:rPr>
        <w:t>ategories</w:t>
      </w:r>
    </w:p>
    <w:p w14:paraId="1B75E572" w14:textId="4939B2CE" w:rsidR="009A0C82" w:rsidRPr="009A0C82" w:rsidRDefault="009A0C82" w:rsidP="009A0C82">
      <w:pPr>
        <w:numPr>
          <w:ilvl w:val="0"/>
          <w:numId w:val="10"/>
        </w:numPr>
      </w:pPr>
      <w:r>
        <w:rPr>
          <w:b/>
          <w:bCs/>
        </w:rPr>
        <w:t>E</w:t>
      </w:r>
      <w:r w:rsidRPr="009A0C82">
        <w:rPr>
          <w:b/>
          <w:bCs/>
        </w:rPr>
        <w:t>01 Teaching Staff:</w:t>
      </w:r>
      <w:r w:rsidRPr="009A0C82">
        <w:t> Salary costs for teachers employed directly by the school.</w:t>
      </w:r>
    </w:p>
    <w:p w14:paraId="14F00030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E02 Supply Teaching Staff:</w:t>
      </w:r>
      <w:r w:rsidRPr="009A0C82">
        <w:t> Salary costs for casual supply teachers employed directly by the school.</w:t>
      </w:r>
    </w:p>
    <w:p w14:paraId="5643E6A3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E03 Education Support Staff:</w:t>
      </w:r>
      <w:r w:rsidRPr="009A0C82">
        <w:t> Includes welfare assistants, classroom assistants, and education welfare officers who are school-based.</w:t>
      </w:r>
    </w:p>
    <w:p w14:paraId="05F3D3B6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E04 Premises Staff:</w:t>
      </w:r>
      <w:r w:rsidRPr="009A0C82">
        <w:t> Salary costs for directly employed premises-related staff, such as caretakers and cleaners.</w:t>
      </w:r>
    </w:p>
    <w:p w14:paraId="760D8E15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E05 Administrative and Clerical Staff:</w:t>
      </w:r>
      <w:r w:rsidRPr="009A0C82">
        <w:t> Costs for administrative and clerical support.</w:t>
      </w:r>
    </w:p>
    <w:p w14:paraId="0110B8D7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E06 Catering Staff:</w:t>
      </w:r>
      <w:r w:rsidRPr="009A0C82">
        <w:t> Costs for catering employees.</w:t>
      </w:r>
    </w:p>
    <w:p w14:paraId="798FB14C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E07 Cost of Other Staff:</w:t>
      </w:r>
      <w:r w:rsidRPr="009A0C82">
        <w:t> Costs related to any other directly employed staff not covered by E01-E06.</w:t>
      </w:r>
    </w:p>
    <w:p w14:paraId="18919C5C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E08 Indirect Employee Expenses:</w:t>
      </w:r>
      <w:r w:rsidRPr="009A0C82">
        <w:t> Includes recruitment advertising, car allowances, DBS checks (external), and other incidental expenses.</w:t>
      </w:r>
    </w:p>
    <w:p w14:paraId="25283C15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E09 Staff Development and Training:</w:t>
      </w:r>
      <w:r w:rsidRPr="009A0C82">
        <w:t> External training expenses and recharges for internal training.</w:t>
      </w:r>
    </w:p>
    <w:p w14:paraId="1395B01F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E10 Supply Teacher Insurance:</w:t>
      </w:r>
      <w:r w:rsidRPr="009A0C82">
        <w:t> Premiums paid to insurers for supply teacher absence cover.</w:t>
      </w:r>
    </w:p>
    <w:p w14:paraId="70925B78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E11 Staff-Related Insurance:</w:t>
      </w:r>
      <w:r w:rsidRPr="009A0C82">
        <w:t> Covers long-term sickness insurance premiums.</w:t>
      </w:r>
    </w:p>
    <w:p w14:paraId="39CBEC00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E12 Building Maintenance &amp; Improvement:</w:t>
      </w:r>
      <w:r w:rsidRPr="009A0C82">
        <w:t> Charges for contractors, materials used by direct staff, and related professional/technical services.</w:t>
      </w:r>
    </w:p>
    <w:p w14:paraId="5F299AEF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E13 Grounds Maintenance &amp; Improvement:</w:t>
      </w:r>
      <w:r w:rsidRPr="009A0C82">
        <w:t> Costs related to maintaining and improving the school grounds.</w:t>
      </w:r>
    </w:p>
    <w:p w14:paraId="5A29A1FB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E14 Cleaning &amp; Caretaking:</w:t>
      </w:r>
      <w:r w:rsidRPr="009A0C82">
        <w:t> Charges by contractors for cleaning and caretaking services.</w:t>
      </w:r>
    </w:p>
    <w:p w14:paraId="0A380E40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E15 Water and Sewerage:</w:t>
      </w:r>
      <w:r w:rsidRPr="009A0C82">
        <w:t> Utility costs for water and sewerage services.</w:t>
      </w:r>
    </w:p>
    <w:p w14:paraId="23876E97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E16 Energy:</w:t>
      </w:r>
      <w:r w:rsidRPr="009A0C82">
        <w:t> Costs for all fuel and energy, including electricity and gas.</w:t>
      </w:r>
    </w:p>
    <w:p w14:paraId="1DAA5952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E17 Rates:</w:t>
      </w:r>
      <w:r w:rsidRPr="009A0C82">
        <w:t> Non-domestic rates costs.</w:t>
      </w:r>
    </w:p>
    <w:p w14:paraId="2B3156B0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E18 Other Occupation Costs:</w:t>
      </w:r>
      <w:r w:rsidRPr="009A0C82">
        <w:t> Includes rent, refuse collection, security services, and health and safety costs.</w:t>
      </w:r>
    </w:p>
    <w:p w14:paraId="1ED764BF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lastRenderedPageBreak/>
        <w:t>E19 Learning Resources:</w:t>
      </w:r>
      <w:r w:rsidRPr="009A0C82">
        <w:t> General learning resources, transport costs, and school trip expenses (not ICT related).</w:t>
      </w:r>
    </w:p>
    <w:p w14:paraId="4840BFD0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E20 Educational ICT:</w:t>
      </w:r>
      <w:r w:rsidRPr="009A0C82">
        <w:t> Includes ICT learning resources and dedicated internet lines.</w:t>
      </w:r>
    </w:p>
    <w:p w14:paraId="770B72E3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E21 Examination Fees:</w:t>
      </w:r>
      <w:r w:rsidRPr="009A0C82">
        <w:t> The costs of test and examination entry fees and related accreditation costs.</w:t>
      </w:r>
    </w:p>
    <w:p w14:paraId="0D4376FD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E22 Administrative Supplies:</w:t>
      </w:r>
      <w:r w:rsidRPr="009A0C82">
        <w:t> General administrative supplies, printing, postage, bank charges, and telephone charges.</w:t>
      </w:r>
    </w:p>
    <w:p w14:paraId="70387996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E23 Professional Services (non-curriculum):</w:t>
      </w:r>
      <w:r w:rsidRPr="009A0C82">
        <w:t> Auditor costs, legal fees, and other non-curriculum professional advice.</w:t>
      </w:r>
    </w:p>
    <w:p w14:paraId="419D59BE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E24 Other Supplies and Services:</w:t>
      </w:r>
      <w:r w:rsidRPr="009A0C82">
        <w:t> General supplies not covered elsewhere.</w:t>
      </w:r>
    </w:p>
    <w:p w14:paraId="4C889761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E25 Catering Supplies:</w:t>
      </w:r>
      <w:r w:rsidRPr="009A0C82">
        <w:t> Food and beverage costs.</w:t>
      </w:r>
    </w:p>
    <w:p w14:paraId="2F243769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E26 Agency Supply Teaching Staff:</w:t>
      </w:r>
      <w:r w:rsidRPr="009A0C82">
        <w:t> Costs for supply teachers provided via an agency.</w:t>
      </w:r>
    </w:p>
    <w:p w14:paraId="1B6E8273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E27 Educational Consultancy:</w:t>
      </w:r>
      <w:r w:rsidRPr="009A0C82">
        <w:t> Costs for educational consultancy services.</w:t>
      </w:r>
    </w:p>
    <w:p w14:paraId="798F3E4E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E28 Other Consultancy:</w:t>
      </w:r>
      <w:r w:rsidRPr="009A0C82">
        <w:t> General consultancy and advice costs for administration.</w:t>
      </w:r>
    </w:p>
    <w:p w14:paraId="07562FF3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E29 Interest Charges for Loans:</w:t>
      </w:r>
      <w:r w:rsidRPr="009A0C82">
        <w:t> Related to loan repayments.</w:t>
      </w:r>
    </w:p>
    <w:p w14:paraId="107A2943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E30 Private Finance Initiative (PFI) Charges:</w:t>
      </w:r>
      <w:r w:rsidRPr="009A0C82">
        <w:t> Charges associated with PFI contracts.</w:t>
      </w:r>
    </w:p>
    <w:p w14:paraId="398DBAB8" w14:textId="77777777" w:rsidR="009A0C82" w:rsidRPr="009A0C82" w:rsidRDefault="009A0C82" w:rsidP="009A0C82">
      <w:pPr>
        <w:numPr>
          <w:ilvl w:val="0"/>
          <w:numId w:val="10"/>
        </w:numPr>
      </w:pPr>
      <w:r w:rsidRPr="009A0C82">
        <w:rPr>
          <w:b/>
          <w:bCs/>
        </w:rPr>
        <w:t>E31 Community Focused School Staff:</w:t>
      </w:r>
      <w:r w:rsidRPr="009A0C82">
        <w:t> Staff costs related to community use of the school.</w:t>
      </w:r>
    </w:p>
    <w:p w14:paraId="0D40F459" w14:textId="77777777" w:rsidR="009A0C82" w:rsidRDefault="009A0C82" w:rsidP="00EF0E80">
      <w:pPr>
        <w:numPr>
          <w:ilvl w:val="0"/>
          <w:numId w:val="10"/>
        </w:numPr>
      </w:pPr>
      <w:r w:rsidRPr="009A0C82">
        <w:rPr>
          <w:b/>
          <w:bCs/>
        </w:rPr>
        <w:t>E32 Community Focused School Costs:</w:t>
      </w:r>
      <w:r w:rsidRPr="009A0C82">
        <w:t> Other costs for community facilities and services. </w:t>
      </w:r>
    </w:p>
    <w:p w14:paraId="6743F6B8" w14:textId="77777777" w:rsidR="00B5554E" w:rsidRDefault="00B5554E" w:rsidP="00B5554E"/>
    <w:p w14:paraId="462B727A" w14:textId="77777777" w:rsidR="00B5554E" w:rsidRDefault="00B5554E" w:rsidP="00B5554E"/>
    <w:p w14:paraId="4C47C2FE" w14:textId="77777777" w:rsidR="00B5554E" w:rsidRDefault="00B5554E" w:rsidP="00B5554E"/>
    <w:p w14:paraId="25BE36A7" w14:textId="77777777" w:rsidR="00B5554E" w:rsidRDefault="00B5554E" w:rsidP="00B5554E"/>
    <w:p w14:paraId="6D4881B6" w14:textId="77777777" w:rsidR="00B5554E" w:rsidRDefault="00B5554E" w:rsidP="00B5554E"/>
    <w:p w14:paraId="0690DAD1" w14:textId="77777777" w:rsidR="00B5554E" w:rsidRDefault="00B5554E" w:rsidP="00B5554E"/>
    <w:p w14:paraId="41C7591E" w14:textId="77777777" w:rsidR="00B5554E" w:rsidRDefault="00B5554E" w:rsidP="00B5554E"/>
    <w:p w14:paraId="39FCDD26" w14:textId="77777777" w:rsidR="00B5554E" w:rsidRDefault="00B5554E" w:rsidP="00B5554E"/>
    <w:p w14:paraId="47D83669" w14:textId="6D883878" w:rsidR="00B5554E" w:rsidRPr="009A0C82" w:rsidRDefault="009F66DB" w:rsidP="00B5554E">
      <w:r w:rsidRPr="009F66DB">
        <w:drawing>
          <wp:inline distT="0" distB="0" distL="0" distR="0" wp14:anchorId="1DEB4DCE" wp14:editId="7104B7BF">
            <wp:extent cx="3400425" cy="3380975"/>
            <wp:effectExtent l="0" t="0" r="0" b="0"/>
            <wp:docPr id="1196686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68644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15051" cy="339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54E" w:rsidRPr="009A0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917"/>
    <w:multiLevelType w:val="multilevel"/>
    <w:tmpl w:val="17E6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CD67A2"/>
    <w:multiLevelType w:val="multilevel"/>
    <w:tmpl w:val="1278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DB4943"/>
    <w:multiLevelType w:val="multilevel"/>
    <w:tmpl w:val="94A2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AE486D"/>
    <w:multiLevelType w:val="multilevel"/>
    <w:tmpl w:val="A938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1552E7"/>
    <w:multiLevelType w:val="multilevel"/>
    <w:tmpl w:val="4E78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E060F"/>
    <w:multiLevelType w:val="multilevel"/>
    <w:tmpl w:val="491C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51641B"/>
    <w:multiLevelType w:val="multilevel"/>
    <w:tmpl w:val="395C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C6101D"/>
    <w:multiLevelType w:val="multilevel"/>
    <w:tmpl w:val="DB80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9D26EE"/>
    <w:multiLevelType w:val="multilevel"/>
    <w:tmpl w:val="8132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B17FD1"/>
    <w:multiLevelType w:val="multilevel"/>
    <w:tmpl w:val="A0D0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4101121">
    <w:abstractNumId w:val="8"/>
  </w:num>
  <w:num w:numId="2" w16cid:durableId="1624071245">
    <w:abstractNumId w:val="0"/>
  </w:num>
  <w:num w:numId="3" w16cid:durableId="766123537">
    <w:abstractNumId w:val="3"/>
  </w:num>
  <w:num w:numId="4" w16cid:durableId="13238298">
    <w:abstractNumId w:val="2"/>
  </w:num>
  <w:num w:numId="5" w16cid:durableId="900755606">
    <w:abstractNumId w:val="1"/>
  </w:num>
  <w:num w:numId="6" w16cid:durableId="982194086">
    <w:abstractNumId w:val="7"/>
  </w:num>
  <w:num w:numId="7" w16cid:durableId="1660040925">
    <w:abstractNumId w:val="5"/>
  </w:num>
  <w:num w:numId="8" w16cid:durableId="792209886">
    <w:abstractNumId w:val="9"/>
  </w:num>
  <w:num w:numId="9" w16cid:durableId="1245258984">
    <w:abstractNumId w:val="6"/>
  </w:num>
  <w:num w:numId="10" w16cid:durableId="1577084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62"/>
    <w:rsid w:val="0006347D"/>
    <w:rsid w:val="000B772B"/>
    <w:rsid w:val="000D3002"/>
    <w:rsid w:val="00151150"/>
    <w:rsid w:val="001E2C78"/>
    <w:rsid w:val="001F2A24"/>
    <w:rsid w:val="00397B53"/>
    <w:rsid w:val="003E55CF"/>
    <w:rsid w:val="004641F8"/>
    <w:rsid w:val="005C408C"/>
    <w:rsid w:val="005C67B3"/>
    <w:rsid w:val="00614ACB"/>
    <w:rsid w:val="00695A04"/>
    <w:rsid w:val="006F5D1A"/>
    <w:rsid w:val="00732720"/>
    <w:rsid w:val="007B5105"/>
    <w:rsid w:val="00811400"/>
    <w:rsid w:val="00871683"/>
    <w:rsid w:val="0088244A"/>
    <w:rsid w:val="008D1F7D"/>
    <w:rsid w:val="00921D77"/>
    <w:rsid w:val="009875C8"/>
    <w:rsid w:val="009A0C82"/>
    <w:rsid w:val="009F66DB"/>
    <w:rsid w:val="00B5554E"/>
    <w:rsid w:val="00C37446"/>
    <w:rsid w:val="00CC0B26"/>
    <w:rsid w:val="00DB5662"/>
    <w:rsid w:val="00F2022B"/>
    <w:rsid w:val="00F56C40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5DA2"/>
  <w15:chartTrackingRefBased/>
  <w15:docId w15:val="{1EB6CBD2-EFE9-4D40-8C38-634C9112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6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0B26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C0B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CBodyText">
    <w:name w:val="TNC Body Text"/>
    <w:basedOn w:val="Normal"/>
    <w:link w:val="TNCBodyTextChar"/>
    <w:qFormat/>
    <w:rsid w:val="00CC0B26"/>
    <w:pPr>
      <w:spacing w:before="100" w:after="100" w:line="276" w:lineRule="auto"/>
      <w:jc w:val="both"/>
    </w:pPr>
    <w:rPr>
      <w:kern w:val="0"/>
      <w:sz w:val="22"/>
      <w:szCs w:val="22"/>
      <w14:ligatures w14:val="none"/>
    </w:rPr>
  </w:style>
  <w:style w:type="character" w:customStyle="1" w:styleId="TNCBodyTextChar">
    <w:name w:val="TNC Body Text Char"/>
    <w:basedOn w:val="DefaultParagraphFont"/>
    <w:link w:val="TNCBodyText"/>
    <w:rsid w:val="00CC0B2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7" ma:contentTypeDescription="Create a new document." ma:contentTypeScope="" ma:versionID="09ee796c680c4fc48e234e4f8cba7dc6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03abaae4e5a4c374cfa627fd9ec4a0c5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7a766-67cb-467e-8fd7-247518eb78b1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Props1.xml><?xml version="1.0" encoding="utf-8"?>
<ds:datastoreItem xmlns:ds="http://schemas.openxmlformats.org/officeDocument/2006/customXml" ds:itemID="{B16A60F8-3D95-4F81-B181-FE22FD7F6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51440-F58A-479E-AAC1-375A4E86C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72F04-A555-4C9F-AF77-5431AA7A2FE6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412</Words>
  <Characters>2659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Lane School Head</dc:creator>
  <cp:keywords/>
  <dc:description/>
  <cp:lastModifiedBy>Victoria Lomas</cp:lastModifiedBy>
  <cp:revision>19</cp:revision>
  <cp:lastPrinted>2026-01-07T14:24:00Z</cp:lastPrinted>
  <dcterms:created xsi:type="dcterms:W3CDTF">2025-11-09T19:10:00Z</dcterms:created>
  <dcterms:modified xsi:type="dcterms:W3CDTF">2026-03-25T16:16:00Z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