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B73F" w14:textId="476E8DD2" w:rsidR="00185D04" w:rsidRDefault="00C074C7">
      <w:pPr>
        <w:pStyle w:val="BodyText"/>
        <w:ind w:left="100"/>
        <w:rPr>
          <w:rFonts w:ascii="Times New Roman"/>
          <w:sz w:val="20"/>
        </w:rPr>
      </w:pPr>
      <w:r>
        <w:rPr>
          <w:rFonts w:ascii="Times New Roman"/>
          <w:noProof/>
          <w:sz w:val="20"/>
        </w:rPr>
        <w:drawing>
          <wp:inline distT="0" distB="0" distL="0" distR="0" wp14:anchorId="77437EC3" wp14:editId="6067A43E">
            <wp:extent cx="1256169" cy="1264021"/>
            <wp:effectExtent l="0" t="0" r="1270" b="0"/>
            <wp:docPr id="166516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63842"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6169" cy="1264021"/>
                    </a:xfrm>
                    <a:prstGeom prst="rect">
                      <a:avLst/>
                    </a:prstGeom>
                  </pic:spPr>
                </pic:pic>
              </a:graphicData>
            </a:graphic>
          </wp:inline>
        </w:drawing>
      </w:r>
    </w:p>
    <w:p w14:paraId="1E80CAD3" w14:textId="77777777" w:rsidR="00185D04" w:rsidRDefault="00185D04">
      <w:pPr>
        <w:pStyle w:val="BodyText"/>
        <w:spacing w:before="6"/>
        <w:rPr>
          <w:rFonts w:ascii="Times New Roman"/>
          <w:sz w:val="16"/>
        </w:rPr>
      </w:pPr>
    </w:p>
    <w:p w14:paraId="4DF1B973" w14:textId="77777777" w:rsidR="00185D04" w:rsidRDefault="00E70A02">
      <w:pPr>
        <w:pStyle w:val="Title"/>
      </w:pPr>
      <w:r>
        <w:pict w14:anchorId="464F33AA">
          <v:shape id="_x0000_s2050" style="position:absolute;left:0;text-align:left;margin-left:72.75pt;margin-top:28.45pt;width:450pt;height:.1pt;z-index:-251658752;mso-wrap-distance-left:0;mso-wrap-distance-right:0;mso-position-horizontal-relative:page" coordorigin="1455,569" coordsize="9000,0" path="m1455,569r9000,e" filled="f" strokecolor="#2c008e" strokeweight="1.25pt">
            <v:path arrowok="t"/>
            <w10:wrap type="topAndBottom" anchorx="page"/>
          </v:shape>
        </w:pict>
      </w:r>
      <w:r>
        <w:rPr>
          <w:color w:val="2C008E"/>
        </w:rPr>
        <w:t>PUPIL PREMIUM</w:t>
      </w:r>
      <w:r>
        <w:rPr>
          <w:color w:val="2C008E"/>
          <w:spacing w:val="2"/>
        </w:rPr>
        <w:t xml:space="preserve"> </w:t>
      </w:r>
      <w:r>
        <w:rPr>
          <w:color w:val="2C008E"/>
        </w:rPr>
        <w:t>POLICY</w:t>
      </w:r>
    </w:p>
    <w:p w14:paraId="4D643E7A" w14:textId="77777777" w:rsidR="00185D04" w:rsidRDefault="00185D04">
      <w:pPr>
        <w:pStyle w:val="BodyText"/>
        <w:rPr>
          <w:rFonts w:ascii="Arial"/>
          <w:b/>
          <w:sz w:val="20"/>
        </w:rPr>
      </w:pPr>
    </w:p>
    <w:p w14:paraId="19BDB606" w14:textId="77777777" w:rsidR="00185D04" w:rsidRDefault="00185D04">
      <w:pPr>
        <w:pStyle w:val="BodyText"/>
        <w:spacing w:before="11"/>
        <w:rPr>
          <w:rFonts w:ascii="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507"/>
      </w:tblGrid>
      <w:tr w:rsidR="00185D04" w14:paraId="6A3281E9" w14:textId="77777777" w:rsidTr="5188FD4B">
        <w:trPr>
          <w:trHeight w:val="620"/>
        </w:trPr>
        <w:tc>
          <w:tcPr>
            <w:tcW w:w="4512" w:type="dxa"/>
          </w:tcPr>
          <w:p w14:paraId="1DFCC6A5" w14:textId="77777777" w:rsidR="00185D04" w:rsidRDefault="00E70A02">
            <w:pPr>
              <w:pStyle w:val="TableParagraph"/>
              <w:ind w:left="110"/>
              <w:rPr>
                <w:b/>
                <w:sz w:val="24"/>
              </w:rPr>
            </w:pPr>
            <w:r>
              <w:rPr>
                <w:b/>
                <w:w w:val="105"/>
                <w:sz w:val="24"/>
              </w:rPr>
              <w:t>Person</w:t>
            </w:r>
            <w:r>
              <w:rPr>
                <w:b/>
                <w:spacing w:val="-10"/>
                <w:w w:val="105"/>
                <w:sz w:val="24"/>
              </w:rPr>
              <w:t xml:space="preserve"> </w:t>
            </w:r>
            <w:r>
              <w:rPr>
                <w:b/>
                <w:w w:val="105"/>
                <w:sz w:val="24"/>
              </w:rPr>
              <w:t>responsible</w:t>
            </w:r>
            <w:r>
              <w:rPr>
                <w:b/>
                <w:spacing w:val="-5"/>
                <w:w w:val="105"/>
                <w:sz w:val="24"/>
              </w:rPr>
              <w:t xml:space="preserve"> </w:t>
            </w:r>
            <w:r>
              <w:rPr>
                <w:b/>
                <w:w w:val="105"/>
                <w:sz w:val="24"/>
              </w:rPr>
              <w:t>for</w:t>
            </w:r>
            <w:r>
              <w:rPr>
                <w:b/>
                <w:spacing w:val="1"/>
                <w:w w:val="105"/>
                <w:sz w:val="24"/>
              </w:rPr>
              <w:t xml:space="preserve"> </w:t>
            </w:r>
            <w:r>
              <w:rPr>
                <w:b/>
                <w:w w:val="105"/>
                <w:sz w:val="24"/>
              </w:rPr>
              <w:t>policy:</w:t>
            </w:r>
          </w:p>
        </w:tc>
        <w:tc>
          <w:tcPr>
            <w:tcW w:w="4507" w:type="dxa"/>
          </w:tcPr>
          <w:p w14:paraId="055D5FD8" w14:textId="50A937DA" w:rsidR="00185D04" w:rsidRDefault="4DCD745A" w:rsidP="226BE773">
            <w:pPr>
              <w:pStyle w:val="TableParagraph"/>
              <w:rPr>
                <w:rFonts w:ascii="Arial MT"/>
                <w:sz w:val="24"/>
                <w:szCs w:val="24"/>
              </w:rPr>
            </w:pPr>
            <w:r w:rsidRPr="226BE773">
              <w:rPr>
                <w:rFonts w:ascii="Arial MT"/>
                <w:w w:val="105"/>
                <w:sz w:val="24"/>
                <w:szCs w:val="24"/>
              </w:rPr>
              <w:t>Emma Shaw</w:t>
            </w:r>
            <w:r w:rsidR="00FA2349">
              <w:rPr>
                <w:rFonts w:ascii="Arial MT"/>
                <w:w w:val="105"/>
                <w:sz w:val="24"/>
                <w:szCs w:val="24"/>
              </w:rPr>
              <w:t xml:space="preserve"> </w:t>
            </w:r>
          </w:p>
        </w:tc>
      </w:tr>
      <w:tr w:rsidR="00185D04" w14:paraId="4345A0D3" w14:textId="77777777" w:rsidTr="5188FD4B">
        <w:trPr>
          <w:trHeight w:val="620"/>
        </w:trPr>
        <w:tc>
          <w:tcPr>
            <w:tcW w:w="4512" w:type="dxa"/>
          </w:tcPr>
          <w:p w14:paraId="2EAEBA70" w14:textId="77777777" w:rsidR="00185D04" w:rsidRDefault="00E70A02">
            <w:pPr>
              <w:pStyle w:val="TableParagraph"/>
              <w:ind w:left="110"/>
              <w:rPr>
                <w:b/>
                <w:sz w:val="24"/>
              </w:rPr>
            </w:pPr>
            <w:r>
              <w:rPr>
                <w:b/>
                <w:w w:val="105"/>
                <w:sz w:val="24"/>
              </w:rPr>
              <w:t>Date</w:t>
            </w:r>
            <w:r>
              <w:rPr>
                <w:b/>
                <w:spacing w:val="-5"/>
                <w:w w:val="105"/>
                <w:sz w:val="24"/>
              </w:rPr>
              <w:t xml:space="preserve"> </w:t>
            </w:r>
            <w:r>
              <w:rPr>
                <w:b/>
                <w:w w:val="105"/>
                <w:sz w:val="24"/>
              </w:rPr>
              <w:t>approved:</w:t>
            </w:r>
          </w:p>
        </w:tc>
        <w:tc>
          <w:tcPr>
            <w:tcW w:w="4507" w:type="dxa"/>
          </w:tcPr>
          <w:p w14:paraId="003318A8" w14:textId="77777777" w:rsidR="00185D04" w:rsidRDefault="17FB0182" w:rsidP="226BE773">
            <w:pPr>
              <w:pStyle w:val="TableParagraph"/>
              <w:rPr>
                <w:rFonts w:ascii="Arial MT"/>
                <w:sz w:val="24"/>
                <w:szCs w:val="24"/>
              </w:rPr>
            </w:pPr>
            <w:r w:rsidRPr="226BE773">
              <w:rPr>
                <w:rFonts w:ascii="Arial MT"/>
                <w:w w:val="105"/>
                <w:sz w:val="24"/>
                <w:szCs w:val="24"/>
              </w:rPr>
              <w:t>September 2024</w:t>
            </w:r>
          </w:p>
        </w:tc>
      </w:tr>
      <w:tr w:rsidR="00185D04" w14:paraId="411373D1" w14:textId="77777777" w:rsidTr="5188FD4B">
        <w:trPr>
          <w:trHeight w:val="620"/>
        </w:trPr>
        <w:tc>
          <w:tcPr>
            <w:tcW w:w="4512" w:type="dxa"/>
          </w:tcPr>
          <w:p w14:paraId="6137968B" w14:textId="193D5161" w:rsidR="00185D04" w:rsidRDefault="00E70A02">
            <w:pPr>
              <w:pStyle w:val="TableParagraph"/>
              <w:ind w:left="110"/>
              <w:rPr>
                <w:b/>
                <w:sz w:val="24"/>
              </w:rPr>
            </w:pPr>
            <w:r>
              <w:rPr>
                <w:b/>
                <w:w w:val="105"/>
                <w:sz w:val="24"/>
              </w:rPr>
              <w:t>Review</w:t>
            </w:r>
            <w:r w:rsidR="00A557DE">
              <w:rPr>
                <w:b/>
                <w:w w:val="105"/>
                <w:sz w:val="24"/>
              </w:rPr>
              <w:t>ed</w:t>
            </w:r>
            <w:r>
              <w:rPr>
                <w:b/>
                <w:w w:val="105"/>
                <w:sz w:val="24"/>
              </w:rPr>
              <w:t>:</w:t>
            </w:r>
          </w:p>
        </w:tc>
        <w:tc>
          <w:tcPr>
            <w:tcW w:w="4507" w:type="dxa"/>
          </w:tcPr>
          <w:p w14:paraId="2C973D32" w14:textId="77777777" w:rsidR="00185D04" w:rsidRDefault="5E24AD20" w:rsidP="226BE773">
            <w:pPr>
              <w:pStyle w:val="TableParagraph"/>
              <w:rPr>
                <w:rFonts w:ascii="Arial MT"/>
                <w:sz w:val="24"/>
                <w:szCs w:val="24"/>
              </w:rPr>
            </w:pPr>
            <w:r w:rsidRPr="226BE773">
              <w:rPr>
                <w:rFonts w:ascii="Arial MT"/>
                <w:w w:val="105"/>
                <w:sz w:val="24"/>
                <w:szCs w:val="24"/>
              </w:rPr>
              <w:t>September 2025</w:t>
            </w:r>
          </w:p>
        </w:tc>
      </w:tr>
      <w:tr w:rsidR="00A557DE" w14:paraId="6800060A" w14:textId="77777777" w:rsidTr="5188FD4B">
        <w:trPr>
          <w:trHeight w:val="620"/>
        </w:trPr>
        <w:tc>
          <w:tcPr>
            <w:tcW w:w="4512" w:type="dxa"/>
          </w:tcPr>
          <w:p w14:paraId="6FD7C21F" w14:textId="74B69B15" w:rsidR="00A557DE" w:rsidRDefault="00815301">
            <w:pPr>
              <w:pStyle w:val="TableParagraph"/>
              <w:ind w:left="110"/>
              <w:rPr>
                <w:b/>
                <w:w w:val="105"/>
                <w:sz w:val="24"/>
              </w:rPr>
            </w:pPr>
            <w:r>
              <w:rPr>
                <w:b/>
                <w:w w:val="105"/>
                <w:sz w:val="24"/>
              </w:rPr>
              <w:t xml:space="preserve">Next </w:t>
            </w:r>
            <w:r w:rsidR="00A557DE">
              <w:rPr>
                <w:b/>
                <w:w w:val="105"/>
                <w:sz w:val="24"/>
              </w:rPr>
              <w:t xml:space="preserve">Review date: </w:t>
            </w:r>
          </w:p>
        </w:tc>
        <w:tc>
          <w:tcPr>
            <w:tcW w:w="4507" w:type="dxa"/>
          </w:tcPr>
          <w:p w14:paraId="433F21C9" w14:textId="3F06AA8F" w:rsidR="00A557DE" w:rsidRPr="226BE773" w:rsidRDefault="00A557DE" w:rsidP="226BE773">
            <w:pPr>
              <w:pStyle w:val="TableParagraph"/>
              <w:rPr>
                <w:rFonts w:ascii="Arial MT"/>
                <w:w w:val="105"/>
                <w:sz w:val="24"/>
                <w:szCs w:val="24"/>
              </w:rPr>
            </w:pPr>
            <w:r>
              <w:rPr>
                <w:rFonts w:ascii="Arial MT"/>
                <w:w w:val="105"/>
                <w:sz w:val="24"/>
                <w:szCs w:val="24"/>
              </w:rPr>
              <w:t>September 2026</w:t>
            </w:r>
          </w:p>
        </w:tc>
      </w:tr>
    </w:tbl>
    <w:p w14:paraId="48B8C6E7" w14:textId="77777777" w:rsidR="00185D04" w:rsidRDefault="00185D04">
      <w:pPr>
        <w:pStyle w:val="BodyText"/>
        <w:rPr>
          <w:rFonts w:ascii="Arial"/>
          <w:b/>
          <w:sz w:val="20"/>
        </w:rPr>
      </w:pPr>
    </w:p>
    <w:p w14:paraId="2EA5E776" w14:textId="20C159B1" w:rsidR="00F768F0" w:rsidRPr="00F768F0" w:rsidRDefault="00F768F0" w:rsidP="00F768F0">
      <w:pPr>
        <w:pStyle w:val="BodyText"/>
        <w:spacing w:line="242" w:lineRule="auto"/>
        <w:ind w:left="100" w:right="7479"/>
        <w:rPr>
          <w:lang w:val="en-GB"/>
        </w:rPr>
      </w:pPr>
    </w:p>
    <w:p w14:paraId="09520013" w14:textId="6C212B2D" w:rsidR="00F768F0" w:rsidRPr="00F768F0" w:rsidRDefault="00F768F0" w:rsidP="00815301">
      <w:pPr>
        <w:rPr>
          <w:lang w:val="en-GB"/>
        </w:rPr>
      </w:pPr>
    </w:p>
    <w:p w14:paraId="29D99047" w14:textId="77777777" w:rsidR="00F768F0" w:rsidRDefault="00F768F0" w:rsidP="00815301">
      <w:pPr>
        <w:rPr>
          <w:b/>
          <w:bCs/>
          <w:lang w:val="en-GB"/>
        </w:rPr>
      </w:pPr>
      <w:r w:rsidRPr="00F768F0">
        <w:rPr>
          <w:b/>
          <w:bCs/>
          <w:lang w:val="en-GB"/>
        </w:rPr>
        <w:t>Contextual Information</w:t>
      </w:r>
    </w:p>
    <w:p w14:paraId="61751072" w14:textId="77777777" w:rsidR="008A0562" w:rsidRPr="00F768F0" w:rsidRDefault="008A0562" w:rsidP="00815301">
      <w:pPr>
        <w:rPr>
          <w:b/>
          <w:bCs/>
          <w:lang w:val="en-GB"/>
        </w:rPr>
      </w:pPr>
    </w:p>
    <w:p w14:paraId="1A80B030" w14:textId="77777777" w:rsidR="00F768F0" w:rsidRDefault="00F768F0" w:rsidP="00815301">
      <w:pPr>
        <w:rPr>
          <w:lang w:val="en-GB"/>
        </w:rPr>
      </w:pPr>
      <w:r w:rsidRPr="00F768F0">
        <w:rPr>
          <w:lang w:val="en-GB"/>
        </w:rPr>
        <w:t>Park Lane School is part of Cheshire East’s provision for pupils with severe and complex learning difficulties. This includes pupils with additional physical and sensory impairments, Autism Spectrum Condition, and medical needs. The school serves Congleton, Wilmslow, Knutsford, and Poynton, with 152 pupils aged 5–19.</w:t>
      </w:r>
    </w:p>
    <w:p w14:paraId="55F3E459" w14:textId="0BE35C98" w:rsidR="00F768F0" w:rsidRPr="00F768F0" w:rsidRDefault="00F768F0" w:rsidP="00815301">
      <w:pPr>
        <w:rPr>
          <w:lang w:val="en-GB"/>
        </w:rPr>
      </w:pPr>
    </w:p>
    <w:p w14:paraId="5E80B589" w14:textId="77777777" w:rsidR="008A0562" w:rsidRDefault="008A0562" w:rsidP="00815301">
      <w:pPr>
        <w:rPr>
          <w:b/>
          <w:bCs/>
          <w:lang w:val="en-GB"/>
        </w:rPr>
      </w:pPr>
    </w:p>
    <w:p w14:paraId="088C0C0B" w14:textId="57652672" w:rsidR="00F768F0" w:rsidRDefault="00F768F0" w:rsidP="00815301">
      <w:pPr>
        <w:rPr>
          <w:b/>
          <w:bCs/>
          <w:lang w:val="en-GB"/>
        </w:rPr>
      </w:pPr>
      <w:r w:rsidRPr="00F768F0">
        <w:rPr>
          <w:b/>
          <w:bCs/>
          <w:lang w:val="en-GB"/>
        </w:rPr>
        <w:t>Rationale</w:t>
      </w:r>
    </w:p>
    <w:p w14:paraId="4A5A7911" w14:textId="77777777" w:rsidR="008A0562" w:rsidRPr="00F768F0" w:rsidRDefault="008A0562" w:rsidP="00815301">
      <w:pPr>
        <w:rPr>
          <w:b/>
          <w:bCs/>
          <w:lang w:val="en-GB"/>
        </w:rPr>
      </w:pPr>
    </w:p>
    <w:p w14:paraId="7FB6B013" w14:textId="77777777" w:rsidR="00F768F0" w:rsidRPr="00F768F0" w:rsidRDefault="00F768F0" w:rsidP="00815301">
      <w:pPr>
        <w:rPr>
          <w:lang w:val="en-GB"/>
        </w:rPr>
      </w:pPr>
      <w:r w:rsidRPr="00F768F0">
        <w:rPr>
          <w:lang w:val="en-GB"/>
        </w:rPr>
        <w:t>Park Lane School is committed to giving all pupils every opportunity to achieve success at every stage of their education.</w:t>
      </w:r>
    </w:p>
    <w:p w14:paraId="1E8DBDF1" w14:textId="77777777" w:rsidR="00F768F0" w:rsidRPr="00F768F0" w:rsidRDefault="00F768F0" w:rsidP="00815301">
      <w:pPr>
        <w:rPr>
          <w:lang w:val="en-GB"/>
        </w:rPr>
      </w:pPr>
      <w:r w:rsidRPr="00F768F0">
        <w:rPr>
          <w:lang w:val="en-GB"/>
        </w:rPr>
        <w:t>Pupil Premium funding was introduced in 2011–2012 to support children from low-income families, those eligible for Free School Meals (FSM), children looked after by the local authority, and children of armed forces personnel. In 2012, eligibility was extended to pupils who had been eligible for FSM in the past six years (Ever 6). In 2014, the premium was further extended to include all pupils adopted from care.</w:t>
      </w:r>
    </w:p>
    <w:p w14:paraId="3EBC95E6" w14:textId="77777777" w:rsidR="00F768F0" w:rsidRPr="00F768F0" w:rsidRDefault="00F768F0" w:rsidP="00815301">
      <w:pPr>
        <w:rPr>
          <w:lang w:val="en-GB"/>
        </w:rPr>
      </w:pPr>
      <w:r w:rsidRPr="00F768F0">
        <w:rPr>
          <w:lang w:val="en-GB"/>
        </w:rPr>
        <w:t xml:space="preserve">Schools are legally required to publish online how Pupil Premium is spent and its impact. Park Lane School complies fully, with all relevant information available on our </w:t>
      </w:r>
      <w:hyperlink r:id="rId11" w:history="1">
        <w:r w:rsidRPr="00F768F0">
          <w:rPr>
            <w:rStyle w:val="Hyperlink"/>
            <w:lang w:val="en-GB"/>
          </w:rPr>
          <w:t>school website</w:t>
        </w:r>
      </w:hyperlink>
      <w:r w:rsidRPr="00F768F0">
        <w:rPr>
          <w:lang w:val="en-GB"/>
        </w:rPr>
        <w:t>.</w:t>
      </w:r>
    </w:p>
    <w:p w14:paraId="63CF801B" w14:textId="77777777" w:rsidR="00F768F0" w:rsidRDefault="00F768F0" w:rsidP="00815301">
      <w:pPr>
        <w:rPr>
          <w:lang w:val="en-GB"/>
        </w:rPr>
      </w:pPr>
      <w:r w:rsidRPr="00F768F0">
        <w:rPr>
          <w:lang w:val="en-GB"/>
        </w:rPr>
        <w:t>Due to the severity and complexity of our pupils’ disabilities, the challenge for leadership and governors is to use this funding in ways that meaningfully impact individual achievement. For 2025–2026, priorities include:</w:t>
      </w:r>
    </w:p>
    <w:p w14:paraId="715F2B63" w14:textId="77777777" w:rsidR="00993014" w:rsidRPr="00F768F0" w:rsidRDefault="00993014" w:rsidP="00815301">
      <w:pPr>
        <w:rPr>
          <w:lang w:val="en-GB"/>
        </w:rPr>
      </w:pPr>
    </w:p>
    <w:p w14:paraId="1F740DCE" w14:textId="77777777" w:rsidR="00993014" w:rsidRDefault="00F768F0" w:rsidP="00815301">
      <w:pPr>
        <w:pStyle w:val="ListParagraph"/>
        <w:numPr>
          <w:ilvl w:val="0"/>
          <w:numId w:val="5"/>
        </w:numPr>
        <w:rPr>
          <w:lang w:val="en-GB"/>
        </w:rPr>
      </w:pPr>
      <w:r w:rsidRPr="00993014">
        <w:rPr>
          <w:lang w:val="en-GB"/>
        </w:rPr>
        <w:t>Development of communication strategies</w:t>
      </w:r>
    </w:p>
    <w:p w14:paraId="2ED3EA78" w14:textId="77777777" w:rsidR="00993014" w:rsidRDefault="00F768F0" w:rsidP="00815301">
      <w:pPr>
        <w:pStyle w:val="ListParagraph"/>
        <w:numPr>
          <w:ilvl w:val="0"/>
          <w:numId w:val="5"/>
        </w:numPr>
        <w:rPr>
          <w:lang w:val="en-GB"/>
        </w:rPr>
      </w:pPr>
      <w:r w:rsidRPr="00993014">
        <w:rPr>
          <w:lang w:val="en-GB"/>
        </w:rPr>
        <w:t>Enhancement of social skills</w:t>
      </w:r>
      <w:r w:rsidR="00993014">
        <w:rPr>
          <w:lang w:val="en-GB"/>
        </w:rPr>
        <w:t>#</w:t>
      </w:r>
    </w:p>
    <w:p w14:paraId="4B371EA1" w14:textId="28D7CF84" w:rsidR="00993014" w:rsidRDefault="00F768F0" w:rsidP="00815301">
      <w:pPr>
        <w:pStyle w:val="ListParagraph"/>
        <w:numPr>
          <w:ilvl w:val="0"/>
          <w:numId w:val="5"/>
        </w:numPr>
        <w:rPr>
          <w:lang w:val="en-GB"/>
        </w:rPr>
      </w:pPr>
      <w:r w:rsidRPr="00993014">
        <w:rPr>
          <w:lang w:val="en-GB"/>
        </w:rPr>
        <w:t xml:space="preserve">Specialist teaching approaches for pupils </w:t>
      </w:r>
      <w:r w:rsidR="00993014">
        <w:rPr>
          <w:lang w:val="en-GB"/>
        </w:rPr>
        <w:t>with Autism</w:t>
      </w:r>
    </w:p>
    <w:p w14:paraId="4219CCAE" w14:textId="77777777" w:rsidR="008A0562" w:rsidRDefault="008A0562" w:rsidP="008A0562">
      <w:pPr>
        <w:rPr>
          <w:lang w:val="en-GB"/>
        </w:rPr>
      </w:pPr>
    </w:p>
    <w:p w14:paraId="47D14AAF" w14:textId="67F521AD" w:rsidR="00F768F0" w:rsidRDefault="00F768F0" w:rsidP="008A0562">
      <w:pPr>
        <w:rPr>
          <w:lang w:val="en-GB"/>
        </w:rPr>
      </w:pPr>
      <w:r w:rsidRPr="008A0562">
        <w:rPr>
          <w:lang w:val="en-GB"/>
        </w:rPr>
        <w:t>Governors reserve the right to allocate Pupil Premium to benefit any pupil identified as requiring additional support, regardless of FSM eligibility.</w:t>
      </w:r>
    </w:p>
    <w:p w14:paraId="2B182FA9" w14:textId="2A47B6F0" w:rsidR="008A0562" w:rsidRDefault="008A0562" w:rsidP="00815301">
      <w:pPr>
        <w:rPr>
          <w:lang w:val="en-GB"/>
        </w:rPr>
      </w:pPr>
    </w:p>
    <w:p w14:paraId="7B5FEB9C" w14:textId="77777777" w:rsidR="008A0562" w:rsidRDefault="008A0562" w:rsidP="00815301">
      <w:pPr>
        <w:rPr>
          <w:lang w:val="en-GB"/>
        </w:rPr>
      </w:pPr>
    </w:p>
    <w:p w14:paraId="61C818AB" w14:textId="199603B0" w:rsidR="00F768F0" w:rsidRDefault="00F768F0" w:rsidP="00815301">
      <w:pPr>
        <w:rPr>
          <w:b/>
          <w:bCs/>
          <w:lang w:val="en-GB"/>
        </w:rPr>
      </w:pPr>
      <w:r w:rsidRPr="00F768F0">
        <w:rPr>
          <w:b/>
          <w:bCs/>
          <w:lang w:val="en-GB"/>
        </w:rPr>
        <w:lastRenderedPageBreak/>
        <w:t>Aims</w:t>
      </w:r>
    </w:p>
    <w:p w14:paraId="605CF2BD" w14:textId="77777777" w:rsidR="008A0562" w:rsidRPr="008A0562" w:rsidRDefault="008A0562" w:rsidP="00815301">
      <w:pPr>
        <w:rPr>
          <w:lang w:val="en-GB"/>
        </w:rPr>
      </w:pPr>
    </w:p>
    <w:p w14:paraId="5467540D" w14:textId="77777777" w:rsidR="00F768F0" w:rsidRDefault="00F768F0" w:rsidP="00815301">
      <w:pPr>
        <w:rPr>
          <w:lang w:val="en-GB"/>
        </w:rPr>
      </w:pPr>
      <w:r w:rsidRPr="00F768F0">
        <w:rPr>
          <w:lang w:val="en-GB"/>
        </w:rPr>
        <w:t>Park Lane School uses Pupil Premium to:</w:t>
      </w:r>
    </w:p>
    <w:p w14:paraId="6FB06B16" w14:textId="77777777" w:rsidR="008A0562" w:rsidRPr="00F768F0" w:rsidRDefault="008A0562" w:rsidP="00815301">
      <w:pPr>
        <w:rPr>
          <w:lang w:val="en-GB"/>
        </w:rPr>
      </w:pPr>
    </w:p>
    <w:p w14:paraId="13ECA060" w14:textId="77777777" w:rsidR="008A0562" w:rsidRDefault="00F768F0" w:rsidP="00815301">
      <w:pPr>
        <w:pStyle w:val="ListParagraph"/>
        <w:numPr>
          <w:ilvl w:val="0"/>
          <w:numId w:val="5"/>
        </w:numPr>
        <w:rPr>
          <w:lang w:val="en-GB"/>
        </w:rPr>
      </w:pPr>
      <w:r w:rsidRPr="008A0562">
        <w:rPr>
          <w:lang w:val="en-GB"/>
        </w:rPr>
        <w:t>Enhance education, progress, and attainment for eligible pupils</w:t>
      </w:r>
    </w:p>
    <w:p w14:paraId="72A04568" w14:textId="77777777" w:rsidR="008A0562" w:rsidRDefault="00F768F0" w:rsidP="00815301">
      <w:pPr>
        <w:pStyle w:val="ListParagraph"/>
        <w:numPr>
          <w:ilvl w:val="0"/>
          <w:numId w:val="5"/>
        </w:numPr>
        <w:rPr>
          <w:lang w:val="en-GB"/>
        </w:rPr>
      </w:pPr>
      <w:r w:rsidRPr="008A0562">
        <w:rPr>
          <w:lang w:val="en-GB"/>
        </w:rPr>
        <w:t>Provide additional interventions and therapies beyond core budget provision</w:t>
      </w:r>
    </w:p>
    <w:p w14:paraId="10A6CEF1" w14:textId="77777777" w:rsidR="008A0562" w:rsidRDefault="00F768F0" w:rsidP="00815301">
      <w:pPr>
        <w:pStyle w:val="ListParagraph"/>
        <w:numPr>
          <w:ilvl w:val="0"/>
          <w:numId w:val="5"/>
        </w:numPr>
        <w:rPr>
          <w:lang w:val="en-GB"/>
        </w:rPr>
      </w:pPr>
      <w:r w:rsidRPr="008A0562">
        <w:rPr>
          <w:lang w:val="en-GB"/>
        </w:rPr>
        <w:t>Support participation in educational activities regardless of disability</w:t>
      </w:r>
    </w:p>
    <w:p w14:paraId="1F4CDB6E" w14:textId="5BB6D8C4" w:rsidR="00F768F0" w:rsidRDefault="00F768F0" w:rsidP="00815301">
      <w:pPr>
        <w:pStyle w:val="ListParagraph"/>
        <w:numPr>
          <w:ilvl w:val="0"/>
          <w:numId w:val="5"/>
        </w:numPr>
        <w:rPr>
          <w:lang w:val="en-GB"/>
        </w:rPr>
      </w:pPr>
      <w:r w:rsidRPr="008A0562">
        <w:rPr>
          <w:lang w:val="en-GB"/>
        </w:rPr>
        <w:t>Enable access to educational visits, residentials, and extra-curricular activities</w:t>
      </w:r>
    </w:p>
    <w:p w14:paraId="275EB7E3" w14:textId="77777777" w:rsidR="008A0562" w:rsidRPr="008A0562" w:rsidRDefault="008A0562" w:rsidP="008A0562">
      <w:pPr>
        <w:pStyle w:val="ListParagraph"/>
        <w:ind w:left="720" w:firstLine="0"/>
        <w:rPr>
          <w:lang w:val="en-GB"/>
        </w:rPr>
      </w:pPr>
    </w:p>
    <w:p w14:paraId="628AC82D" w14:textId="7E5F34C5" w:rsidR="00F768F0" w:rsidRPr="00F768F0" w:rsidRDefault="00F768F0" w:rsidP="00815301">
      <w:pPr>
        <w:rPr>
          <w:lang w:val="en-GB"/>
        </w:rPr>
      </w:pPr>
    </w:p>
    <w:p w14:paraId="012E4F8D" w14:textId="77777777" w:rsidR="00F768F0" w:rsidRDefault="00F768F0" w:rsidP="00815301">
      <w:pPr>
        <w:rPr>
          <w:b/>
          <w:bCs/>
          <w:lang w:val="en-GB"/>
        </w:rPr>
      </w:pPr>
      <w:r w:rsidRPr="00F768F0">
        <w:rPr>
          <w:b/>
          <w:bCs/>
          <w:lang w:val="en-GB"/>
        </w:rPr>
        <w:t>Preparation for Adulthood</w:t>
      </w:r>
    </w:p>
    <w:p w14:paraId="18AF2E9B" w14:textId="77777777" w:rsidR="008A0562" w:rsidRPr="00F768F0" w:rsidRDefault="008A0562" w:rsidP="00815301">
      <w:pPr>
        <w:rPr>
          <w:b/>
          <w:bCs/>
          <w:lang w:val="en-GB"/>
        </w:rPr>
      </w:pPr>
    </w:p>
    <w:p w14:paraId="68AE8898" w14:textId="77777777" w:rsidR="00F768F0" w:rsidRPr="00F768F0" w:rsidRDefault="00F768F0" w:rsidP="00815301">
      <w:pPr>
        <w:rPr>
          <w:lang w:val="en-GB"/>
        </w:rPr>
      </w:pPr>
      <w:r w:rsidRPr="00F768F0">
        <w:rPr>
          <w:lang w:val="en-GB"/>
        </w:rPr>
        <w:t>“Preparation for adulthood is not something we should only think about at school transitions such as the end of each key stage or post-16 planning. Preparation for adulthood should be a continual process for the child and young person that happens at the end of each lesson, topic, unit of study and school day.”</w:t>
      </w:r>
    </w:p>
    <w:p w14:paraId="0ABB2E27" w14:textId="77777777" w:rsidR="00F768F0" w:rsidRPr="00F768F0" w:rsidRDefault="00F768F0" w:rsidP="00815301">
      <w:pPr>
        <w:rPr>
          <w:lang w:val="en-GB"/>
        </w:rPr>
      </w:pPr>
      <w:r w:rsidRPr="00F768F0">
        <w:rPr>
          <w:lang w:val="en-GB"/>
        </w:rPr>
        <w:t>This principle underpins our use of Pupil Premium to support long-term development and independence.</w:t>
      </w:r>
    </w:p>
    <w:p w14:paraId="49E64192" w14:textId="13090820" w:rsidR="00F768F0" w:rsidRDefault="00F768F0" w:rsidP="00815301">
      <w:pPr>
        <w:rPr>
          <w:lang w:val="en-GB"/>
        </w:rPr>
      </w:pPr>
    </w:p>
    <w:p w14:paraId="1D762B6E" w14:textId="77777777" w:rsidR="00B57F79" w:rsidRPr="00F768F0" w:rsidRDefault="00B57F79" w:rsidP="00815301">
      <w:pPr>
        <w:rPr>
          <w:lang w:val="en-GB"/>
        </w:rPr>
      </w:pPr>
    </w:p>
    <w:p w14:paraId="216E48BF" w14:textId="77777777" w:rsidR="00F768F0" w:rsidRDefault="00F768F0" w:rsidP="00815301">
      <w:pPr>
        <w:rPr>
          <w:b/>
          <w:bCs/>
          <w:lang w:val="en-GB"/>
        </w:rPr>
      </w:pPr>
      <w:r w:rsidRPr="00F768F0">
        <w:rPr>
          <w:b/>
          <w:bCs/>
          <w:lang w:val="en-GB"/>
        </w:rPr>
        <w:t>Monitoring and Review</w:t>
      </w:r>
    </w:p>
    <w:p w14:paraId="42600082" w14:textId="77777777" w:rsidR="00B57F79" w:rsidRPr="00F768F0" w:rsidRDefault="00B57F79" w:rsidP="00815301">
      <w:pPr>
        <w:rPr>
          <w:b/>
          <w:bCs/>
          <w:lang w:val="en-GB"/>
        </w:rPr>
      </w:pPr>
    </w:p>
    <w:p w14:paraId="3580149C" w14:textId="77777777" w:rsidR="00B57F79" w:rsidRDefault="00F768F0" w:rsidP="00815301">
      <w:pPr>
        <w:pStyle w:val="ListParagraph"/>
        <w:numPr>
          <w:ilvl w:val="0"/>
          <w:numId w:val="5"/>
        </w:numPr>
        <w:rPr>
          <w:lang w:val="en-GB"/>
        </w:rPr>
      </w:pPr>
      <w:r w:rsidRPr="00B57F79">
        <w:rPr>
          <w:lang w:val="en-GB"/>
        </w:rPr>
        <w:t>Progress and attainment of eligible pupils is monitored termly by the Assessment Manager</w:t>
      </w:r>
    </w:p>
    <w:p w14:paraId="10FE828D" w14:textId="77777777" w:rsidR="00B57F79" w:rsidRDefault="00F768F0" w:rsidP="00815301">
      <w:pPr>
        <w:pStyle w:val="ListParagraph"/>
        <w:numPr>
          <w:ilvl w:val="0"/>
          <w:numId w:val="5"/>
        </w:numPr>
        <w:rPr>
          <w:lang w:val="en-GB"/>
        </w:rPr>
      </w:pPr>
      <w:r w:rsidRPr="00B57F79">
        <w:rPr>
          <w:lang w:val="en-GB"/>
        </w:rPr>
        <w:t>Impact is reported termly to Governors via the Headteacher’s Report</w:t>
      </w:r>
    </w:p>
    <w:p w14:paraId="599B10AF" w14:textId="77777777" w:rsidR="00B57F79" w:rsidRDefault="00F768F0" w:rsidP="00815301">
      <w:pPr>
        <w:pStyle w:val="ListParagraph"/>
        <w:numPr>
          <w:ilvl w:val="0"/>
          <w:numId w:val="5"/>
        </w:numPr>
        <w:rPr>
          <w:lang w:val="en-GB"/>
        </w:rPr>
      </w:pPr>
      <w:r w:rsidRPr="00B57F79">
        <w:rPr>
          <w:lang w:val="en-GB"/>
        </w:rPr>
        <w:t>Funding use is reviewed by the Finance and Personnel Committee</w:t>
      </w:r>
    </w:p>
    <w:p w14:paraId="1A7BA401" w14:textId="7003B747" w:rsidR="00F768F0" w:rsidRPr="00B57F79" w:rsidRDefault="00F768F0" w:rsidP="00815301">
      <w:pPr>
        <w:pStyle w:val="ListParagraph"/>
        <w:numPr>
          <w:ilvl w:val="0"/>
          <w:numId w:val="5"/>
        </w:numPr>
        <w:rPr>
          <w:lang w:val="en-GB"/>
        </w:rPr>
      </w:pPr>
      <w:r w:rsidRPr="00B57F79">
        <w:rPr>
          <w:lang w:val="en-GB"/>
        </w:rPr>
        <w:t>Annual reports are published on the school website for parents and stakeholders</w:t>
      </w:r>
    </w:p>
    <w:p w14:paraId="144F80F3" w14:textId="78005E5B" w:rsidR="00F768F0" w:rsidRDefault="00F768F0" w:rsidP="00815301">
      <w:pPr>
        <w:rPr>
          <w:lang w:val="en-GB"/>
        </w:rPr>
      </w:pPr>
    </w:p>
    <w:p w14:paraId="03AF2ED1" w14:textId="77777777" w:rsidR="00B57F79" w:rsidRPr="00F768F0" w:rsidRDefault="00B57F79" w:rsidP="00815301">
      <w:pPr>
        <w:rPr>
          <w:lang w:val="en-GB"/>
        </w:rPr>
      </w:pPr>
    </w:p>
    <w:p w14:paraId="4912A1CD" w14:textId="77777777" w:rsidR="00F768F0" w:rsidRDefault="00F768F0" w:rsidP="00815301">
      <w:pPr>
        <w:rPr>
          <w:b/>
          <w:bCs/>
          <w:lang w:val="en-GB"/>
        </w:rPr>
      </w:pPr>
      <w:r w:rsidRPr="00F768F0">
        <w:rPr>
          <w:b/>
          <w:bCs/>
          <w:lang w:val="en-GB"/>
        </w:rPr>
        <w:t>Transparency and Accountability</w:t>
      </w:r>
    </w:p>
    <w:p w14:paraId="7B6375FB" w14:textId="77777777" w:rsidR="00E70A02" w:rsidRPr="00F768F0" w:rsidRDefault="00E70A02" w:rsidP="00815301">
      <w:pPr>
        <w:rPr>
          <w:b/>
          <w:bCs/>
          <w:lang w:val="en-GB"/>
        </w:rPr>
      </w:pPr>
    </w:p>
    <w:p w14:paraId="6AD5FFCD" w14:textId="77777777" w:rsidR="00F768F0" w:rsidRPr="00F768F0" w:rsidRDefault="00F768F0" w:rsidP="00815301">
      <w:pPr>
        <w:rPr>
          <w:lang w:val="en-GB"/>
        </w:rPr>
      </w:pPr>
      <w:r w:rsidRPr="00F768F0">
        <w:rPr>
          <w:lang w:val="en-GB"/>
        </w:rPr>
        <w:t>Pupil Premium funding is separate from the school budget and fully accounted for. Park Lane School is committed to transparency and publishes annual spending reports online.</w:t>
      </w:r>
    </w:p>
    <w:p w14:paraId="2EC33C82" w14:textId="31B21F70" w:rsidR="00F768F0" w:rsidRDefault="00F768F0" w:rsidP="00815301">
      <w:pPr>
        <w:rPr>
          <w:lang w:val="en-GB"/>
        </w:rPr>
      </w:pPr>
    </w:p>
    <w:p w14:paraId="7DD729F1" w14:textId="77777777" w:rsidR="00E70A02" w:rsidRPr="00F768F0" w:rsidRDefault="00E70A02" w:rsidP="00815301">
      <w:pPr>
        <w:rPr>
          <w:lang w:val="en-GB"/>
        </w:rPr>
      </w:pPr>
    </w:p>
    <w:p w14:paraId="12F50366" w14:textId="77777777" w:rsidR="00F768F0" w:rsidRDefault="00F768F0" w:rsidP="00815301">
      <w:pPr>
        <w:rPr>
          <w:b/>
          <w:bCs/>
          <w:lang w:val="en-GB"/>
        </w:rPr>
      </w:pPr>
      <w:r w:rsidRPr="00F768F0">
        <w:rPr>
          <w:b/>
          <w:bCs/>
          <w:lang w:val="en-GB"/>
        </w:rPr>
        <w:t>Policy Oversight</w:t>
      </w:r>
    </w:p>
    <w:p w14:paraId="02F109F8" w14:textId="77777777" w:rsidR="00E70A02" w:rsidRPr="00F768F0" w:rsidRDefault="00E70A02" w:rsidP="00815301">
      <w:pPr>
        <w:rPr>
          <w:b/>
          <w:bCs/>
          <w:lang w:val="en-GB"/>
        </w:rPr>
      </w:pPr>
    </w:p>
    <w:p w14:paraId="5C900E0F" w14:textId="77777777" w:rsidR="00F768F0" w:rsidRPr="00F768F0" w:rsidRDefault="00F768F0" w:rsidP="00815301">
      <w:pPr>
        <w:rPr>
          <w:lang w:val="en-GB"/>
        </w:rPr>
      </w:pPr>
      <w:r w:rsidRPr="00F768F0">
        <w:rPr>
          <w:lang w:val="en-GB"/>
        </w:rPr>
        <w:t>This policy is monitored by the Governing Board and reviewed annually.</w:t>
      </w:r>
    </w:p>
    <w:p w14:paraId="30837403" w14:textId="77777777" w:rsidR="00185D04" w:rsidRPr="00F768F0" w:rsidRDefault="00185D04" w:rsidP="00815301">
      <w:pPr>
        <w:rPr>
          <w:lang w:val="en-GB"/>
        </w:rPr>
      </w:pPr>
    </w:p>
    <w:sectPr w:rsidR="00185D04" w:rsidRPr="00F768F0">
      <w:headerReference w:type="default" r:id="rId12"/>
      <w:pgSz w:w="11910" w:h="16840"/>
      <w:pgMar w:top="1600" w:right="1320" w:bottom="500" w:left="1340" w:header="0" w:footer="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520C" w14:textId="77777777" w:rsidR="004C2944" w:rsidRDefault="004C2944">
      <w:r>
        <w:separator/>
      </w:r>
    </w:p>
  </w:endnote>
  <w:endnote w:type="continuationSeparator" w:id="0">
    <w:p w14:paraId="7EA3F661" w14:textId="77777777" w:rsidR="004C2944" w:rsidRDefault="004C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7B8E" w14:textId="77777777" w:rsidR="004C2944" w:rsidRDefault="004C2944">
      <w:r>
        <w:separator/>
      </w:r>
    </w:p>
  </w:footnote>
  <w:footnote w:type="continuationSeparator" w:id="0">
    <w:p w14:paraId="4ECDCE08" w14:textId="77777777" w:rsidR="004C2944" w:rsidRDefault="004C2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655A2264" w14:paraId="351CB800" w14:textId="77777777" w:rsidTr="655A2264">
      <w:trPr>
        <w:trHeight w:val="300"/>
      </w:trPr>
      <w:tc>
        <w:tcPr>
          <w:tcW w:w="3080" w:type="dxa"/>
        </w:tcPr>
        <w:p w14:paraId="54361FD3" w14:textId="046418CB" w:rsidR="655A2264" w:rsidRDefault="655A2264" w:rsidP="655A2264">
          <w:pPr>
            <w:pStyle w:val="Header"/>
            <w:ind w:left="-115"/>
          </w:pPr>
        </w:p>
      </w:tc>
      <w:tc>
        <w:tcPr>
          <w:tcW w:w="3080" w:type="dxa"/>
        </w:tcPr>
        <w:p w14:paraId="56940429" w14:textId="1207CA05" w:rsidR="655A2264" w:rsidRDefault="655A2264" w:rsidP="655A2264">
          <w:pPr>
            <w:pStyle w:val="Header"/>
            <w:jc w:val="center"/>
          </w:pPr>
        </w:p>
      </w:tc>
      <w:tc>
        <w:tcPr>
          <w:tcW w:w="3080" w:type="dxa"/>
        </w:tcPr>
        <w:p w14:paraId="6B9F5285" w14:textId="2140C7E3" w:rsidR="655A2264" w:rsidRDefault="655A2264" w:rsidP="655A2264">
          <w:pPr>
            <w:pStyle w:val="Header"/>
            <w:ind w:right="-115"/>
            <w:jc w:val="right"/>
          </w:pPr>
        </w:p>
      </w:tc>
    </w:tr>
  </w:tbl>
  <w:p w14:paraId="008B1A56" w14:textId="7CA599EE" w:rsidR="655A2264" w:rsidRDefault="655A2264" w:rsidP="655A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E68C9"/>
    <w:multiLevelType w:val="hybridMultilevel"/>
    <w:tmpl w:val="8E48F932"/>
    <w:lvl w:ilvl="0" w:tplc="BFDA8EC2">
      <w:numFmt w:val="bullet"/>
      <w:lvlText w:val=""/>
      <w:lvlJc w:val="left"/>
      <w:pPr>
        <w:ind w:left="821" w:hanging="360"/>
      </w:pPr>
      <w:rPr>
        <w:rFonts w:ascii="Symbol" w:eastAsia="Symbol" w:hAnsi="Symbol" w:cs="Symbol" w:hint="default"/>
        <w:w w:val="100"/>
        <w:sz w:val="22"/>
        <w:szCs w:val="22"/>
        <w:lang w:val="en-US" w:eastAsia="en-US" w:bidi="ar-SA"/>
      </w:rPr>
    </w:lvl>
    <w:lvl w:ilvl="1" w:tplc="185A85C8">
      <w:numFmt w:val="bullet"/>
      <w:lvlText w:val="•"/>
      <w:lvlJc w:val="left"/>
      <w:pPr>
        <w:ind w:left="1662" w:hanging="360"/>
      </w:pPr>
      <w:rPr>
        <w:rFonts w:hint="default"/>
        <w:lang w:val="en-US" w:eastAsia="en-US" w:bidi="ar-SA"/>
      </w:rPr>
    </w:lvl>
    <w:lvl w:ilvl="2" w:tplc="EACC5972">
      <w:numFmt w:val="bullet"/>
      <w:lvlText w:val="•"/>
      <w:lvlJc w:val="left"/>
      <w:pPr>
        <w:ind w:left="2505" w:hanging="360"/>
      </w:pPr>
      <w:rPr>
        <w:rFonts w:hint="default"/>
        <w:lang w:val="en-US" w:eastAsia="en-US" w:bidi="ar-SA"/>
      </w:rPr>
    </w:lvl>
    <w:lvl w:ilvl="3" w:tplc="BF7EEF54">
      <w:numFmt w:val="bullet"/>
      <w:lvlText w:val="•"/>
      <w:lvlJc w:val="left"/>
      <w:pPr>
        <w:ind w:left="3347" w:hanging="360"/>
      </w:pPr>
      <w:rPr>
        <w:rFonts w:hint="default"/>
        <w:lang w:val="en-US" w:eastAsia="en-US" w:bidi="ar-SA"/>
      </w:rPr>
    </w:lvl>
    <w:lvl w:ilvl="4" w:tplc="330A7524">
      <w:numFmt w:val="bullet"/>
      <w:lvlText w:val="•"/>
      <w:lvlJc w:val="left"/>
      <w:pPr>
        <w:ind w:left="4190" w:hanging="360"/>
      </w:pPr>
      <w:rPr>
        <w:rFonts w:hint="default"/>
        <w:lang w:val="en-US" w:eastAsia="en-US" w:bidi="ar-SA"/>
      </w:rPr>
    </w:lvl>
    <w:lvl w:ilvl="5" w:tplc="6DB2BC6C">
      <w:numFmt w:val="bullet"/>
      <w:lvlText w:val="•"/>
      <w:lvlJc w:val="left"/>
      <w:pPr>
        <w:ind w:left="5032" w:hanging="360"/>
      </w:pPr>
      <w:rPr>
        <w:rFonts w:hint="default"/>
        <w:lang w:val="en-US" w:eastAsia="en-US" w:bidi="ar-SA"/>
      </w:rPr>
    </w:lvl>
    <w:lvl w:ilvl="6" w:tplc="2446D61A">
      <w:numFmt w:val="bullet"/>
      <w:lvlText w:val="•"/>
      <w:lvlJc w:val="left"/>
      <w:pPr>
        <w:ind w:left="5875" w:hanging="360"/>
      </w:pPr>
      <w:rPr>
        <w:rFonts w:hint="default"/>
        <w:lang w:val="en-US" w:eastAsia="en-US" w:bidi="ar-SA"/>
      </w:rPr>
    </w:lvl>
    <w:lvl w:ilvl="7" w:tplc="51C0C32E">
      <w:numFmt w:val="bullet"/>
      <w:lvlText w:val="•"/>
      <w:lvlJc w:val="left"/>
      <w:pPr>
        <w:ind w:left="6717" w:hanging="360"/>
      </w:pPr>
      <w:rPr>
        <w:rFonts w:hint="default"/>
        <w:lang w:val="en-US" w:eastAsia="en-US" w:bidi="ar-SA"/>
      </w:rPr>
    </w:lvl>
    <w:lvl w:ilvl="8" w:tplc="54EC387A">
      <w:numFmt w:val="bullet"/>
      <w:lvlText w:val="•"/>
      <w:lvlJc w:val="left"/>
      <w:pPr>
        <w:ind w:left="7560" w:hanging="360"/>
      </w:pPr>
      <w:rPr>
        <w:rFonts w:hint="default"/>
        <w:lang w:val="en-US" w:eastAsia="en-US" w:bidi="ar-SA"/>
      </w:rPr>
    </w:lvl>
  </w:abstractNum>
  <w:abstractNum w:abstractNumId="1" w15:restartNumberingAfterBreak="0">
    <w:nsid w:val="5B993555"/>
    <w:multiLevelType w:val="multilevel"/>
    <w:tmpl w:val="6B4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BC5B11"/>
    <w:multiLevelType w:val="hybridMultilevel"/>
    <w:tmpl w:val="16041348"/>
    <w:lvl w:ilvl="0" w:tplc="6582A7C8">
      <w:numFmt w:val="bullet"/>
      <w:lvlText w:val=""/>
      <w:lvlJc w:val="left"/>
      <w:pPr>
        <w:ind w:left="720" w:hanging="360"/>
      </w:pPr>
      <w:rPr>
        <w:rFonts w:ascii="Symbol" w:eastAsia="Arial MT" w:hAnsi="Symbol"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D3150"/>
    <w:multiLevelType w:val="multilevel"/>
    <w:tmpl w:val="FE8C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B202F"/>
    <w:multiLevelType w:val="multilevel"/>
    <w:tmpl w:val="BEF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385723">
    <w:abstractNumId w:val="0"/>
  </w:num>
  <w:num w:numId="2" w16cid:durableId="1718317179">
    <w:abstractNumId w:val="3"/>
  </w:num>
  <w:num w:numId="3" w16cid:durableId="712466194">
    <w:abstractNumId w:val="1"/>
  </w:num>
  <w:num w:numId="4" w16cid:durableId="2126194352">
    <w:abstractNumId w:val="4"/>
  </w:num>
  <w:num w:numId="5" w16cid:durableId="133059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5D04"/>
    <w:rsid w:val="000236C9"/>
    <w:rsid w:val="000A5855"/>
    <w:rsid w:val="00165DF8"/>
    <w:rsid w:val="00185D04"/>
    <w:rsid w:val="00295DDE"/>
    <w:rsid w:val="003C4775"/>
    <w:rsid w:val="004C2944"/>
    <w:rsid w:val="004F1A64"/>
    <w:rsid w:val="006928F4"/>
    <w:rsid w:val="00815301"/>
    <w:rsid w:val="00881424"/>
    <w:rsid w:val="008A0562"/>
    <w:rsid w:val="00993014"/>
    <w:rsid w:val="00A557DE"/>
    <w:rsid w:val="00B55A23"/>
    <w:rsid w:val="00B57F79"/>
    <w:rsid w:val="00C074C7"/>
    <w:rsid w:val="00D164F1"/>
    <w:rsid w:val="00E70A02"/>
    <w:rsid w:val="00F768F0"/>
    <w:rsid w:val="00FA2349"/>
    <w:rsid w:val="090A4E96"/>
    <w:rsid w:val="17FB0182"/>
    <w:rsid w:val="226BE773"/>
    <w:rsid w:val="4DCD745A"/>
    <w:rsid w:val="5188FD4B"/>
    <w:rsid w:val="51DBAE9E"/>
    <w:rsid w:val="5E24AD20"/>
    <w:rsid w:val="655A2264"/>
    <w:rsid w:val="78633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3EB302"/>
  <w15:docId w15:val="{27E20195-6ACE-47C7-B1D6-DDB86DC6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0"/>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F768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00"/>
    </w:pPr>
    <w:rPr>
      <w:rFonts w:ascii="Arial" w:eastAsia="Arial" w:hAnsi="Arial" w:cs="Arial"/>
      <w:b/>
      <w:bCs/>
      <w:sz w:val="32"/>
      <w:szCs w:val="32"/>
    </w:rPr>
  </w:style>
  <w:style w:type="paragraph" w:styleId="ListParagraph">
    <w:name w:val="List Paragraph"/>
    <w:basedOn w:val="Normal"/>
    <w:uiPriority w:val="1"/>
    <w:qFormat/>
    <w:pPr>
      <w:spacing w:before="33"/>
      <w:ind w:left="821" w:right="294" w:hanging="360"/>
    </w:pPr>
  </w:style>
  <w:style w:type="paragraph" w:customStyle="1" w:styleId="TableParagraph">
    <w:name w:val="Table Paragraph"/>
    <w:basedOn w:val="Normal"/>
    <w:uiPriority w:val="1"/>
    <w:qFormat/>
    <w:pPr>
      <w:spacing w:before="170"/>
      <w:ind w:left="105"/>
    </w:pPr>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ing2Char">
    <w:name w:val="Heading 2 Char"/>
    <w:basedOn w:val="DefaultParagraphFont"/>
    <w:link w:val="Heading2"/>
    <w:uiPriority w:val="9"/>
    <w:semiHidden/>
    <w:rsid w:val="00F768F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768F0"/>
    <w:rPr>
      <w:color w:val="0000FF" w:themeColor="hyperlink"/>
      <w:u w:val="single"/>
    </w:rPr>
  </w:style>
  <w:style w:type="character" w:styleId="UnresolvedMention">
    <w:name w:val="Unresolved Mention"/>
    <w:basedOn w:val="DefaultParagraphFont"/>
    <w:uiPriority w:val="99"/>
    <w:semiHidden/>
    <w:unhideWhenUsed/>
    <w:rsid w:val="00F76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klane.cheshire.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Props1.xml><?xml version="1.0" encoding="utf-8"?>
<ds:datastoreItem xmlns:ds="http://schemas.openxmlformats.org/officeDocument/2006/customXml" ds:itemID="{120D1DCD-82AD-4192-9836-A6DC334F393E}"/>
</file>

<file path=customXml/itemProps2.xml><?xml version="1.0" encoding="utf-8"?>
<ds:datastoreItem xmlns:ds="http://schemas.openxmlformats.org/officeDocument/2006/customXml" ds:itemID="{E2A25E50-54CE-4D69-B241-1D249B570D79}">
  <ds:schemaRefs>
    <ds:schemaRef ds:uri="http://schemas.microsoft.com/sharepoint/v3/contenttype/forms"/>
  </ds:schemaRefs>
</ds:datastoreItem>
</file>

<file path=customXml/itemProps3.xml><?xml version="1.0" encoding="utf-8"?>
<ds:datastoreItem xmlns:ds="http://schemas.openxmlformats.org/officeDocument/2006/customXml" ds:itemID="{F9614326-E5C6-480E-BDED-05C2CC30F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Park Lane School Head</cp:lastModifiedBy>
  <cp:revision>19</cp:revision>
  <dcterms:created xsi:type="dcterms:W3CDTF">2023-05-03T11:46:00Z</dcterms:created>
  <dcterms:modified xsi:type="dcterms:W3CDTF">2025-09-27T14:49:00Z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vt:lpwstr>
  </property>
  <property fmtid="{D5CDD505-2E9C-101B-9397-08002B2CF9AE}" pid="4" name="LastSaved">
    <vt:filetime>2023-05-03T00:00:00Z</vt:filetime>
  </property>
  <property fmtid="{D5CDD505-2E9C-101B-9397-08002B2CF9AE}" pid="5" name="ContentTypeId">
    <vt:lpwstr>0x010100C8DB0D602B384440B643A8195930B192</vt:lpwstr>
  </property>
  <property fmtid="{D5CDD505-2E9C-101B-9397-08002B2CF9AE}" pid="6" name="MediaServiceImageTags">
    <vt:lpwstr/>
  </property>
</Properties>
</file>