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65D70" w14:textId="5F652992" w:rsidR="0044675C" w:rsidRPr="00A3631B" w:rsidRDefault="00A300B5">
      <w:pPr>
        <w:spacing w:before="240" w:after="240"/>
        <w:rPr>
          <w:b/>
          <w:bCs/>
        </w:rPr>
      </w:pPr>
      <w:r w:rsidRPr="00A3631B">
        <w:rPr>
          <w:b/>
          <w:bCs/>
          <w:color w:val="000000"/>
          <w:sz w:val="24"/>
          <w:szCs w:val="24"/>
        </w:rPr>
        <w:t>Birchfield Nursery School Pupil Premium Strategy</w:t>
      </w:r>
      <w:r>
        <w:rPr>
          <w:b/>
          <w:bCs/>
          <w:color w:val="000000"/>
          <w:sz w:val="24"/>
          <w:szCs w:val="24"/>
        </w:rPr>
        <w:t xml:space="preserve"> 2025-26</w:t>
      </w:r>
    </w:p>
    <w:p w14:paraId="7D6B356F" w14:textId="77777777" w:rsidR="00A3631B" w:rsidRDefault="00000000" w:rsidP="00A3631B">
      <w:r>
        <w:pict w14:anchorId="61EDF3CE">
          <v:rect id="_x0000_i1026" style="width:0;height:1.5pt" o:bullet="t" o:hrstd="t" o:hrnoshade="t" o:hr="t" fillcolor="#aca899" stroked="f"/>
        </w:pict>
      </w:r>
    </w:p>
    <w:p w14:paraId="4A48F262" w14:textId="77777777" w:rsidR="0044675C" w:rsidRPr="00A3631B" w:rsidRDefault="00A300B5" w:rsidP="00A300B5">
      <w:pPr>
        <w:spacing w:before="240" w:after="240"/>
        <w:jc w:val="center"/>
        <w:rPr>
          <w:b/>
          <w:bCs/>
          <w:u w:val="single"/>
        </w:rPr>
      </w:pPr>
      <w:r w:rsidRPr="00A3631B">
        <w:rPr>
          <w:b/>
          <w:bCs/>
          <w:color w:val="000000"/>
          <w:sz w:val="24"/>
          <w:szCs w:val="24"/>
          <w:u w:val="single"/>
        </w:rPr>
        <w:t>Statement of Intent</w:t>
      </w:r>
    </w:p>
    <w:p w14:paraId="6B877B9B" w14:textId="77777777" w:rsidR="0044675C" w:rsidRPr="00A3631B" w:rsidRDefault="00A300B5">
      <w:pPr>
        <w:spacing w:before="240" w:after="240"/>
        <w:rPr>
          <w:b/>
          <w:bCs/>
          <w:sz w:val="24"/>
          <w:szCs w:val="24"/>
        </w:rPr>
      </w:pPr>
      <w:r w:rsidRPr="00A3631B">
        <w:rPr>
          <w:b/>
          <w:bCs/>
          <w:color w:val="000000"/>
          <w:sz w:val="24"/>
          <w:szCs w:val="24"/>
        </w:rPr>
        <w:t>Ultimate objectives for disadvantaged pupils</w:t>
      </w:r>
    </w:p>
    <w:p w14:paraId="479DD9A0" w14:textId="77777777" w:rsidR="0044675C" w:rsidRPr="00A3631B" w:rsidRDefault="00A300B5">
      <w:pPr>
        <w:numPr>
          <w:ilvl w:val="0"/>
          <w:numId w:val="8"/>
        </w:numPr>
        <w:rPr>
          <w:color w:val="000000"/>
          <w:sz w:val="24"/>
          <w:szCs w:val="24"/>
        </w:rPr>
      </w:pPr>
      <w:r w:rsidRPr="00A3631B">
        <w:rPr>
          <w:color w:val="000000"/>
          <w:sz w:val="24"/>
          <w:szCs w:val="24"/>
        </w:rPr>
        <w:t>Ensure every disadvantaged child (including those with SEND and those who are preverbal) makes strong progress from their individual starting points in communication, personal, social &amp; emotional development (PSED / self‑regulation) and physical development so they enter Reception ready to thrive.</w:t>
      </w:r>
    </w:p>
    <w:p w14:paraId="0DB2B3C2" w14:textId="77777777" w:rsidR="0044675C" w:rsidRPr="00A3631B" w:rsidRDefault="00A300B5">
      <w:pPr>
        <w:numPr>
          <w:ilvl w:val="0"/>
          <w:numId w:val="8"/>
        </w:numPr>
        <w:rPr>
          <w:color w:val="000000"/>
          <w:sz w:val="24"/>
          <w:szCs w:val="24"/>
        </w:rPr>
      </w:pPr>
      <w:r w:rsidRPr="00A3631B">
        <w:rPr>
          <w:color w:val="000000"/>
          <w:sz w:val="24"/>
          <w:szCs w:val="24"/>
        </w:rPr>
        <w:t>Narrow the gap between disadvantaged and non‑disadvantaged peers in early communication, independence (self‑help), and self‑regulation so that disadvantaged children achieve parity with peers by the end of their nursery placement.</w:t>
      </w:r>
    </w:p>
    <w:p w14:paraId="1BA6CAC8" w14:textId="77777777" w:rsidR="0044675C" w:rsidRPr="00A3631B" w:rsidRDefault="00A300B5">
      <w:pPr>
        <w:numPr>
          <w:ilvl w:val="0"/>
          <w:numId w:val="8"/>
        </w:numPr>
        <w:rPr>
          <w:color w:val="000000"/>
          <w:sz w:val="24"/>
          <w:szCs w:val="24"/>
        </w:rPr>
      </w:pPr>
      <w:r w:rsidRPr="00A3631B">
        <w:rPr>
          <w:color w:val="000000"/>
          <w:sz w:val="24"/>
          <w:szCs w:val="24"/>
        </w:rPr>
        <w:t>Ensure disadvantaged children achieve increased school readiness (language, early literacy foundations, social skills, motor skills and independence) and improved attendance in line with national expectations (95%).</w:t>
      </w:r>
    </w:p>
    <w:p w14:paraId="68BE2210" w14:textId="77777777" w:rsidR="0044675C" w:rsidRPr="00A3631B" w:rsidRDefault="00A300B5">
      <w:pPr>
        <w:spacing w:before="240" w:after="240"/>
        <w:rPr>
          <w:b/>
          <w:bCs/>
          <w:sz w:val="24"/>
          <w:szCs w:val="24"/>
        </w:rPr>
      </w:pPr>
      <w:r w:rsidRPr="00A3631B">
        <w:rPr>
          <w:b/>
          <w:bCs/>
          <w:color w:val="000000"/>
          <w:sz w:val="24"/>
          <w:szCs w:val="24"/>
        </w:rPr>
        <w:t>How this strategy works towards those objectives</w:t>
      </w:r>
    </w:p>
    <w:p w14:paraId="612D9D9F" w14:textId="77777777" w:rsidR="0044675C" w:rsidRPr="00A3631B" w:rsidRDefault="00A300B5">
      <w:pPr>
        <w:numPr>
          <w:ilvl w:val="0"/>
          <w:numId w:val="8"/>
        </w:numPr>
        <w:rPr>
          <w:color w:val="000000"/>
          <w:sz w:val="24"/>
          <w:szCs w:val="24"/>
        </w:rPr>
      </w:pPr>
      <w:r w:rsidRPr="00A3631B">
        <w:rPr>
          <w:color w:val="000000"/>
          <w:sz w:val="24"/>
          <w:szCs w:val="24"/>
        </w:rPr>
        <w:t>We adopt an evidence‑informed three‑tier approach aligned to the DfE Menu of Approaches (Tier 1: High‑quality teaching; Tier 2: Targeted academic support; Tier 3: Wider strategies). Each activity is selected because it targets a primary barrier identified in our context data and is supported by high‑quality research from the Education Endowment Foundation (EEF) and associated EEF guidance for the Early Years.</w:t>
      </w:r>
    </w:p>
    <w:p w14:paraId="2E04C67D" w14:textId="77777777" w:rsidR="0044675C" w:rsidRPr="00A3631B" w:rsidRDefault="00A300B5">
      <w:pPr>
        <w:numPr>
          <w:ilvl w:val="0"/>
          <w:numId w:val="8"/>
        </w:numPr>
        <w:rPr>
          <w:color w:val="000000"/>
          <w:sz w:val="24"/>
          <w:szCs w:val="24"/>
        </w:rPr>
      </w:pPr>
      <w:r w:rsidRPr="00A3631B">
        <w:rPr>
          <w:color w:val="000000"/>
          <w:sz w:val="24"/>
          <w:szCs w:val="24"/>
        </w:rPr>
        <w:t>We focus on strengthening foundational classroom practice (high‑quality interactions; a clear curriculum of essential knowledge), targeted small‑group and one‑to‑one interventions for language, self‑regulation and motor skills, and wider family/attendance supports that remove non‑learning barriers.</w:t>
      </w:r>
    </w:p>
    <w:p w14:paraId="083F6834" w14:textId="77777777" w:rsidR="0044675C" w:rsidRPr="00A3631B" w:rsidRDefault="00A300B5">
      <w:pPr>
        <w:numPr>
          <w:ilvl w:val="0"/>
          <w:numId w:val="8"/>
        </w:numPr>
        <w:rPr>
          <w:color w:val="000000"/>
          <w:sz w:val="24"/>
          <w:szCs w:val="24"/>
        </w:rPr>
      </w:pPr>
      <w:r w:rsidRPr="00A3631B">
        <w:rPr>
          <w:color w:val="000000"/>
          <w:sz w:val="24"/>
          <w:szCs w:val="24"/>
        </w:rPr>
        <w:t>We will pair professional development (CPD and coaching), consistent assessment practises tied to our intended curriculum, and robust monitoring so that decisions are data‑driven and interventions are adapted quickly.</w:t>
      </w:r>
    </w:p>
    <w:p w14:paraId="038D4E9D" w14:textId="77777777" w:rsidR="0044675C" w:rsidRPr="00A3631B" w:rsidRDefault="00A300B5">
      <w:pPr>
        <w:spacing w:before="240" w:after="240"/>
        <w:rPr>
          <w:b/>
          <w:bCs/>
          <w:sz w:val="24"/>
          <w:szCs w:val="24"/>
        </w:rPr>
      </w:pPr>
      <w:r w:rsidRPr="00A3631B">
        <w:rPr>
          <w:b/>
          <w:bCs/>
          <w:color w:val="000000"/>
          <w:sz w:val="24"/>
          <w:szCs w:val="24"/>
        </w:rPr>
        <w:t>Key principles of the strategy</w:t>
      </w:r>
    </w:p>
    <w:p w14:paraId="5F0D8798" w14:textId="4C1C00D6" w:rsidR="0044675C" w:rsidRPr="00A3631B" w:rsidRDefault="00A300B5">
      <w:pPr>
        <w:numPr>
          <w:ilvl w:val="0"/>
          <w:numId w:val="8"/>
        </w:numPr>
        <w:rPr>
          <w:color w:val="000000"/>
          <w:sz w:val="24"/>
          <w:szCs w:val="24"/>
        </w:rPr>
      </w:pPr>
      <w:r w:rsidRPr="00A3631B">
        <w:rPr>
          <w:color w:val="000000"/>
          <w:sz w:val="24"/>
          <w:szCs w:val="24"/>
        </w:rPr>
        <w:t>Universal first: maximize impact through consistently high‑quality, evidence‑informed pedagogy for all children (Tier 1).</w:t>
      </w:r>
    </w:p>
    <w:p w14:paraId="2517B2A7" w14:textId="77777777" w:rsidR="0044675C" w:rsidRPr="00A3631B" w:rsidRDefault="00A300B5">
      <w:pPr>
        <w:numPr>
          <w:ilvl w:val="0"/>
          <w:numId w:val="8"/>
        </w:numPr>
        <w:rPr>
          <w:color w:val="000000"/>
          <w:sz w:val="24"/>
          <w:szCs w:val="24"/>
        </w:rPr>
      </w:pPr>
      <w:r w:rsidRPr="00A3631B">
        <w:rPr>
          <w:color w:val="000000"/>
          <w:sz w:val="24"/>
          <w:szCs w:val="24"/>
        </w:rPr>
        <w:t>Targeted intensity: use small‑group and 1:1 evidence‑based interventions delivered by trained staff for children with identified needs (Tier 2).</w:t>
      </w:r>
    </w:p>
    <w:p w14:paraId="192D81BE" w14:textId="77777777" w:rsidR="0044675C" w:rsidRPr="00A3631B" w:rsidRDefault="00A300B5">
      <w:pPr>
        <w:numPr>
          <w:ilvl w:val="0"/>
          <w:numId w:val="8"/>
        </w:numPr>
        <w:rPr>
          <w:color w:val="000000"/>
          <w:sz w:val="24"/>
          <w:szCs w:val="24"/>
        </w:rPr>
      </w:pPr>
      <w:r w:rsidRPr="00A3631B">
        <w:rPr>
          <w:color w:val="000000"/>
          <w:sz w:val="24"/>
          <w:szCs w:val="24"/>
        </w:rPr>
        <w:t>Whole‑child support: address practical barriers (attendance, family engagement, health referrals), self‑regulation and wellbeing through Tier 3 strategies.</w:t>
      </w:r>
    </w:p>
    <w:p w14:paraId="01D71E09" w14:textId="77777777" w:rsidR="0044675C" w:rsidRPr="00A3631B" w:rsidRDefault="00A300B5">
      <w:pPr>
        <w:numPr>
          <w:ilvl w:val="0"/>
          <w:numId w:val="8"/>
        </w:numPr>
        <w:rPr>
          <w:color w:val="000000"/>
          <w:sz w:val="24"/>
          <w:szCs w:val="24"/>
        </w:rPr>
      </w:pPr>
      <w:r w:rsidRPr="00A3631B">
        <w:rPr>
          <w:color w:val="000000"/>
          <w:sz w:val="24"/>
          <w:szCs w:val="24"/>
        </w:rPr>
        <w:lastRenderedPageBreak/>
        <w:t>Professional development &amp; fidelity: invest in staff training, coaching and implementation support — evidence shows high‑quality delivery is crucial to impact.</w:t>
      </w:r>
    </w:p>
    <w:p w14:paraId="34A7E1BD" w14:textId="77777777" w:rsidR="0044675C" w:rsidRPr="00A3631B" w:rsidRDefault="00A300B5">
      <w:pPr>
        <w:numPr>
          <w:ilvl w:val="0"/>
          <w:numId w:val="8"/>
        </w:numPr>
        <w:rPr>
          <w:color w:val="000000"/>
          <w:sz w:val="24"/>
          <w:szCs w:val="24"/>
        </w:rPr>
      </w:pPr>
      <w:r w:rsidRPr="00A3631B">
        <w:rPr>
          <w:color w:val="000000"/>
          <w:sz w:val="24"/>
          <w:szCs w:val="24"/>
        </w:rPr>
        <w:t>Curriculum‑led assessment: assessment will measure children’s learning of the school’s intended curriculum (not over‑reliance on national age bands), addressing a key finding from Ofsted about clearer essential knowledge and curriculum assessment.</w:t>
      </w:r>
    </w:p>
    <w:p w14:paraId="278BD86B" w14:textId="77777777" w:rsidR="0044675C" w:rsidRPr="00A3631B" w:rsidRDefault="00A300B5">
      <w:pPr>
        <w:numPr>
          <w:ilvl w:val="0"/>
          <w:numId w:val="8"/>
        </w:numPr>
        <w:rPr>
          <w:color w:val="000000"/>
          <w:sz w:val="24"/>
          <w:szCs w:val="24"/>
        </w:rPr>
      </w:pPr>
      <w:r w:rsidRPr="00A3631B">
        <w:rPr>
          <w:color w:val="000000"/>
          <w:sz w:val="24"/>
          <w:szCs w:val="24"/>
        </w:rPr>
        <w:t xml:space="preserve">Evaluate and </w:t>
      </w:r>
      <w:proofErr w:type="gramStart"/>
      <w:r w:rsidRPr="00A3631B">
        <w:rPr>
          <w:color w:val="000000"/>
          <w:sz w:val="24"/>
          <w:szCs w:val="24"/>
        </w:rPr>
        <w:t>iterate:</w:t>
      </w:r>
      <w:proofErr w:type="gramEnd"/>
      <w:r w:rsidRPr="00A3631B">
        <w:rPr>
          <w:color w:val="000000"/>
          <w:sz w:val="24"/>
          <w:szCs w:val="24"/>
        </w:rPr>
        <w:t xml:space="preserve"> set measurable success criteria, </w:t>
      </w:r>
      <w:proofErr w:type="gramStart"/>
      <w:r w:rsidRPr="00A3631B">
        <w:rPr>
          <w:color w:val="000000"/>
          <w:sz w:val="24"/>
          <w:szCs w:val="24"/>
        </w:rPr>
        <w:t>review</w:t>
      </w:r>
      <w:proofErr w:type="gramEnd"/>
      <w:r w:rsidRPr="00A3631B">
        <w:rPr>
          <w:color w:val="000000"/>
          <w:sz w:val="24"/>
          <w:szCs w:val="24"/>
        </w:rPr>
        <w:t xml:space="preserve"> termly, and reallocate resources to what demonstrably works for our cohort.</w:t>
      </w:r>
    </w:p>
    <w:p w14:paraId="3AFA59A9" w14:textId="77777777" w:rsidR="0044675C" w:rsidRPr="00A3631B" w:rsidRDefault="00A300B5">
      <w:pPr>
        <w:spacing w:before="240" w:after="240"/>
        <w:rPr>
          <w:i/>
          <w:iCs/>
          <w:sz w:val="24"/>
          <w:szCs w:val="24"/>
        </w:rPr>
      </w:pPr>
      <w:r w:rsidRPr="00A3631B">
        <w:rPr>
          <w:i/>
          <w:iCs/>
          <w:color w:val="000000"/>
          <w:sz w:val="24"/>
          <w:szCs w:val="24"/>
        </w:rPr>
        <w:t>Evidence base (key sources informing the strategy)</w:t>
      </w:r>
    </w:p>
    <w:p w14:paraId="314E8B9A" w14:textId="77777777" w:rsidR="0044675C" w:rsidRPr="00A3631B" w:rsidRDefault="00A300B5">
      <w:pPr>
        <w:numPr>
          <w:ilvl w:val="0"/>
          <w:numId w:val="8"/>
        </w:numPr>
        <w:rPr>
          <w:i/>
          <w:iCs/>
          <w:color w:val="000000"/>
          <w:sz w:val="24"/>
          <w:szCs w:val="24"/>
        </w:rPr>
      </w:pPr>
      <w:r w:rsidRPr="00A3631B">
        <w:rPr>
          <w:i/>
          <w:iCs/>
          <w:color w:val="000000"/>
          <w:sz w:val="24"/>
          <w:szCs w:val="24"/>
        </w:rPr>
        <w:t xml:space="preserve">EEF — Communication &amp; language approaches (Early Years Toolkit) and Preparing for Literacy guidance: communication approaches show very high average impact in early years and emphasise high‑quality interactions, shared reading, vocabulary work and targeted small group programmes </w:t>
      </w:r>
      <w:hyperlink r:id="rId10" w:history="1">
        <w:r w:rsidRPr="00A3631B">
          <w:rPr>
            <w:rStyle w:val="DefaultParagraphFontPHPDOCX"/>
            <w:i/>
            <w:iCs/>
            <w:color w:val="0000CC"/>
            <w:sz w:val="24"/>
            <w:szCs w:val="24"/>
            <w:u w:val="single" w:color="000000"/>
          </w:rPr>
          <w:t>EEF: Communication and language approaches</w:t>
        </w:r>
      </w:hyperlink>
      <w:r w:rsidRPr="00A3631B">
        <w:rPr>
          <w:i/>
          <w:iCs/>
          <w:color w:val="000000"/>
          <w:sz w:val="24"/>
          <w:szCs w:val="24"/>
        </w:rPr>
        <w:t xml:space="preserve"> and </w:t>
      </w:r>
      <w:hyperlink r:id="rId11" w:history="1">
        <w:r w:rsidRPr="00A3631B">
          <w:rPr>
            <w:rStyle w:val="DefaultParagraphFontPHPDOCX"/>
            <w:i/>
            <w:iCs/>
            <w:color w:val="0000CC"/>
            <w:sz w:val="24"/>
            <w:szCs w:val="24"/>
            <w:u w:val="single" w:color="000000"/>
          </w:rPr>
          <w:t>EEF: Preparing for Literacy (guidance report)</w:t>
        </w:r>
      </w:hyperlink>
      <w:r w:rsidRPr="00A3631B">
        <w:rPr>
          <w:i/>
          <w:iCs/>
          <w:color w:val="000000"/>
          <w:sz w:val="24"/>
          <w:szCs w:val="24"/>
        </w:rPr>
        <w:t>.</w:t>
      </w:r>
    </w:p>
    <w:p w14:paraId="2D4E594E" w14:textId="77777777" w:rsidR="0044675C" w:rsidRPr="00A3631B" w:rsidRDefault="00A300B5">
      <w:pPr>
        <w:numPr>
          <w:ilvl w:val="0"/>
          <w:numId w:val="8"/>
        </w:numPr>
        <w:rPr>
          <w:i/>
          <w:iCs/>
          <w:color w:val="000000"/>
          <w:sz w:val="24"/>
          <w:szCs w:val="24"/>
        </w:rPr>
      </w:pPr>
      <w:r w:rsidRPr="00A3631B">
        <w:rPr>
          <w:i/>
          <w:iCs/>
          <w:color w:val="000000"/>
          <w:sz w:val="24"/>
          <w:szCs w:val="24"/>
        </w:rPr>
        <w:t xml:space="preserve">EEF — Nuffield Early Language Intervention (NELI) evidence for targeted small group/1:1 language intervention </w:t>
      </w:r>
      <w:hyperlink r:id="rId12" w:history="1">
        <w:r w:rsidRPr="00A3631B">
          <w:rPr>
            <w:rStyle w:val="DefaultParagraphFontPHPDOCX"/>
            <w:i/>
            <w:iCs/>
            <w:color w:val="0000CC"/>
            <w:sz w:val="24"/>
            <w:szCs w:val="24"/>
            <w:u w:val="single" w:color="000000"/>
          </w:rPr>
          <w:t>EEF: Nuffield Early Language Intervention (NELI)</w:t>
        </w:r>
      </w:hyperlink>
      <w:r w:rsidRPr="00A3631B">
        <w:rPr>
          <w:i/>
          <w:iCs/>
          <w:color w:val="000000"/>
          <w:sz w:val="24"/>
          <w:szCs w:val="24"/>
        </w:rPr>
        <w:t>.</w:t>
      </w:r>
    </w:p>
    <w:p w14:paraId="31C4CE51" w14:textId="77777777" w:rsidR="0044675C" w:rsidRPr="00A3631B" w:rsidRDefault="00A300B5">
      <w:pPr>
        <w:numPr>
          <w:ilvl w:val="0"/>
          <w:numId w:val="8"/>
        </w:numPr>
        <w:rPr>
          <w:i/>
          <w:iCs/>
          <w:color w:val="000000"/>
          <w:sz w:val="24"/>
          <w:szCs w:val="24"/>
        </w:rPr>
      </w:pPr>
      <w:r w:rsidRPr="00A3631B">
        <w:rPr>
          <w:i/>
          <w:iCs/>
          <w:color w:val="000000"/>
          <w:sz w:val="24"/>
          <w:szCs w:val="24"/>
        </w:rPr>
        <w:t xml:space="preserve">EEF — Self‑regulation and executive function evidence (Early Years Evidence Store) for approaches such as Plan‑Do‑Review and explicit teaching of self‑awareness skills </w:t>
      </w:r>
      <w:hyperlink r:id="rId13" w:history="1">
        <w:r w:rsidRPr="00A3631B">
          <w:rPr>
            <w:rStyle w:val="DefaultParagraphFontPHPDOCX"/>
            <w:i/>
            <w:iCs/>
            <w:color w:val="0000CC"/>
            <w:sz w:val="24"/>
            <w:szCs w:val="24"/>
            <w:u w:val="single" w:color="000000"/>
          </w:rPr>
          <w:t>EEF: Self‑regulation and Executive Function</w:t>
        </w:r>
      </w:hyperlink>
      <w:r w:rsidRPr="00A3631B">
        <w:rPr>
          <w:i/>
          <w:iCs/>
          <w:color w:val="000000"/>
          <w:sz w:val="24"/>
          <w:szCs w:val="24"/>
        </w:rPr>
        <w:t>.</w:t>
      </w:r>
    </w:p>
    <w:p w14:paraId="662BD01E" w14:textId="77777777" w:rsidR="0044675C" w:rsidRPr="00A3631B" w:rsidRDefault="00A300B5">
      <w:pPr>
        <w:numPr>
          <w:ilvl w:val="0"/>
          <w:numId w:val="8"/>
        </w:numPr>
        <w:rPr>
          <w:i/>
          <w:iCs/>
          <w:color w:val="000000"/>
          <w:sz w:val="24"/>
          <w:szCs w:val="24"/>
        </w:rPr>
      </w:pPr>
      <w:r w:rsidRPr="00A3631B">
        <w:rPr>
          <w:i/>
          <w:iCs/>
          <w:color w:val="000000"/>
          <w:sz w:val="24"/>
          <w:szCs w:val="24"/>
        </w:rPr>
        <w:t xml:space="preserve">EEF — Physical development approaches evidence describing motor skill work and links to mark‑making/independence </w:t>
      </w:r>
      <w:hyperlink r:id="rId14" w:history="1">
        <w:r w:rsidRPr="00A3631B">
          <w:rPr>
            <w:rStyle w:val="DefaultParagraphFontPHPDOCX"/>
            <w:i/>
            <w:iCs/>
            <w:color w:val="0000CC"/>
            <w:sz w:val="24"/>
            <w:szCs w:val="24"/>
            <w:u w:val="single" w:color="000000"/>
          </w:rPr>
          <w:t>EEF: Physical development approaches</w:t>
        </w:r>
      </w:hyperlink>
      <w:r w:rsidRPr="00A3631B">
        <w:rPr>
          <w:i/>
          <w:iCs/>
          <w:color w:val="000000"/>
          <w:sz w:val="24"/>
          <w:szCs w:val="24"/>
        </w:rPr>
        <w:t>.</w:t>
      </w:r>
    </w:p>
    <w:p w14:paraId="39DBEECF" w14:textId="77777777" w:rsidR="0044675C" w:rsidRPr="00A3631B" w:rsidRDefault="00A300B5">
      <w:pPr>
        <w:numPr>
          <w:ilvl w:val="0"/>
          <w:numId w:val="8"/>
        </w:numPr>
        <w:rPr>
          <w:i/>
          <w:iCs/>
          <w:color w:val="000000"/>
          <w:sz w:val="24"/>
          <w:szCs w:val="24"/>
        </w:rPr>
      </w:pPr>
      <w:r w:rsidRPr="00A3631B">
        <w:rPr>
          <w:i/>
          <w:iCs/>
          <w:color w:val="000000"/>
          <w:sz w:val="24"/>
          <w:szCs w:val="24"/>
        </w:rPr>
        <w:t xml:space="preserve">EEF — Parental engagement evidence on shared reading, workshops and how to work with families </w:t>
      </w:r>
      <w:hyperlink r:id="rId15" w:history="1">
        <w:r w:rsidRPr="00A3631B">
          <w:rPr>
            <w:rStyle w:val="DefaultParagraphFontPHPDOCX"/>
            <w:i/>
            <w:iCs/>
            <w:color w:val="0000CC"/>
            <w:sz w:val="24"/>
            <w:szCs w:val="24"/>
            <w:u w:val="single" w:color="000000"/>
          </w:rPr>
          <w:t>EEF: Parental engagement (Early Years)</w:t>
        </w:r>
      </w:hyperlink>
      <w:r w:rsidRPr="00A3631B">
        <w:rPr>
          <w:i/>
          <w:iCs/>
          <w:color w:val="000000"/>
          <w:sz w:val="24"/>
          <w:szCs w:val="24"/>
        </w:rPr>
        <w:t>.</w:t>
      </w:r>
    </w:p>
    <w:p w14:paraId="456541DB" w14:textId="77777777" w:rsidR="0044675C" w:rsidRPr="00A3631B" w:rsidRDefault="00000000">
      <w:pPr>
        <w:rPr>
          <w:sz w:val="24"/>
          <w:szCs w:val="24"/>
        </w:rPr>
      </w:pPr>
      <w:r>
        <w:rPr>
          <w:sz w:val="24"/>
          <w:szCs w:val="24"/>
        </w:rPr>
        <w:pict w14:anchorId="77282D99">
          <v:rect id="_x0000_i1027" style="width:0;height:1.5pt" o:hrstd="t" o:hrnoshade="t" o:hr="t" fillcolor="#aca899" stroked="f"/>
        </w:pict>
      </w:r>
    </w:p>
    <w:p w14:paraId="17FB1C31" w14:textId="77777777" w:rsidR="00A3631B" w:rsidRPr="00A3631B" w:rsidRDefault="00A3631B">
      <w:pPr>
        <w:spacing w:before="281" w:after="281"/>
        <w:outlineLvl w:val="2"/>
        <w:rPr>
          <w:b/>
          <w:bCs/>
          <w:color w:val="000000"/>
          <w:sz w:val="24"/>
          <w:szCs w:val="24"/>
        </w:rPr>
      </w:pPr>
    </w:p>
    <w:p w14:paraId="0788A873" w14:textId="77777777" w:rsidR="00A3631B" w:rsidRPr="00A3631B" w:rsidRDefault="00A3631B">
      <w:pPr>
        <w:spacing w:before="281" w:after="281"/>
        <w:outlineLvl w:val="2"/>
        <w:rPr>
          <w:b/>
          <w:bCs/>
          <w:color w:val="000000"/>
          <w:sz w:val="24"/>
          <w:szCs w:val="24"/>
        </w:rPr>
      </w:pPr>
    </w:p>
    <w:p w14:paraId="4B7E79EF" w14:textId="1EC10E4B" w:rsidR="00A3631B" w:rsidRDefault="00A3631B" w:rsidP="00A3631B">
      <w:pPr>
        <w:tabs>
          <w:tab w:val="left" w:pos="6061"/>
        </w:tabs>
        <w:spacing w:before="281" w:after="281"/>
        <w:outlineLvl w:val="2"/>
        <w:rPr>
          <w:b/>
          <w:bCs/>
          <w:color w:val="000000"/>
          <w:sz w:val="28"/>
          <w:szCs w:val="28"/>
        </w:rPr>
      </w:pPr>
    </w:p>
    <w:p w14:paraId="236F8A53" w14:textId="77777777" w:rsidR="00A3631B" w:rsidRDefault="00A3631B" w:rsidP="00A3631B">
      <w:pPr>
        <w:tabs>
          <w:tab w:val="left" w:pos="6061"/>
        </w:tabs>
        <w:spacing w:before="281" w:after="281"/>
        <w:outlineLvl w:val="2"/>
        <w:rPr>
          <w:b/>
          <w:bCs/>
          <w:color w:val="000000"/>
          <w:sz w:val="28"/>
          <w:szCs w:val="28"/>
        </w:rPr>
      </w:pPr>
    </w:p>
    <w:p w14:paraId="22E88077" w14:textId="77777777" w:rsidR="00A3631B" w:rsidRDefault="00A3631B">
      <w:pPr>
        <w:spacing w:before="281" w:after="281"/>
        <w:outlineLvl w:val="2"/>
        <w:rPr>
          <w:b/>
          <w:bCs/>
          <w:color w:val="000000"/>
          <w:sz w:val="28"/>
          <w:szCs w:val="28"/>
        </w:rPr>
      </w:pPr>
    </w:p>
    <w:p w14:paraId="0EB4FFD3" w14:textId="77777777" w:rsidR="00A3631B" w:rsidRDefault="00A3631B">
      <w:pPr>
        <w:spacing w:before="281" w:after="281"/>
        <w:outlineLvl w:val="2"/>
        <w:rPr>
          <w:b/>
          <w:bCs/>
          <w:color w:val="000000"/>
          <w:sz w:val="28"/>
          <w:szCs w:val="28"/>
        </w:rPr>
      </w:pPr>
    </w:p>
    <w:p w14:paraId="14A0D2ED" w14:textId="4C95178B" w:rsidR="0044675C" w:rsidRDefault="00A300B5">
      <w:pPr>
        <w:spacing w:before="281" w:after="281"/>
        <w:outlineLvl w:val="2"/>
      </w:pPr>
      <w:r>
        <w:rPr>
          <w:b/>
          <w:bCs/>
          <w:color w:val="000000"/>
          <w:sz w:val="28"/>
          <w:szCs w:val="28"/>
        </w:rPr>
        <w:lastRenderedPageBreak/>
        <w:t>Challenges</w:t>
      </w: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297"/>
        <w:gridCol w:w="13546"/>
      </w:tblGrid>
      <w:tr w:rsidR="0044675C" w14:paraId="34B904BA" w14:textId="77777777" w:rsidTr="00A3631B">
        <w:tc>
          <w:tcPr>
            <w:tcW w:w="971"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8C882B2" w14:textId="1CC1B750" w:rsidR="0044675C" w:rsidRDefault="0044675C">
            <w:pPr>
              <w:jc w:val="center"/>
            </w:pPr>
          </w:p>
        </w:tc>
        <w:tc>
          <w:tcPr>
            <w:tcW w:w="4029"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F4AD422" w14:textId="77777777" w:rsidR="0044675C" w:rsidRDefault="00A300B5">
            <w:pPr>
              <w:jc w:val="center"/>
            </w:pPr>
            <w:r>
              <w:rPr>
                <w:b/>
                <w:bCs/>
                <w:color w:val="000000"/>
                <w:position w:val="-3"/>
                <w:sz w:val="24"/>
                <w:szCs w:val="24"/>
              </w:rPr>
              <w:t>Detail of challenge</w:t>
            </w:r>
          </w:p>
        </w:tc>
      </w:tr>
      <w:tr w:rsidR="0044675C" w14:paraId="145819E6" w14:textId="77777777" w:rsidTr="00A3631B">
        <w:tc>
          <w:tcPr>
            <w:tcW w:w="971"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8F72E62" w14:textId="77777777" w:rsidR="0044675C" w:rsidRDefault="00A300B5">
            <w:r>
              <w:rPr>
                <w:color w:val="000000"/>
                <w:position w:val="-3"/>
                <w:sz w:val="24"/>
                <w:szCs w:val="24"/>
              </w:rPr>
              <w:t>1</w:t>
            </w:r>
          </w:p>
        </w:tc>
        <w:tc>
          <w:tcPr>
            <w:tcW w:w="4029"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DBB4522" w14:textId="77777777" w:rsidR="0044675C" w:rsidRDefault="00A300B5">
            <w:r>
              <w:rPr>
                <w:color w:val="000000"/>
                <w:position w:val="-3"/>
                <w:sz w:val="24"/>
                <w:szCs w:val="24"/>
              </w:rPr>
              <w:t>High and increasing proportion of children with communication delay: 56.4% of children are currently not on track in communication; this includes an increase in preverbal children. These delays impede peer interaction and language development necessary for early literacy and curriculum learning.</w:t>
            </w:r>
          </w:p>
        </w:tc>
      </w:tr>
      <w:tr w:rsidR="0044675C" w14:paraId="2FA654C7" w14:textId="77777777" w:rsidTr="00A3631B">
        <w:tc>
          <w:tcPr>
            <w:tcW w:w="971"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2E63971" w14:textId="77777777" w:rsidR="0044675C" w:rsidRDefault="00A300B5">
            <w:r>
              <w:rPr>
                <w:color w:val="000000"/>
                <w:position w:val="-3"/>
                <w:sz w:val="24"/>
                <w:szCs w:val="24"/>
              </w:rPr>
              <w:t>2</w:t>
            </w:r>
          </w:p>
        </w:tc>
        <w:tc>
          <w:tcPr>
            <w:tcW w:w="4029"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5364FF6" w14:textId="77777777" w:rsidR="0044675C" w:rsidRDefault="00A300B5">
            <w:r>
              <w:rPr>
                <w:color w:val="000000"/>
                <w:position w:val="-3"/>
                <w:sz w:val="24"/>
                <w:szCs w:val="24"/>
              </w:rPr>
              <w:t xml:space="preserve">High levels of difficulty with self‑regulation and personal &amp; social development: 66.13% not on track in PSED and observed difficulties in self‑regulation, affecting group learning, </w:t>
            </w:r>
            <w:proofErr w:type="spellStart"/>
            <w:r>
              <w:rPr>
                <w:color w:val="000000"/>
                <w:position w:val="-3"/>
                <w:sz w:val="24"/>
                <w:szCs w:val="24"/>
              </w:rPr>
              <w:t>behaviour</w:t>
            </w:r>
            <w:proofErr w:type="spellEnd"/>
            <w:r>
              <w:rPr>
                <w:color w:val="000000"/>
                <w:position w:val="-3"/>
                <w:sz w:val="24"/>
                <w:szCs w:val="24"/>
              </w:rPr>
              <w:t xml:space="preserve"> expectations and independence.</w:t>
            </w:r>
          </w:p>
        </w:tc>
      </w:tr>
      <w:tr w:rsidR="0044675C" w14:paraId="1DD41CA6" w14:textId="77777777" w:rsidTr="00A3631B">
        <w:tc>
          <w:tcPr>
            <w:tcW w:w="971"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B0F29EA" w14:textId="77777777" w:rsidR="0044675C" w:rsidRDefault="00A300B5">
            <w:r>
              <w:rPr>
                <w:color w:val="000000"/>
                <w:position w:val="-3"/>
                <w:sz w:val="24"/>
                <w:szCs w:val="24"/>
              </w:rPr>
              <w:t>3</w:t>
            </w:r>
          </w:p>
        </w:tc>
        <w:tc>
          <w:tcPr>
            <w:tcW w:w="4029"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FC7C4C2" w14:textId="77777777" w:rsidR="0044675C" w:rsidRDefault="00A300B5">
            <w:r>
              <w:rPr>
                <w:color w:val="000000"/>
                <w:position w:val="-3"/>
                <w:sz w:val="24"/>
                <w:szCs w:val="24"/>
              </w:rPr>
              <w:t>Physical development delays affecting self‑help and independence: 38.1% not on track in physical development; increases in delays with independent skills (e.g. toileting, dressing/undressing) impacting daily routines and readiness for school.</w:t>
            </w:r>
          </w:p>
        </w:tc>
      </w:tr>
      <w:tr w:rsidR="0044675C" w14:paraId="71B8CB3E" w14:textId="77777777" w:rsidTr="00A3631B">
        <w:tc>
          <w:tcPr>
            <w:tcW w:w="971"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D5BBB6F" w14:textId="77777777" w:rsidR="0044675C" w:rsidRDefault="00A300B5">
            <w:r>
              <w:rPr>
                <w:color w:val="000000"/>
                <w:position w:val="-3"/>
                <w:sz w:val="24"/>
                <w:szCs w:val="24"/>
              </w:rPr>
              <w:t>4</w:t>
            </w:r>
          </w:p>
        </w:tc>
        <w:tc>
          <w:tcPr>
            <w:tcW w:w="4029"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33274D4" w14:textId="77777777" w:rsidR="0044675C" w:rsidRDefault="00A300B5">
            <w:r>
              <w:rPr>
                <w:color w:val="000000"/>
                <w:position w:val="-3"/>
                <w:sz w:val="24"/>
                <w:szCs w:val="24"/>
              </w:rPr>
              <w:t xml:space="preserve">Rising SEND complexity and assessment/curriculum clarity: an increase in children with high‑level needs and a growing number of SEND children; </w:t>
            </w:r>
            <w:proofErr w:type="gramStart"/>
            <w:r>
              <w:rPr>
                <w:color w:val="000000"/>
                <w:position w:val="-3"/>
                <w:sz w:val="24"/>
                <w:szCs w:val="24"/>
              </w:rPr>
              <w:t>plus</w:t>
            </w:r>
            <w:proofErr w:type="gramEnd"/>
            <w:r>
              <w:rPr>
                <w:color w:val="000000"/>
                <w:position w:val="-3"/>
                <w:sz w:val="24"/>
                <w:szCs w:val="24"/>
              </w:rPr>
              <w:t xml:space="preserve"> staff uncertainty about the essential knowledge in a few areas and over‑reliance on national age bands for assessment (Ofsted identified need for clearer curriculum‑linked assessment). This reduces precision of targeted support.</w:t>
            </w:r>
          </w:p>
        </w:tc>
      </w:tr>
    </w:tbl>
    <w:p w14:paraId="595A0ED2" w14:textId="77777777" w:rsidR="0044675C" w:rsidRDefault="00000000">
      <w:r>
        <w:pict w14:anchorId="299EFF24">
          <v:rect id="_x0000_i1028" style="width:0;height:1.5pt" o:hrstd="t" o:hrnoshade="t" o:hr="t" fillcolor="#aca899" stroked="f"/>
        </w:pict>
      </w:r>
    </w:p>
    <w:p w14:paraId="7360911B" w14:textId="77777777" w:rsidR="0044675C" w:rsidRDefault="00A300B5">
      <w:pPr>
        <w:spacing w:before="281" w:after="281"/>
        <w:outlineLvl w:val="2"/>
      </w:pPr>
      <w:r>
        <w:rPr>
          <w:b/>
          <w:bCs/>
          <w:color w:val="000000"/>
          <w:sz w:val="28"/>
          <w:szCs w:val="28"/>
        </w:rPr>
        <w:t>3. Intended Outcomes</w:t>
      </w: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3364"/>
        <w:gridCol w:w="10479"/>
      </w:tblGrid>
      <w:tr w:rsidR="0044675C" w14:paraId="6AA826AD"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AABAFCB" w14:textId="77777777" w:rsidR="0044675C" w:rsidRDefault="00A300B5">
            <w:pPr>
              <w:jc w:val="center"/>
            </w:pPr>
            <w:r>
              <w:rPr>
                <w:b/>
                <w:bCs/>
                <w:color w:val="000000"/>
                <w:position w:val="-3"/>
                <w:sz w:val="24"/>
                <w:szCs w:val="24"/>
              </w:rPr>
              <w:t>Intended Outcome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783E9AC" w14:textId="77777777" w:rsidR="0044675C" w:rsidRDefault="00A300B5">
            <w:pPr>
              <w:jc w:val="center"/>
            </w:pPr>
            <w:r>
              <w:rPr>
                <w:b/>
                <w:bCs/>
                <w:color w:val="000000"/>
                <w:position w:val="-3"/>
                <w:sz w:val="24"/>
                <w:szCs w:val="24"/>
              </w:rPr>
              <w:t>Success Criteria</w:t>
            </w:r>
          </w:p>
        </w:tc>
      </w:tr>
      <w:tr w:rsidR="0044675C" w14:paraId="241C4B4B"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FE0A7B8" w14:textId="77777777" w:rsidR="0044675C" w:rsidRDefault="00A300B5">
            <w:r>
              <w:rPr>
                <w:color w:val="000000"/>
                <w:position w:val="-3"/>
                <w:sz w:val="24"/>
                <w:szCs w:val="24"/>
              </w:rPr>
              <w:t>1. Improved communication outcomes for disadvantaged children</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88F14C2" w14:textId="2C59BA91" w:rsidR="0044675C" w:rsidRDefault="00A300B5">
            <w:r>
              <w:rPr>
                <w:color w:val="000000"/>
                <w:position w:val="-3"/>
                <w:sz w:val="24"/>
                <w:szCs w:val="24"/>
              </w:rPr>
              <w:t xml:space="preserve">By the end of Year 1 (full academic year): reduce % of children not on track in communication from 56.4% to ≤40%; by end of Year 2 reduce to ≤30%. Measured by termly curriculum‑linked oral language assessments (baseline + termly LanguageScreen-style checks for targeted groups), practitioner observations scored against the school’s curriculum statements and EEF recommended measures. Evidence of improved interaction during free‑play and group times recorded in </w:t>
            </w:r>
            <w:r w:rsidR="00A3631B">
              <w:rPr>
                <w:color w:val="000000"/>
                <w:position w:val="-3"/>
                <w:sz w:val="24"/>
                <w:szCs w:val="24"/>
              </w:rPr>
              <w:t>case studies</w:t>
            </w:r>
            <w:r>
              <w:rPr>
                <w:color w:val="000000"/>
                <w:position w:val="-3"/>
                <w:sz w:val="24"/>
                <w:szCs w:val="24"/>
              </w:rPr>
              <w:t xml:space="preserve"> </w:t>
            </w:r>
            <w:hyperlink r:id="rId16" w:history="1">
              <w:r>
                <w:rPr>
                  <w:rStyle w:val="DefaultParagraphFontPHPDOCX"/>
                  <w:color w:val="0000CC"/>
                  <w:position w:val="-3"/>
                  <w:sz w:val="24"/>
                  <w:szCs w:val="24"/>
                  <w:u w:val="single" w:color="000000"/>
                </w:rPr>
                <w:t>EEF: Communication and language approaches</w:t>
              </w:r>
            </w:hyperlink>
            <w:r>
              <w:rPr>
                <w:color w:val="000000"/>
                <w:position w:val="-3"/>
                <w:sz w:val="24"/>
                <w:szCs w:val="24"/>
              </w:rPr>
              <w:t xml:space="preserve"> </w:t>
            </w:r>
            <w:hyperlink r:id="rId17" w:history="1">
              <w:r>
                <w:rPr>
                  <w:rStyle w:val="DefaultParagraphFontPHPDOCX"/>
                  <w:color w:val="0000CC"/>
                  <w:position w:val="-3"/>
                  <w:sz w:val="24"/>
                  <w:szCs w:val="24"/>
                  <w:u w:val="single" w:color="000000"/>
                </w:rPr>
                <w:t>EEF: NELI</w:t>
              </w:r>
            </w:hyperlink>
          </w:p>
        </w:tc>
      </w:tr>
      <w:tr w:rsidR="0044675C" w14:paraId="40D3A838"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C81369D" w14:textId="77777777" w:rsidR="0044675C" w:rsidRDefault="00A300B5">
            <w:r>
              <w:rPr>
                <w:color w:val="000000"/>
                <w:position w:val="-3"/>
                <w:sz w:val="24"/>
                <w:szCs w:val="24"/>
              </w:rPr>
              <w:t>2. Improved self‑regulation and PSED outcomes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41911FB" w14:textId="285CBC41" w:rsidR="0044675C" w:rsidRDefault="00A300B5">
            <w:r>
              <w:rPr>
                <w:color w:val="000000"/>
                <w:position w:val="-3"/>
                <w:sz w:val="24"/>
                <w:szCs w:val="24"/>
              </w:rPr>
              <w:t>By the end of Year</w:t>
            </w:r>
            <w:r w:rsidR="00A3631B">
              <w:rPr>
                <w:color w:val="000000"/>
                <w:position w:val="-3"/>
                <w:sz w:val="24"/>
                <w:szCs w:val="24"/>
              </w:rPr>
              <w:t xml:space="preserve"> </w:t>
            </w:r>
            <w:r>
              <w:rPr>
                <w:color w:val="000000"/>
                <w:position w:val="-3"/>
                <w:sz w:val="24"/>
                <w:szCs w:val="24"/>
              </w:rPr>
              <w:t xml:space="preserve">reduce % not on track in PSED from 66.13% to Success shown by teacher‑rated self‑regulation measures, reduced incidents of low‑level disruption, improved participation in group activities, and use of Plan‑Do‑Review cycles observed in classrooms. </w:t>
            </w:r>
            <w:hyperlink r:id="rId18" w:history="1">
              <w:r>
                <w:rPr>
                  <w:rStyle w:val="DefaultParagraphFontPHPDOCX"/>
                  <w:color w:val="0000CC"/>
                  <w:position w:val="-3"/>
                  <w:sz w:val="24"/>
                  <w:szCs w:val="24"/>
                  <w:u w:val="single" w:color="000000"/>
                </w:rPr>
                <w:t>EEF: Self‑regulation and Executive Function</w:t>
              </w:r>
            </w:hyperlink>
          </w:p>
        </w:tc>
      </w:tr>
      <w:tr w:rsidR="0044675C" w14:paraId="2417AB13"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2E9449D" w14:textId="77777777" w:rsidR="0044675C" w:rsidRDefault="00A300B5">
            <w:r>
              <w:rPr>
                <w:color w:val="000000"/>
                <w:position w:val="-3"/>
                <w:sz w:val="24"/>
                <w:szCs w:val="24"/>
              </w:rPr>
              <w:lastRenderedPageBreak/>
              <w:t>3. Improved physical development and independence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9F9ED77" w14:textId="36AAE08C" w:rsidR="0044675C" w:rsidRDefault="00A300B5">
            <w:r>
              <w:rPr>
                <w:color w:val="000000"/>
                <w:position w:val="-3"/>
                <w:sz w:val="24"/>
                <w:szCs w:val="24"/>
              </w:rPr>
              <w:t>By the end of Year 1</w:t>
            </w:r>
            <w:r w:rsidR="00A3631B">
              <w:rPr>
                <w:color w:val="000000"/>
                <w:position w:val="-3"/>
                <w:sz w:val="24"/>
                <w:szCs w:val="24"/>
              </w:rPr>
              <w:t xml:space="preserve"> </w:t>
            </w:r>
            <w:proofErr w:type="gramStart"/>
            <w:r>
              <w:rPr>
                <w:color w:val="000000"/>
                <w:position w:val="-3"/>
                <w:sz w:val="24"/>
                <w:szCs w:val="24"/>
              </w:rPr>
              <w:t>reduce</w:t>
            </w:r>
            <w:proofErr w:type="gramEnd"/>
            <w:r>
              <w:rPr>
                <w:color w:val="000000"/>
                <w:position w:val="-3"/>
                <w:sz w:val="24"/>
                <w:szCs w:val="24"/>
              </w:rPr>
              <w:t xml:space="preserve"> % not on track in physical development from 38.1% to ≤25%; increase % independently toileting/dressing by 20 percentage points. Measured through curriculum outcomes for fine &amp; gross motor milestones, OT / physiotherapy referrals where appropriate, and observed independence during routines. </w:t>
            </w:r>
            <w:hyperlink r:id="rId19" w:history="1">
              <w:r>
                <w:rPr>
                  <w:rStyle w:val="DefaultParagraphFontPHPDOCX"/>
                  <w:color w:val="0000CC"/>
                  <w:position w:val="-3"/>
                  <w:sz w:val="24"/>
                  <w:szCs w:val="24"/>
                  <w:u w:val="single" w:color="000000"/>
                </w:rPr>
                <w:t>EEF: Physical development approaches</w:t>
              </w:r>
            </w:hyperlink>
          </w:p>
        </w:tc>
      </w:tr>
      <w:tr w:rsidR="0044675C" w14:paraId="616AF57B"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B0ABE43" w14:textId="77777777" w:rsidR="0044675C" w:rsidRDefault="00A300B5">
            <w:r>
              <w:rPr>
                <w:color w:val="000000"/>
                <w:position w:val="-3"/>
                <w:sz w:val="24"/>
                <w:szCs w:val="24"/>
              </w:rPr>
              <w:t>4. Improved identification, assessment and targeted support for SEND and complex needs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631D952" w14:textId="1BEF7757" w:rsidR="0044675C" w:rsidRDefault="00A300B5">
            <w:r>
              <w:rPr>
                <w:color w:val="000000"/>
                <w:position w:val="-3"/>
                <w:sz w:val="24"/>
                <w:szCs w:val="24"/>
              </w:rPr>
              <w:t xml:space="preserve">By end of Year all children with identified additional needs have individual learning plans (ILPs) linked explicitly to the school’s intended curriculum; staff trained to use curriculum‑linked assessment (not over‑relying on national age bands). Termly reviews show measurable progress against curriculum targets for SEND children; reduction in time between concern raised and intervention start (target: within 4 weeks). </w:t>
            </w:r>
            <w:hyperlink r:id="rId20" w:history="1">
              <w:r>
                <w:rPr>
                  <w:rStyle w:val="DefaultParagraphFontPHPDOCX"/>
                  <w:color w:val="0000CC"/>
                  <w:position w:val="-3"/>
                  <w:sz w:val="24"/>
                  <w:szCs w:val="24"/>
                  <w:u w:val="single" w:color="000000"/>
                </w:rPr>
                <w:t>EEF: Preparing for Literacy – assessment guidance</w:t>
              </w:r>
            </w:hyperlink>
          </w:p>
        </w:tc>
      </w:tr>
      <w:tr w:rsidR="0044675C" w14:paraId="3DAFB63B"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F584F97" w14:textId="77777777" w:rsidR="0044675C" w:rsidRDefault="00A300B5">
            <w:r>
              <w:rPr>
                <w:color w:val="000000"/>
                <w:position w:val="-3"/>
                <w:sz w:val="24"/>
                <w:szCs w:val="24"/>
              </w:rPr>
              <w:t>5. Increased attendance to national expectations for disadvantaged children</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9F240E0" w14:textId="77777777" w:rsidR="0044675C" w:rsidRDefault="00A300B5">
            <w:r>
              <w:rPr>
                <w:color w:val="000000"/>
                <w:position w:val="-3"/>
                <w:sz w:val="24"/>
                <w:szCs w:val="24"/>
              </w:rPr>
              <w:t xml:space="preserve">Increase % children with attendance ≥95% from baseline to 95% within two years via targeted attendance support, family liaison and removal of logistical barriers (e.g. breakfast provision / drop‑off support). Attendance monitored weekly; persistent absence reduced termly. (Wider strategies &amp; parental engagement underpin this.) </w:t>
            </w:r>
            <w:hyperlink r:id="rId21" w:history="1">
              <w:r>
                <w:rPr>
                  <w:rStyle w:val="DefaultParagraphFontPHPDOCX"/>
                  <w:color w:val="0000CC"/>
                  <w:position w:val="-3"/>
                  <w:sz w:val="24"/>
                  <w:szCs w:val="24"/>
                  <w:u w:val="single" w:color="000000"/>
                </w:rPr>
                <w:t>EEF: Parental engagement (Early Years)</w:t>
              </w:r>
            </w:hyperlink>
          </w:p>
        </w:tc>
      </w:tr>
    </w:tbl>
    <w:p w14:paraId="18EEBBA5" w14:textId="77777777" w:rsidR="0044675C" w:rsidRDefault="00000000">
      <w:r>
        <w:pict w14:anchorId="6194C752">
          <v:rect id="_x0000_i1029" style="width:0;height:1.5pt" o:hrstd="t" o:hrnoshade="t" o:hr="t" fillcolor="#aca899" stroked="f"/>
        </w:pict>
      </w:r>
    </w:p>
    <w:p w14:paraId="49D27E3B" w14:textId="77777777" w:rsidR="00A3631B" w:rsidRDefault="00A3631B">
      <w:pPr>
        <w:spacing w:before="281" w:after="281"/>
        <w:outlineLvl w:val="2"/>
        <w:rPr>
          <w:b/>
          <w:bCs/>
          <w:color w:val="000000"/>
          <w:sz w:val="28"/>
          <w:szCs w:val="28"/>
        </w:rPr>
      </w:pPr>
    </w:p>
    <w:p w14:paraId="086FD6C7" w14:textId="77777777" w:rsidR="00A3631B" w:rsidRDefault="00A3631B">
      <w:pPr>
        <w:spacing w:before="281" w:after="281"/>
        <w:outlineLvl w:val="2"/>
        <w:rPr>
          <w:b/>
          <w:bCs/>
          <w:color w:val="000000"/>
          <w:sz w:val="28"/>
          <w:szCs w:val="28"/>
        </w:rPr>
      </w:pPr>
    </w:p>
    <w:p w14:paraId="271E8C19" w14:textId="77777777" w:rsidR="00A3631B" w:rsidRDefault="00A3631B">
      <w:pPr>
        <w:spacing w:before="281" w:after="281"/>
        <w:outlineLvl w:val="2"/>
        <w:rPr>
          <w:b/>
          <w:bCs/>
          <w:color w:val="000000"/>
          <w:sz w:val="28"/>
          <w:szCs w:val="28"/>
        </w:rPr>
      </w:pPr>
    </w:p>
    <w:p w14:paraId="1CFD2BFB" w14:textId="77777777" w:rsidR="00A3631B" w:rsidRDefault="00A3631B">
      <w:pPr>
        <w:spacing w:before="281" w:after="281"/>
        <w:outlineLvl w:val="2"/>
        <w:rPr>
          <w:b/>
          <w:bCs/>
          <w:color w:val="000000"/>
          <w:sz w:val="28"/>
          <w:szCs w:val="28"/>
        </w:rPr>
      </w:pPr>
    </w:p>
    <w:p w14:paraId="371D5DAF" w14:textId="77777777" w:rsidR="00A3631B" w:rsidRDefault="00A3631B">
      <w:pPr>
        <w:spacing w:before="281" w:after="281"/>
        <w:outlineLvl w:val="2"/>
        <w:rPr>
          <w:b/>
          <w:bCs/>
          <w:color w:val="000000"/>
          <w:sz w:val="28"/>
          <w:szCs w:val="28"/>
        </w:rPr>
      </w:pPr>
    </w:p>
    <w:p w14:paraId="1C44DB45" w14:textId="77777777" w:rsidR="00A3631B" w:rsidRDefault="00A3631B">
      <w:pPr>
        <w:spacing w:before="281" w:after="281"/>
        <w:outlineLvl w:val="2"/>
        <w:rPr>
          <w:b/>
          <w:bCs/>
          <w:color w:val="000000"/>
          <w:sz w:val="28"/>
          <w:szCs w:val="28"/>
        </w:rPr>
      </w:pPr>
    </w:p>
    <w:p w14:paraId="4A314160" w14:textId="77777777" w:rsidR="00A3631B" w:rsidRDefault="00A3631B">
      <w:pPr>
        <w:spacing w:before="281" w:after="281"/>
        <w:outlineLvl w:val="2"/>
        <w:rPr>
          <w:b/>
          <w:bCs/>
          <w:color w:val="000000"/>
          <w:sz w:val="28"/>
          <w:szCs w:val="28"/>
        </w:rPr>
      </w:pPr>
    </w:p>
    <w:p w14:paraId="1E72CE4C" w14:textId="189C95F3" w:rsidR="0044675C" w:rsidRDefault="00A300B5">
      <w:pPr>
        <w:spacing w:before="281" w:after="281"/>
        <w:outlineLvl w:val="2"/>
      </w:pPr>
      <w:r>
        <w:rPr>
          <w:b/>
          <w:bCs/>
          <w:color w:val="000000"/>
          <w:sz w:val="28"/>
          <w:szCs w:val="28"/>
        </w:rPr>
        <w:lastRenderedPageBreak/>
        <w:t>4. Activity in This Academic Year</w:t>
      </w:r>
    </w:p>
    <w:p w14:paraId="6559D54C" w14:textId="77777777" w:rsidR="0044675C" w:rsidRPr="00A3631B" w:rsidRDefault="00A300B5" w:rsidP="00A3631B">
      <w:pPr>
        <w:spacing w:before="240" w:after="240"/>
        <w:jc w:val="center"/>
        <w:rPr>
          <w:b/>
          <w:bCs/>
        </w:rPr>
      </w:pPr>
      <w:r w:rsidRPr="00A3631B">
        <w:rPr>
          <w:b/>
          <w:bCs/>
          <w:color w:val="000000"/>
          <w:sz w:val="24"/>
          <w:szCs w:val="24"/>
        </w:rPr>
        <w:t>Teaching (Tier 1 — High‑Quality Teaching, CPD, curriculum &amp; assessment)</w:t>
      </w: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6674"/>
        <w:gridCol w:w="6845"/>
        <w:gridCol w:w="324"/>
      </w:tblGrid>
      <w:tr w:rsidR="0044675C" w14:paraId="2837083C" w14:textId="77777777" w:rsidTr="00A3631B">
        <w:tc>
          <w:tcPr>
            <w:tcW w:w="2046"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258A8F0" w14:textId="77777777" w:rsidR="0044675C" w:rsidRDefault="00A300B5">
            <w:pPr>
              <w:jc w:val="center"/>
            </w:pPr>
            <w:r>
              <w:rPr>
                <w:b/>
                <w:bCs/>
                <w:color w:val="000000"/>
                <w:position w:val="-3"/>
                <w:sz w:val="24"/>
                <w:szCs w:val="24"/>
              </w:rPr>
              <w:t>Activity</w:t>
            </w:r>
          </w:p>
        </w:tc>
        <w:tc>
          <w:tcPr>
            <w:tcW w:w="2691"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E55E158" w14:textId="77777777" w:rsidR="0044675C" w:rsidRDefault="00A300B5">
            <w:pPr>
              <w:jc w:val="center"/>
            </w:pPr>
            <w:r>
              <w:rPr>
                <w:b/>
                <w:bCs/>
                <w:color w:val="000000"/>
                <w:position w:val="-3"/>
                <w:sz w:val="24"/>
                <w:szCs w:val="24"/>
              </w:rPr>
              <w:t>Evidence that supports this approach</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FB2C4DD" w14:textId="51C9C5A0" w:rsidR="0044675C" w:rsidRDefault="0044675C" w:rsidP="00A3631B"/>
        </w:tc>
      </w:tr>
      <w:tr w:rsidR="0044675C" w14:paraId="552D3B13" w14:textId="77777777" w:rsidTr="00A3631B">
        <w:tc>
          <w:tcPr>
            <w:tcW w:w="2046"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243B73E" w14:textId="77777777" w:rsidR="0044675C" w:rsidRPr="00A3631B" w:rsidRDefault="00A300B5">
            <w:pPr>
              <w:rPr>
                <w:sz w:val="22"/>
                <w:szCs w:val="22"/>
              </w:rPr>
            </w:pPr>
            <w:r w:rsidRPr="00A3631B">
              <w:rPr>
                <w:color w:val="000000"/>
                <w:position w:val="-3"/>
                <w:sz w:val="22"/>
                <w:szCs w:val="22"/>
              </w:rPr>
              <w:t>Whole‑staff CPD programme (year‑long cycle) on high‑quality adult‑child interactions (guided interaction, CROWD/PEER dialogic/shared reading techniques, vocabulary instruction) and embedding these into all continuous provision — with coaching cycles and lesson‑study for fidelity.</w:t>
            </w:r>
          </w:p>
        </w:tc>
        <w:tc>
          <w:tcPr>
            <w:tcW w:w="2691"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AD9B05F" w14:textId="77777777" w:rsidR="0044675C" w:rsidRPr="00A3631B" w:rsidRDefault="00A300B5">
            <w:pPr>
              <w:rPr>
                <w:sz w:val="22"/>
                <w:szCs w:val="22"/>
              </w:rPr>
            </w:pPr>
            <w:r w:rsidRPr="00A3631B">
              <w:rPr>
                <w:color w:val="000000"/>
                <w:position w:val="-3"/>
                <w:sz w:val="22"/>
                <w:szCs w:val="22"/>
              </w:rPr>
              <w:t xml:space="preserve">EEF Early Years guidance highlights high‑quality interactions and shared reading as central to improving communication; these approaches have very high average impact in early years. The Preparing for Literacy guidance emphasises dialogic reading frameworks and high‑quality interactive talk </w:t>
            </w:r>
            <w:hyperlink r:id="rId22" w:history="1">
              <w:r w:rsidRPr="00A3631B">
                <w:rPr>
                  <w:rStyle w:val="DefaultParagraphFontPHPDOCX"/>
                  <w:color w:val="0000CC"/>
                  <w:position w:val="-3"/>
                  <w:sz w:val="22"/>
                  <w:szCs w:val="22"/>
                  <w:u w:val="single" w:color="000000"/>
                </w:rPr>
                <w:t>EEF: Communication and language approaches</w:t>
              </w:r>
            </w:hyperlink>
            <w:r w:rsidRPr="00A3631B">
              <w:rPr>
                <w:color w:val="000000"/>
                <w:position w:val="-3"/>
                <w:sz w:val="22"/>
                <w:szCs w:val="22"/>
              </w:rPr>
              <w:t xml:space="preserve"> and </w:t>
            </w:r>
            <w:hyperlink r:id="rId23" w:history="1">
              <w:r w:rsidRPr="00A3631B">
                <w:rPr>
                  <w:rStyle w:val="DefaultParagraphFontPHPDOCX"/>
                  <w:color w:val="0000CC"/>
                  <w:position w:val="-3"/>
                  <w:sz w:val="22"/>
                  <w:szCs w:val="22"/>
                  <w:u w:val="single" w:color="000000"/>
                </w:rPr>
                <w:t>EEF: Preparing for Literacy</w:t>
              </w:r>
            </w:hyperlink>
            <w:r w:rsidRPr="00A3631B">
              <w:rPr>
                <w:color w:val="000000"/>
                <w:position w:val="-3"/>
                <w:sz w:val="22"/>
                <w:szCs w:val="22"/>
              </w:rPr>
              <w:t>.</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C500719" w14:textId="77777777" w:rsidR="0044675C" w:rsidRDefault="00A300B5">
            <w:r>
              <w:rPr>
                <w:color w:val="000000"/>
                <w:position w:val="-3"/>
                <w:sz w:val="24"/>
                <w:szCs w:val="24"/>
              </w:rPr>
              <w:t>1, 4</w:t>
            </w:r>
          </w:p>
        </w:tc>
      </w:tr>
      <w:tr w:rsidR="0044675C" w14:paraId="67468B63" w14:textId="77777777" w:rsidTr="00A300B5">
        <w:tc>
          <w:tcPr>
            <w:tcW w:w="2046" w:type="pct"/>
            <w:tcBorders>
              <w:top w:val="single" w:sz="5" w:space="0" w:color="000000"/>
              <w:left w:val="single" w:sz="5" w:space="0" w:color="000000"/>
              <w:bottom w:val="single" w:sz="5" w:space="0" w:color="000000"/>
              <w:right w:val="single" w:sz="5" w:space="0" w:color="000000"/>
            </w:tcBorders>
            <w:shd w:val="clear" w:color="auto" w:fill="92D050"/>
            <w:noWrap/>
            <w:tcMar>
              <w:top w:w="120" w:type="dxa"/>
              <w:left w:w="120" w:type="dxa"/>
              <w:bottom w:w="120" w:type="dxa"/>
              <w:right w:w="120" w:type="dxa"/>
            </w:tcMar>
            <w:vAlign w:val="center"/>
          </w:tcPr>
          <w:p w14:paraId="43401E72" w14:textId="77777777" w:rsidR="0044675C" w:rsidRPr="00A3631B" w:rsidRDefault="00A300B5">
            <w:pPr>
              <w:rPr>
                <w:sz w:val="22"/>
                <w:szCs w:val="22"/>
              </w:rPr>
            </w:pPr>
            <w:r w:rsidRPr="00A3631B">
              <w:rPr>
                <w:color w:val="000000"/>
                <w:position w:val="-3"/>
                <w:sz w:val="22"/>
                <w:szCs w:val="22"/>
              </w:rPr>
              <w:t>Curriculum review and articulation of essential knowledge statements (explicit document for each area of learning) + development of short, sequenced key knowledge documents for staff (what children should know and remember) and exemplification of progress steps.</w:t>
            </w:r>
          </w:p>
        </w:tc>
        <w:tc>
          <w:tcPr>
            <w:tcW w:w="2691"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DDCCD64" w14:textId="77777777" w:rsidR="0044675C" w:rsidRPr="00A3631B" w:rsidRDefault="00A300B5">
            <w:pPr>
              <w:rPr>
                <w:sz w:val="22"/>
                <w:szCs w:val="22"/>
              </w:rPr>
            </w:pPr>
            <w:r w:rsidRPr="00A3631B">
              <w:rPr>
                <w:color w:val="000000"/>
                <w:position w:val="-3"/>
                <w:sz w:val="22"/>
                <w:szCs w:val="22"/>
              </w:rPr>
              <w:t xml:space="preserve">EEF Preparing for Literacy and Early Years Toolkit both stress the importance of clear curriculum intent, sequencing and using assessment to check learning of the intended curriculum rather than over‑relying on age bands. Improving clarity supports deeper learning. </w:t>
            </w:r>
            <w:hyperlink r:id="rId24" w:history="1">
              <w:r w:rsidRPr="00A3631B">
                <w:rPr>
                  <w:rStyle w:val="DefaultParagraphFontPHPDOCX"/>
                  <w:color w:val="0000CC"/>
                  <w:position w:val="-3"/>
                  <w:sz w:val="22"/>
                  <w:szCs w:val="22"/>
                  <w:u w:val="single" w:color="000000"/>
                </w:rPr>
                <w:t>EEF: Preparing for Literacy (assessment &amp; curriculum guidance)</w:t>
              </w:r>
            </w:hyperlink>
            <w:r w:rsidRPr="00A3631B">
              <w:rPr>
                <w:color w:val="000000"/>
                <w:position w:val="-3"/>
                <w:sz w:val="22"/>
                <w:szCs w:val="22"/>
              </w:rPr>
              <w:t>.</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AC01DDD" w14:textId="77777777" w:rsidR="0044675C" w:rsidRDefault="00A300B5">
            <w:r>
              <w:rPr>
                <w:color w:val="000000"/>
                <w:position w:val="-3"/>
                <w:sz w:val="24"/>
                <w:szCs w:val="24"/>
              </w:rPr>
              <w:t>4</w:t>
            </w:r>
          </w:p>
        </w:tc>
      </w:tr>
      <w:tr w:rsidR="0044675C" w14:paraId="0EEADB74" w14:textId="77777777" w:rsidTr="00A3631B">
        <w:tc>
          <w:tcPr>
            <w:tcW w:w="2046"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85E4895" w14:textId="77777777" w:rsidR="0044675C" w:rsidRPr="00A3631B" w:rsidRDefault="00A300B5">
            <w:pPr>
              <w:rPr>
                <w:sz w:val="22"/>
                <w:szCs w:val="22"/>
              </w:rPr>
            </w:pPr>
            <w:r w:rsidRPr="00A3631B">
              <w:rPr>
                <w:color w:val="000000"/>
                <w:position w:val="-3"/>
                <w:sz w:val="22"/>
                <w:szCs w:val="22"/>
              </w:rPr>
              <w:t>CPD and coaching on curriculum‑linked assessment: training staff to use curriculum statements and short diagnostic checks (including phonological awareness checks, vocabulary checkpoints and task‑based evidence) rather than defaulting to national age bands. Include moderation and termly assessment panels.</w:t>
            </w:r>
          </w:p>
        </w:tc>
        <w:tc>
          <w:tcPr>
            <w:tcW w:w="2691"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4133A04" w14:textId="77777777" w:rsidR="0044675C" w:rsidRPr="00A3631B" w:rsidRDefault="00A300B5">
            <w:pPr>
              <w:rPr>
                <w:sz w:val="22"/>
                <w:szCs w:val="22"/>
              </w:rPr>
            </w:pPr>
            <w:r w:rsidRPr="00A3631B">
              <w:rPr>
                <w:color w:val="000000"/>
                <w:position w:val="-3"/>
                <w:sz w:val="22"/>
                <w:szCs w:val="22"/>
              </w:rPr>
              <w:t xml:space="preserve">EEF guidance recommends using assessment to inform teaching and diagnostic assessment to identify specific needs; avoid over‑labelling and use assessment to check learning of the school’s intended curriculum. </w:t>
            </w:r>
            <w:hyperlink r:id="rId25" w:history="1">
              <w:r w:rsidRPr="00A3631B">
                <w:rPr>
                  <w:rStyle w:val="DefaultParagraphFontPHPDOCX"/>
                  <w:color w:val="0000CC"/>
                  <w:position w:val="-3"/>
                  <w:sz w:val="22"/>
                  <w:szCs w:val="22"/>
                  <w:u w:val="single" w:color="000000"/>
                </w:rPr>
                <w:t>EEF: Preparing for Literacy (Assessment &amp; measures)</w:t>
              </w:r>
            </w:hyperlink>
            <w:r w:rsidRPr="00A3631B">
              <w:rPr>
                <w:color w:val="000000"/>
                <w:position w:val="-3"/>
                <w:sz w:val="22"/>
                <w:szCs w:val="22"/>
              </w:rPr>
              <w:t>.</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0A5AD02" w14:textId="77777777" w:rsidR="0044675C" w:rsidRDefault="00A300B5">
            <w:r>
              <w:rPr>
                <w:color w:val="000000"/>
                <w:position w:val="-3"/>
                <w:sz w:val="24"/>
                <w:szCs w:val="24"/>
              </w:rPr>
              <w:t>4</w:t>
            </w:r>
          </w:p>
        </w:tc>
      </w:tr>
      <w:tr w:rsidR="0044675C" w:rsidRPr="00A3631B" w14:paraId="32CCCB5F" w14:textId="77777777" w:rsidTr="00A3631B">
        <w:tc>
          <w:tcPr>
            <w:tcW w:w="2046"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2F1ADAE" w14:textId="77777777" w:rsidR="0044675C" w:rsidRPr="00A3631B" w:rsidRDefault="00A300B5">
            <w:pPr>
              <w:rPr>
                <w:sz w:val="22"/>
                <w:szCs w:val="22"/>
              </w:rPr>
            </w:pPr>
            <w:r w:rsidRPr="00A3631B">
              <w:rPr>
                <w:color w:val="000000"/>
                <w:position w:val="-3"/>
                <w:sz w:val="22"/>
                <w:szCs w:val="22"/>
              </w:rPr>
              <w:t>Whole‑staff professional development on embedding self‑regulation opportunities across the day and use of Plan‑Do‑Review cycles; modelled practice and classroom coaching with reflective video or peer observation.</w:t>
            </w:r>
          </w:p>
        </w:tc>
        <w:tc>
          <w:tcPr>
            <w:tcW w:w="2691"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CA0E36B" w14:textId="77777777" w:rsidR="0044675C" w:rsidRPr="00A3631B" w:rsidRDefault="00A300B5">
            <w:pPr>
              <w:rPr>
                <w:sz w:val="22"/>
                <w:szCs w:val="22"/>
              </w:rPr>
            </w:pPr>
            <w:r w:rsidRPr="00A3631B">
              <w:rPr>
                <w:color w:val="000000"/>
                <w:position w:val="-3"/>
                <w:sz w:val="22"/>
                <w:szCs w:val="22"/>
              </w:rPr>
              <w:t xml:space="preserve">EEF Evidence Store on self‑regulation shows explicit teaching, modelling and Plan‑Do‑Review cycles can develop self‑regulation and executive function when delivered with training and practice. </w:t>
            </w:r>
            <w:hyperlink r:id="rId26" w:history="1">
              <w:r w:rsidRPr="00A3631B">
                <w:rPr>
                  <w:rStyle w:val="DefaultParagraphFontPHPDOCX"/>
                  <w:color w:val="0000CC"/>
                  <w:position w:val="-3"/>
                  <w:sz w:val="22"/>
                  <w:szCs w:val="22"/>
                  <w:u w:val="single" w:color="000000"/>
                </w:rPr>
                <w:t>EEF: Self‑regulation and Executive Function</w:t>
              </w:r>
            </w:hyperlink>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3417FB2" w14:textId="77777777" w:rsidR="0044675C" w:rsidRPr="00A3631B" w:rsidRDefault="00A300B5">
            <w:pPr>
              <w:rPr>
                <w:sz w:val="22"/>
                <w:szCs w:val="22"/>
              </w:rPr>
            </w:pPr>
            <w:r w:rsidRPr="00A3631B">
              <w:rPr>
                <w:color w:val="000000"/>
                <w:position w:val="-3"/>
                <w:sz w:val="22"/>
                <w:szCs w:val="22"/>
              </w:rPr>
              <w:t>2</w:t>
            </w:r>
          </w:p>
        </w:tc>
      </w:tr>
      <w:tr w:rsidR="0044675C" w:rsidRPr="00A3631B" w14:paraId="318BEABF" w14:textId="77777777" w:rsidTr="00A3631B">
        <w:tc>
          <w:tcPr>
            <w:tcW w:w="2046"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5A2D127" w14:textId="77777777" w:rsidR="0044675C" w:rsidRPr="00A3631B" w:rsidRDefault="00A300B5">
            <w:pPr>
              <w:rPr>
                <w:sz w:val="22"/>
                <w:szCs w:val="22"/>
              </w:rPr>
            </w:pPr>
            <w:r w:rsidRPr="00A3631B">
              <w:rPr>
                <w:color w:val="000000"/>
                <w:position w:val="-3"/>
                <w:sz w:val="22"/>
                <w:szCs w:val="22"/>
              </w:rPr>
              <w:t>Develop a consistent approach to physical development across classrooms (daily gross motor slots, fine motor mark‑making stations, dough/peg/clip activities) and routines that build independence (self‑help sequences for dressing/toileting) with staff training and resource packs.</w:t>
            </w:r>
          </w:p>
        </w:tc>
        <w:tc>
          <w:tcPr>
            <w:tcW w:w="2691"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23EB69D" w14:textId="77777777" w:rsidR="0044675C" w:rsidRPr="00A3631B" w:rsidRDefault="00A300B5">
            <w:pPr>
              <w:rPr>
                <w:sz w:val="22"/>
                <w:szCs w:val="22"/>
              </w:rPr>
            </w:pPr>
            <w:r w:rsidRPr="00A3631B">
              <w:rPr>
                <w:color w:val="000000"/>
                <w:position w:val="-3"/>
                <w:sz w:val="22"/>
                <w:szCs w:val="22"/>
              </w:rPr>
              <w:t xml:space="preserve">EEF Physical development approaches evidence supports deliberate practice of gross and fine motor activities to support physical development and independence; activities help motor skills that support mark‑making and independence. </w:t>
            </w:r>
            <w:hyperlink r:id="rId27" w:history="1">
              <w:r w:rsidRPr="00A3631B">
                <w:rPr>
                  <w:rStyle w:val="DefaultParagraphFontPHPDOCX"/>
                  <w:color w:val="0000CC"/>
                  <w:position w:val="-3"/>
                  <w:sz w:val="22"/>
                  <w:szCs w:val="22"/>
                  <w:u w:val="single" w:color="000000"/>
                </w:rPr>
                <w:t>EEF: Physical development approaches</w:t>
              </w:r>
            </w:hyperlink>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AF058D0" w14:textId="77777777" w:rsidR="0044675C" w:rsidRPr="00A3631B" w:rsidRDefault="00A300B5">
            <w:pPr>
              <w:rPr>
                <w:sz w:val="22"/>
                <w:szCs w:val="22"/>
              </w:rPr>
            </w:pPr>
            <w:r w:rsidRPr="00A3631B">
              <w:rPr>
                <w:color w:val="000000"/>
                <w:position w:val="-3"/>
                <w:sz w:val="22"/>
                <w:szCs w:val="22"/>
              </w:rPr>
              <w:t>3</w:t>
            </w:r>
          </w:p>
        </w:tc>
      </w:tr>
    </w:tbl>
    <w:p w14:paraId="5FB9814B" w14:textId="77777777" w:rsidR="0044675C" w:rsidRPr="00A300B5" w:rsidRDefault="00A300B5" w:rsidP="00A3631B">
      <w:pPr>
        <w:spacing w:before="240" w:after="240"/>
        <w:jc w:val="center"/>
        <w:rPr>
          <w:b/>
          <w:bCs/>
          <w:sz w:val="24"/>
          <w:szCs w:val="24"/>
        </w:rPr>
      </w:pPr>
      <w:r w:rsidRPr="00A300B5">
        <w:rPr>
          <w:b/>
          <w:bCs/>
          <w:color w:val="000000"/>
          <w:sz w:val="24"/>
          <w:szCs w:val="24"/>
        </w:rPr>
        <w:lastRenderedPageBreak/>
        <w:t>Targeted Academic Support (Tier 2 — small group/1:1, staff deployment)</w:t>
      </w: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6509"/>
        <w:gridCol w:w="6908"/>
        <w:gridCol w:w="426"/>
      </w:tblGrid>
      <w:tr w:rsidR="0044675C" w:rsidRPr="00A3631B" w14:paraId="747A63EF" w14:textId="77777777" w:rsidTr="00A300B5">
        <w:trPr>
          <w:trHeight w:val="1325"/>
        </w:trPr>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AA20744" w14:textId="77777777" w:rsidR="0044675C" w:rsidRPr="00A3631B" w:rsidRDefault="00A300B5">
            <w:pPr>
              <w:jc w:val="center"/>
              <w:rPr>
                <w:sz w:val="22"/>
                <w:szCs w:val="22"/>
              </w:rPr>
            </w:pPr>
            <w:r w:rsidRPr="00A3631B">
              <w:rPr>
                <w:b/>
                <w:bCs/>
                <w:color w:val="000000"/>
                <w:position w:val="-3"/>
                <w:sz w:val="22"/>
                <w:szCs w:val="22"/>
              </w:rPr>
              <w:t>Activity</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4FDA08E" w14:textId="77777777" w:rsidR="0044675C" w:rsidRPr="00A3631B" w:rsidRDefault="00A300B5">
            <w:pPr>
              <w:jc w:val="center"/>
              <w:rPr>
                <w:sz w:val="22"/>
                <w:szCs w:val="22"/>
              </w:rPr>
            </w:pPr>
            <w:r w:rsidRPr="00A3631B">
              <w:rPr>
                <w:b/>
                <w:bCs/>
                <w:color w:val="000000"/>
                <w:position w:val="-3"/>
                <w:sz w:val="22"/>
                <w:szCs w:val="22"/>
              </w:rPr>
              <w:t>Evidence that supports this approach</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1055428" w14:textId="059F6234" w:rsidR="0044675C" w:rsidRPr="00A3631B" w:rsidRDefault="0044675C">
            <w:pPr>
              <w:jc w:val="center"/>
              <w:rPr>
                <w:sz w:val="22"/>
                <w:szCs w:val="22"/>
              </w:rPr>
            </w:pPr>
          </w:p>
        </w:tc>
      </w:tr>
      <w:tr w:rsidR="0044675C" w:rsidRPr="00A3631B" w14:paraId="227F536B" w14:textId="77777777" w:rsidTr="00A300B5">
        <w:tc>
          <w:tcPr>
            <w:tcW w:w="0" w:type="auto"/>
            <w:tcBorders>
              <w:top w:val="single" w:sz="5" w:space="0" w:color="000000"/>
              <w:left w:val="single" w:sz="5" w:space="0" w:color="000000"/>
              <w:bottom w:val="single" w:sz="5" w:space="0" w:color="000000"/>
              <w:right w:val="single" w:sz="5" w:space="0" w:color="000000"/>
            </w:tcBorders>
            <w:shd w:val="clear" w:color="auto" w:fill="92D050"/>
            <w:noWrap/>
            <w:tcMar>
              <w:top w:w="120" w:type="dxa"/>
              <w:left w:w="120" w:type="dxa"/>
              <w:bottom w:w="120" w:type="dxa"/>
              <w:right w:w="120" w:type="dxa"/>
            </w:tcMar>
            <w:vAlign w:val="center"/>
          </w:tcPr>
          <w:p w14:paraId="1658CD20" w14:textId="4E871C69" w:rsidR="0044675C" w:rsidRPr="00A3631B" w:rsidRDefault="00A300B5">
            <w:pPr>
              <w:rPr>
                <w:sz w:val="22"/>
                <w:szCs w:val="22"/>
              </w:rPr>
            </w:pPr>
            <w:r w:rsidRPr="00A3631B">
              <w:rPr>
                <w:color w:val="000000"/>
                <w:position w:val="-3"/>
                <w:sz w:val="22"/>
                <w:szCs w:val="22"/>
              </w:rPr>
              <w:t xml:space="preserve">Targeted language groups using structured, evidence‑based activities for identified children (small groups 3–6 implement </w:t>
            </w:r>
            <w:proofErr w:type="spellStart"/>
            <w:r w:rsidR="00A3631B">
              <w:rPr>
                <w:color w:val="000000"/>
                <w:position w:val="-3"/>
                <w:sz w:val="22"/>
                <w:szCs w:val="22"/>
              </w:rPr>
              <w:t>Wellcom</w:t>
            </w:r>
            <w:proofErr w:type="spellEnd"/>
            <w:r w:rsidR="00A3631B">
              <w:rPr>
                <w:color w:val="000000"/>
                <w:position w:val="-3"/>
                <w:sz w:val="22"/>
                <w:szCs w:val="22"/>
              </w:rPr>
              <w:t xml:space="preserve"> </w:t>
            </w:r>
            <w:r w:rsidRPr="00A3631B">
              <w:rPr>
                <w:color w:val="000000"/>
                <w:position w:val="-3"/>
                <w:sz w:val="22"/>
                <w:szCs w:val="22"/>
              </w:rPr>
              <w:t>sessions for 3–</w:t>
            </w:r>
            <w:proofErr w:type="gramStart"/>
            <w:r w:rsidRPr="00A3631B">
              <w:rPr>
                <w:color w:val="000000"/>
                <w:position w:val="-3"/>
                <w:sz w:val="22"/>
                <w:szCs w:val="22"/>
              </w:rPr>
              <w:t>4 year olds</w:t>
            </w:r>
            <w:proofErr w:type="gramEnd"/>
            <w:r w:rsidRPr="00A3631B">
              <w:rPr>
                <w:color w:val="000000"/>
                <w:position w:val="-3"/>
                <w:sz w:val="22"/>
                <w:szCs w:val="22"/>
              </w:rPr>
              <w:t xml:space="preserve"> delivered by trained practitioners/HLTAs. Use a screening tool to identify children for targeted work </w:t>
            </w:r>
            <w:proofErr w:type="gramStart"/>
            <w:r w:rsidRPr="00A3631B">
              <w:rPr>
                <w:color w:val="000000"/>
                <w:position w:val="-3"/>
                <w:sz w:val="22"/>
                <w:szCs w:val="22"/>
              </w:rPr>
              <w:t>and re‑assess</w:t>
            </w:r>
            <w:proofErr w:type="gramEnd"/>
            <w:r w:rsidRPr="00A3631B">
              <w:rPr>
                <w:color w:val="000000"/>
                <w:position w:val="-3"/>
                <w:sz w:val="22"/>
                <w:szCs w:val="22"/>
              </w:rPr>
              <w:t xml:space="preserve"> after programme blocks.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7C1FD7E" w14:textId="3059D8D7" w:rsidR="0044675C" w:rsidRPr="00A3631B" w:rsidRDefault="00A300B5">
            <w:pPr>
              <w:rPr>
                <w:sz w:val="22"/>
                <w:szCs w:val="22"/>
              </w:rPr>
            </w:pPr>
            <w:r w:rsidRPr="00A3631B">
              <w:rPr>
                <w:color w:val="000000"/>
                <w:position w:val="-3"/>
                <w:sz w:val="22"/>
                <w:szCs w:val="22"/>
              </w:rPr>
              <w:t xml:space="preserve">The EEF Early Years toolkit identifies communication &amp; language approaches as high impact; NELI has strong evidence as a targeted small‑group programme (demonstrated impact in early language; scale‑up evaluations). </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826C5CF" w14:textId="77777777" w:rsidR="0044675C" w:rsidRPr="00A3631B" w:rsidRDefault="00A300B5">
            <w:pPr>
              <w:rPr>
                <w:sz w:val="22"/>
                <w:szCs w:val="22"/>
              </w:rPr>
            </w:pPr>
            <w:r w:rsidRPr="00A3631B">
              <w:rPr>
                <w:color w:val="000000"/>
                <w:position w:val="-3"/>
                <w:sz w:val="22"/>
                <w:szCs w:val="22"/>
              </w:rPr>
              <w:t>1</w:t>
            </w:r>
          </w:p>
        </w:tc>
      </w:tr>
      <w:tr w:rsidR="0044675C" w:rsidRPr="00A3631B" w14:paraId="22B16DE8" w14:textId="77777777" w:rsidTr="00A300B5">
        <w:tc>
          <w:tcPr>
            <w:tcW w:w="0" w:type="auto"/>
            <w:tcBorders>
              <w:top w:val="single" w:sz="5" w:space="0" w:color="000000"/>
              <w:left w:val="single" w:sz="5" w:space="0" w:color="000000"/>
              <w:bottom w:val="single" w:sz="5" w:space="0" w:color="000000"/>
              <w:right w:val="single" w:sz="5" w:space="0" w:color="000000"/>
            </w:tcBorders>
            <w:shd w:val="clear" w:color="auto" w:fill="92D050"/>
            <w:noWrap/>
            <w:tcMar>
              <w:top w:w="120" w:type="dxa"/>
              <w:left w:w="120" w:type="dxa"/>
              <w:bottom w:w="120" w:type="dxa"/>
              <w:right w:w="120" w:type="dxa"/>
            </w:tcMar>
            <w:vAlign w:val="center"/>
          </w:tcPr>
          <w:p w14:paraId="09AFF2B6" w14:textId="77777777" w:rsidR="0044675C" w:rsidRPr="00A3631B" w:rsidRDefault="00A300B5">
            <w:pPr>
              <w:rPr>
                <w:sz w:val="22"/>
                <w:szCs w:val="22"/>
              </w:rPr>
            </w:pPr>
            <w:r w:rsidRPr="00A3631B">
              <w:rPr>
                <w:color w:val="000000"/>
                <w:position w:val="-3"/>
                <w:sz w:val="22"/>
                <w:szCs w:val="22"/>
              </w:rPr>
              <w:t>One‑to‑one and very small group work for children who are preverbal or need intensive SALT‑informed sessions. These sessions are delivered by trained staff and coordinated with SALT referrals/partnership work.</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DFEE47E" w14:textId="77777777" w:rsidR="0044675C" w:rsidRPr="00A3631B" w:rsidRDefault="00A300B5">
            <w:pPr>
              <w:rPr>
                <w:sz w:val="22"/>
                <w:szCs w:val="22"/>
              </w:rPr>
            </w:pPr>
            <w:r w:rsidRPr="00A3631B">
              <w:rPr>
                <w:color w:val="000000"/>
                <w:position w:val="-3"/>
                <w:sz w:val="22"/>
                <w:szCs w:val="22"/>
              </w:rPr>
              <w:t xml:space="preserve">EEF highlights the importance of diagnostic assessment and use of high‑quality targeted support; specialist SALT input is appropriate for children with significant speech delays and should be combined with in‑setting practice. </w:t>
            </w:r>
            <w:hyperlink r:id="rId28" w:history="1">
              <w:r w:rsidRPr="00A3631B">
                <w:rPr>
                  <w:rStyle w:val="DefaultParagraphFontPHPDOCX"/>
                  <w:color w:val="0000CC"/>
                  <w:position w:val="-3"/>
                  <w:sz w:val="22"/>
                  <w:szCs w:val="22"/>
                  <w:u w:val="single" w:color="000000"/>
                </w:rPr>
                <w:t>EEF: Preparing for Literacy – targeted support recommendations</w:t>
              </w:r>
            </w:hyperlink>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6908E56" w14:textId="77777777" w:rsidR="0044675C" w:rsidRPr="00A3631B" w:rsidRDefault="00A300B5">
            <w:pPr>
              <w:rPr>
                <w:sz w:val="22"/>
                <w:szCs w:val="22"/>
              </w:rPr>
            </w:pPr>
            <w:r w:rsidRPr="00A3631B">
              <w:rPr>
                <w:color w:val="000000"/>
                <w:position w:val="-3"/>
                <w:sz w:val="22"/>
                <w:szCs w:val="22"/>
              </w:rPr>
              <w:t>1, 4</w:t>
            </w:r>
          </w:p>
        </w:tc>
      </w:tr>
      <w:tr w:rsidR="0044675C" w:rsidRPr="00A3631B" w14:paraId="78E01424"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BD23015" w14:textId="77777777" w:rsidR="0044675C" w:rsidRPr="00A3631B" w:rsidRDefault="00A300B5">
            <w:pPr>
              <w:rPr>
                <w:sz w:val="22"/>
                <w:szCs w:val="22"/>
              </w:rPr>
            </w:pPr>
            <w:r w:rsidRPr="00A3631B">
              <w:rPr>
                <w:color w:val="000000"/>
                <w:position w:val="-3"/>
                <w:sz w:val="22"/>
                <w:szCs w:val="22"/>
              </w:rPr>
              <w:t>Small‑group interventions to develop self‑regulation (short, regular Plan‑Do‑Review groups; adult‑led circle times teaching naming feelings, strategies, and practice of co‑regulation) delivered by staff trained in the EEF self‑regulation approaches; integrate with PSED curriculum.</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98B3E18" w14:textId="77777777" w:rsidR="0044675C" w:rsidRPr="00A3631B" w:rsidRDefault="00A300B5">
            <w:pPr>
              <w:rPr>
                <w:sz w:val="22"/>
                <w:szCs w:val="22"/>
              </w:rPr>
            </w:pPr>
            <w:r w:rsidRPr="00A3631B">
              <w:rPr>
                <w:color w:val="000000"/>
                <w:position w:val="-3"/>
                <w:sz w:val="22"/>
                <w:szCs w:val="22"/>
              </w:rPr>
              <w:t xml:space="preserve">EEF Early Years Evidence shows teaching self‑awareness, scaffolding and guided practice can improve self‑regulation and executive function, particularly effective for children with lower starting points. </w:t>
            </w:r>
            <w:hyperlink r:id="rId29" w:history="1">
              <w:r w:rsidRPr="00A3631B">
                <w:rPr>
                  <w:rStyle w:val="DefaultParagraphFontPHPDOCX"/>
                  <w:color w:val="0000CC"/>
                  <w:position w:val="-3"/>
                  <w:sz w:val="22"/>
                  <w:szCs w:val="22"/>
                  <w:u w:val="single" w:color="000000"/>
                </w:rPr>
                <w:t>EEF: Self‑regulation and Executive Function</w:t>
              </w:r>
            </w:hyperlink>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DD9D57F" w14:textId="77777777" w:rsidR="0044675C" w:rsidRPr="00A3631B" w:rsidRDefault="00A300B5">
            <w:pPr>
              <w:rPr>
                <w:sz w:val="22"/>
                <w:szCs w:val="22"/>
              </w:rPr>
            </w:pPr>
            <w:r w:rsidRPr="00A3631B">
              <w:rPr>
                <w:color w:val="000000"/>
                <w:position w:val="-3"/>
                <w:sz w:val="22"/>
                <w:szCs w:val="22"/>
              </w:rPr>
              <w:t>2</w:t>
            </w:r>
          </w:p>
        </w:tc>
      </w:tr>
      <w:tr w:rsidR="0044675C" w:rsidRPr="00A3631B" w14:paraId="16362F12"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771B352" w14:textId="77777777" w:rsidR="0044675C" w:rsidRPr="00A3631B" w:rsidRDefault="00A300B5">
            <w:pPr>
              <w:rPr>
                <w:sz w:val="22"/>
                <w:szCs w:val="22"/>
              </w:rPr>
            </w:pPr>
            <w:r w:rsidRPr="00A3631B">
              <w:rPr>
                <w:color w:val="000000"/>
                <w:position w:val="-3"/>
                <w:sz w:val="22"/>
                <w:szCs w:val="22"/>
              </w:rPr>
              <w:t>Fine motor / mark‑making small groups and focused OT‑informed programmes (structured tasks to develop grip, bilateral co‑ordination, scissor skills, core strength; progress monitored) — delivered by a trained TA/HLTA with OT input where needed.</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FF92F92" w14:textId="77777777" w:rsidR="0044675C" w:rsidRPr="00A3631B" w:rsidRDefault="00A300B5">
            <w:pPr>
              <w:rPr>
                <w:sz w:val="22"/>
                <w:szCs w:val="22"/>
              </w:rPr>
            </w:pPr>
            <w:r w:rsidRPr="00A3631B">
              <w:rPr>
                <w:color w:val="000000"/>
                <w:position w:val="-3"/>
                <w:sz w:val="22"/>
                <w:szCs w:val="22"/>
              </w:rPr>
              <w:t xml:space="preserve">EEF Physical development evidence suggests targeted activities can improve fine and gross motor skills; targeted adult‑led practice helps motor development that supports independence and early writing. </w:t>
            </w:r>
            <w:hyperlink r:id="rId30" w:history="1">
              <w:r w:rsidRPr="00A3631B">
                <w:rPr>
                  <w:rStyle w:val="DefaultParagraphFontPHPDOCX"/>
                  <w:color w:val="0000CC"/>
                  <w:position w:val="-3"/>
                  <w:sz w:val="22"/>
                  <w:szCs w:val="22"/>
                  <w:u w:val="single" w:color="000000"/>
                </w:rPr>
                <w:t>EEF: Physical development approaches</w:t>
              </w:r>
            </w:hyperlink>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5A2EBA0" w14:textId="77777777" w:rsidR="0044675C" w:rsidRPr="00A3631B" w:rsidRDefault="00A300B5">
            <w:pPr>
              <w:rPr>
                <w:sz w:val="22"/>
                <w:szCs w:val="22"/>
              </w:rPr>
            </w:pPr>
            <w:r w:rsidRPr="00A3631B">
              <w:rPr>
                <w:color w:val="000000"/>
                <w:position w:val="-3"/>
                <w:sz w:val="22"/>
                <w:szCs w:val="22"/>
              </w:rPr>
              <w:t>3</w:t>
            </w:r>
          </w:p>
        </w:tc>
      </w:tr>
      <w:tr w:rsidR="0044675C" w:rsidRPr="00A3631B" w14:paraId="3AC98C2A"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7B88621" w14:textId="77777777" w:rsidR="0044675C" w:rsidRPr="00A3631B" w:rsidRDefault="00A300B5">
            <w:pPr>
              <w:rPr>
                <w:sz w:val="22"/>
                <w:szCs w:val="22"/>
              </w:rPr>
            </w:pPr>
            <w:r w:rsidRPr="00A3631B">
              <w:rPr>
                <w:color w:val="000000"/>
                <w:position w:val="-3"/>
                <w:sz w:val="22"/>
                <w:szCs w:val="22"/>
              </w:rPr>
              <w:t>Strategic deployment of most skilled adults to children with greatest needs; TAs/HLTAs trained and coached to deliver structured programmes with resources and session plans, and time to liaise with teachers.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CFE697E" w14:textId="77777777" w:rsidR="0044675C" w:rsidRPr="00A3631B" w:rsidRDefault="00A300B5">
            <w:pPr>
              <w:rPr>
                <w:sz w:val="22"/>
                <w:szCs w:val="22"/>
              </w:rPr>
            </w:pPr>
            <w:r w:rsidRPr="00A3631B">
              <w:rPr>
                <w:color w:val="000000"/>
                <w:position w:val="-3"/>
                <w:sz w:val="22"/>
                <w:szCs w:val="22"/>
              </w:rPr>
              <w:t xml:space="preserve">EEF guidance: small‑group interventions are most effective when delivered by well‑trained staff and when connected to the classroom curriculum; TA delivery can work well if structured, trained and supported. </w:t>
            </w:r>
            <w:hyperlink r:id="rId31" w:history="1">
              <w:r w:rsidRPr="00A3631B">
                <w:rPr>
                  <w:rStyle w:val="DefaultParagraphFontPHPDOCX"/>
                  <w:color w:val="0000CC"/>
                  <w:position w:val="-3"/>
                  <w:sz w:val="22"/>
                  <w:szCs w:val="22"/>
                  <w:u w:val="single" w:color="000000"/>
                </w:rPr>
                <w:t>EEF: Preparing for Literacy — targeted support; EEF: Making Best Use of Teaching Assistants (principles)</w:t>
              </w:r>
            </w:hyperlink>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721E7E2" w14:textId="77777777" w:rsidR="0044675C" w:rsidRPr="00A3631B" w:rsidRDefault="00A300B5">
            <w:pPr>
              <w:rPr>
                <w:sz w:val="22"/>
                <w:szCs w:val="22"/>
              </w:rPr>
            </w:pPr>
            <w:r w:rsidRPr="00A3631B">
              <w:rPr>
                <w:color w:val="000000"/>
                <w:position w:val="-3"/>
                <w:sz w:val="22"/>
                <w:szCs w:val="22"/>
              </w:rPr>
              <w:t>1, 2, 3, 4</w:t>
            </w:r>
          </w:p>
        </w:tc>
      </w:tr>
    </w:tbl>
    <w:p w14:paraId="6112F089" w14:textId="77777777" w:rsidR="0044675C" w:rsidRPr="00A300B5" w:rsidRDefault="00A300B5" w:rsidP="00A300B5">
      <w:pPr>
        <w:spacing w:before="240" w:after="240"/>
        <w:jc w:val="center"/>
        <w:rPr>
          <w:b/>
          <w:bCs/>
          <w:sz w:val="24"/>
          <w:szCs w:val="24"/>
        </w:rPr>
      </w:pPr>
      <w:r w:rsidRPr="00A300B5">
        <w:rPr>
          <w:b/>
          <w:bCs/>
          <w:color w:val="000000"/>
          <w:sz w:val="24"/>
          <w:szCs w:val="24"/>
        </w:rPr>
        <w:lastRenderedPageBreak/>
        <w:t>Wider Strategies (Tier 3 — attendance, behaviour, wellbeing, family support)</w:t>
      </w: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6732"/>
        <w:gridCol w:w="6732"/>
        <w:gridCol w:w="13"/>
        <w:gridCol w:w="366"/>
      </w:tblGrid>
      <w:tr w:rsidR="00A300B5" w:rsidRPr="00A3631B" w14:paraId="550F568F" w14:textId="77777777" w:rsidTr="00A300B5">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EA2AA56" w14:textId="77777777" w:rsidR="00A300B5" w:rsidRPr="00A3631B" w:rsidRDefault="00A300B5">
            <w:pPr>
              <w:jc w:val="center"/>
              <w:rPr>
                <w:sz w:val="22"/>
                <w:szCs w:val="22"/>
              </w:rPr>
            </w:pPr>
            <w:r w:rsidRPr="00A3631B">
              <w:rPr>
                <w:b/>
                <w:bCs/>
                <w:color w:val="000000"/>
                <w:position w:val="-3"/>
                <w:sz w:val="22"/>
                <w:szCs w:val="22"/>
              </w:rPr>
              <w:t>Activity</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16D74AB" w14:textId="77777777" w:rsidR="00A300B5" w:rsidRPr="00A3631B" w:rsidRDefault="00A300B5">
            <w:pPr>
              <w:jc w:val="center"/>
              <w:rPr>
                <w:sz w:val="22"/>
                <w:szCs w:val="22"/>
              </w:rPr>
            </w:pPr>
            <w:r w:rsidRPr="00A3631B">
              <w:rPr>
                <w:b/>
                <w:bCs/>
                <w:color w:val="000000"/>
                <w:position w:val="-3"/>
                <w:sz w:val="22"/>
                <w:szCs w:val="22"/>
              </w:rPr>
              <w:t>Evidence that supports this approach</w:t>
            </w:r>
          </w:p>
        </w:tc>
        <w:tc>
          <w:tcPr>
            <w:tcW w:w="0" w:type="auto"/>
          </w:tcPr>
          <w:p w14:paraId="1187383B" w14:textId="77777777" w:rsidR="00A300B5" w:rsidRPr="00A3631B" w:rsidRDefault="00A300B5">
            <w:pPr>
              <w:jc w:val="center"/>
              <w:rPr>
                <w:b/>
                <w:bCs/>
                <w:color w:val="000000"/>
                <w:position w:val="-3"/>
                <w:sz w:val="22"/>
                <w:szCs w:val="22"/>
              </w:rPr>
            </w:pP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F218C47" w14:textId="286BFCB0" w:rsidR="00A300B5" w:rsidRPr="00A3631B" w:rsidRDefault="00A300B5">
            <w:pPr>
              <w:jc w:val="center"/>
              <w:rPr>
                <w:sz w:val="22"/>
                <w:szCs w:val="22"/>
              </w:rPr>
            </w:pPr>
          </w:p>
        </w:tc>
      </w:tr>
      <w:tr w:rsidR="00A300B5" w:rsidRPr="00A3631B" w14:paraId="646A2BD3" w14:textId="77777777" w:rsidTr="00A300B5">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87892D3" w14:textId="77777777" w:rsidR="00A300B5" w:rsidRPr="00A3631B" w:rsidRDefault="00A300B5">
            <w:pPr>
              <w:rPr>
                <w:sz w:val="22"/>
                <w:szCs w:val="22"/>
              </w:rPr>
            </w:pPr>
            <w:r w:rsidRPr="00A3631B">
              <w:rPr>
                <w:color w:val="000000"/>
                <w:position w:val="-3"/>
                <w:sz w:val="22"/>
                <w:szCs w:val="22"/>
              </w:rPr>
              <w:t xml:space="preserve">Parental engagement </w:t>
            </w:r>
            <w:proofErr w:type="spellStart"/>
            <w:r w:rsidRPr="00A3631B">
              <w:rPr>
                <w:color w:val="000000"/>
                <w:position w:val="-3"/>
                <w:sz w:val="22"/>
                <w:szCs w:val="22"/>
              </w:rPr>
              <w:t>programme</w:t>
            </w:r>
            <w:proofErr w:type="spellEnd"/>
            <w:r w:rsidRPr="00A3631B">
              <w:rPr>
                <w:color w:val="000000"/>
                <w:position w:val="-3"/>
                <w:sz w:val="22"/>
                <w:szCs w:val="22"/>
              </w:rPr>
              <w:t>: termly workshops (how to read/talk with your child, routines for toileting/dressing, home language strategies), home‑resource packs (books and simple activity prompts), and short coaching sessions for families with high needs — plus targeted support for families of children with attendance issues.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4A5918D" w14:textId="77777777" w:rsidR="00A300B5" w:rsidRPr="00A3631B" w:rsidRDefault="00A300B5">
            <w:pPr>
              <w:rPr>
                <w:sz w:val="22"/>
                <w:szCs w:val="22"/>
              </w:rPr>
            </w:pPr>
            <w:r w:rsidRPr="00A3631B">
              <w:rPr>
                <w:color w:val="000000"/>
                <w:position w:val="-3"/>
                <w:sz w:val="22"/>
                <w:szCs w:val="22"/>
              </w:rPr>
              <w:t xml:space="preserve">EEF guidance identifies parental engagement (shared reading workshops, how to read to children, and coaching parents in specific strategies) as promising for early language and readiness; parental engagement can improve outcomes when it provides explicit coaching. </w:t>
            </w:r>
            <w:hyperlink r:id="rId32" w:history="1">
              <w:r w:rsidRPr="00A3631B">
                <w:rPr>
                  <w:rStyle w:val="DefaultParagraphFontPHPDOCX"/>
                  <w:color w:val="0000CC"/>
                  <w:position w:val="-3"/>
                  <w:sz w:val="22"/>
                  <w:szCs w:val="22"/>
                  <w:u w:val="single" w:color="000000"/>
                </w:rPr>
                <w:t>EEF: Parental engagement (Early Years)</w:t>
              </w:r>
            </w:hyperlink>
            <w:r w:rsidRPr="00A3631B">
              <w:rPr>
                <w:color w:val="000000"/>
                <w:position w:val="-3"/>
                <w:sz w:val="22"/>
                <w:szCs w:val="22"/>
              </w:rPr>
              <w:t xml:space="preserve"> </w:t>
            </w:r>
            <w:hyperlink r:id="rId33" w:history="1">
              <w:r w:rsidRPr="00A3631B">
                <w:rPr>
                  <w:rStyle w:val="DefaultParagraphFontPHPDOCX"/>
                  <w:color w:val="0000CC"/>
                  <w:position w:val="-3"/>
                  <w:sz w:val="22"/>
                  <w:szCs w:val="22"/>
                  <w:u w:val="single" w:color="000000"/>
                </w:rPr>
                <w:t>EEF: Preparing for Literacy</w:t>
              </w:r>
            </w:hyperlink>
          </w:p>
        </w:tc>
        <w:tc>
          <w:tcPr>
            <w:tcW w:w="0" w:type="auto"/>
          </w:tcPr>
          <w:p w14:paraId="02558997" w14:textId="77777777" w:rsidR="00A300B5" w:rsidRPr="00A3631B" w:rsidRDefault="00A300B5">
            <w:pPr>
              <w:rPr>
                <w:color w:val="000000"/>
                <w:position w:val="-3"/>
                <w:sz w:val="22"/>
                <w:szCs w:val="22"/>
              </w:rPr>
            </w:pP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ECDB373" w14:textId="0B84D7C0" w:rsidR="00A300B5" w:rsidRPr="00A3631B" w:rsidRDefault="00A300B5">
            <w:pPr>
              <w:rPr>
                <w:sz w:val="22"/>
                <w:szCs w:val="22"/>
              </w:rPr>
            </w:pPr>
            <w:r w:rsidRPr="00A3631B">
              <w:rPr>
                <w:color w:val="000000"/>
                <w:position w:val="-3"/>
                <w:sz w:val="22"/>
                <w:szCs w:val="22"/>
              </w:rPr>
              <w:t>1, 3, 5</w:t>
            </w:r>
          </w:p>
        </w:tc>
      </w:tr>
      <w:tr w:rsidR="00A300B5" w:rsidRPr="00A3631B" w14:paraId="475CA600" w14:textId="77777777" w:rsidTr="00A300B5">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82030F7" w14:textId="77777777" w:rsidR="00A300B5" w:rsidRPr="00A3631B" w:rsidRDefault="00A300B5">
            <w:pPr>
              <w:rPr>
                <w:sz w:val="22"/>
                <w:szCs w:val="22"/>
              </w:rPr>
            </w:pPr>
            <w:r w:rsidRPr="00A3631B">
              <w:rPr>
                <w:color w:val="000000"/>
                <w:position w:val="-3"/>
                <w:sz w:val="22"/>
                <w:szCs w:val="22"/>
              </w:rPr>
              <w:t xml:space="preserve">Attendance &amp; </w:t>
            </w:r>
            <w:proofErr w:type="gramStart"/>
            <w:r w:rsidRPr="00A3631B">
              <w:rPr>
                <w:color w:val="000000"/>
                <w:position w:val="-3"/>
                <w:sz w:val="22"/>
                <w:szCs w:val="22"/>
              </w:rPr>
              <w:t>families</w:t>
            </w:r>
            <w:proofErr w:type="gramEnd"/>
            <w:r w:rsidRPr="00A3631B">
              <w:rPr>
                <w:color w:val="000000"/>
                <w:position w:val="-3"/>
                <w:sz w:val="22"/>
                <w:szCs w:val="22"/>
              </w:rPr>
              <w:t xml:space="preserve"> liaison: designate a Pupil Premium / Family Liaison </w:t>
            </w:r>
            <w:proofErr w:type="gramStart"/>
            <w:r w:rsidRPr="00A3631B">
              <w:rPr>
                <w:color w:val="000000"/>
                <w:position w:val="-3"/>
                <w:sz w:val="22"/>
                <w:szCs w:val="22"/>
              </w:rPr>
              <w:t>lead</w:t>
            </w:r>
            <w:proofErr w:type="gramEnd"/>
            <w:r w:rsidRPr="00A3631B">
              <w:rPr>
                <w:color w:val="000000"/>
                <w:position w:val="-3"/>
                <w:sz w:val="22"/>
                <w:szCs w:val="22"/>
              </w:rPr>
              <w:t xml:space="preserve"> to monitor attendance weekly, implement early contact protocols, remove logistical barriers (drop‑off support, signposting to transport, breakfast provision for targeted families), and run attendance plans with termly reviews.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6036279" w14:textId="77777777" w:rsidR="00A300B5" w:rsidRPr="00A3631B" w:rsidRDefault="00A300B5">
            <w:pPr>
              <w:rPr>
                <w:sz w:val="22"/>
                <w:szCs w:val="22"/>
              </w:rPr>
            </w:pPr>
            <w:r w:rsidRPr="00A3631B">
              <w:rPr>
                <w:color w:val="000000"/>
                <w:position w:val="-3"/>
                <w:sz w:val="22"/>
                <w:szCs w:val="22"/>
              </w:rPr>
              <w:t xml:space="preserve">While evidence for specific attendance interventions varies, EEF evidence shows engaging families and removing barriers is </w:t>
            </w:r>
            <w:proofErr w:type="gramStart"/>
            <w:r w:rsidRPr="00A3631B">
              <w:rPr>
                <w:color w:val="000000"/>
                <w:position w:val="-3"/>
                <w:sz w:val="22"/>
                <w:szCs w:val="22"/>
              </w:rPr>
              <w:t>critical;</w:t>
            </w:r>
            <w:proofErr w:type="gramEnd"/>
            <w:r w:rsidRPr="00A3631B">
              <w:rPr>
                <w:color w:val="000000"/>
                <w:position w:val="-3"/>
                <w:sz w:val="22"/>
                <w:szCs w:val="22"/>
              </w:rPr>
              <w:t xml:space="preserve"> parental engagement and targeted support increase likelihood of school participation. Preparing for Literacy and parental engagement resources recommend working with families to support learning and routines. </w:t>
            </w:r>
            <w:hyperlink r:id="rId34" w:history="1">
              <w:r w:rsidRPr="00A3631B">
                <w:rPr>
                  <w:rStyle w:val="DefaultParagraphFontPHPDOCX"/>
                  <w:color w:val="0000CC"/>
                  <w:position w:val="-3"/>
                  <w:sz w:val="22"/>
                  <w:szCs w:val="22"/>
                  <w:u w:val="single" w:color="000000"/>
                </w:rPr>
                <w:t>EEF: Parental engagement (Early Years)</w:t>
              </w:r>
            </w:hyperlink>
          </w:p>
        </w:tc>
        <w:tc>
          <w:tcPr>
            <w:tcW w:w="0" w:type="auto"/>
          </w:tcPr>
          <w:p w14:paraId="67AC03F0" w14:textId="77777777" w:rsidR="00A300B5" w:rsidRPr="00A3631B" w:rsidRDefault="00A300B5">
            <w:pPr>
              <w:rPr>
                <w:color w:val="000000"/>
                <w:position w:val="-3"/>
                <w:sz w:val="22"/>
                <w:szCs w:val="22"/>
              </w:rPr>
            </w:pP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AE5A7A1" w14:textId="268C191C" w:rsidR="00A300B5" w:rsidRPr="00A3631B" w:rsidRDefault="00A300B5">
            <w:pPr>
              <w:rPr>
                <w:sz w:val="22"/>
                <w:szCs w:val="22"/>
              </w:rPr>
            </w:pPr>
            <w:r w:rsidRPr="00A3631B">
              <w:rPr>
                <w:color w:val="000000"/>
                <w:position w:val="-3"/>
                <w:sz w:val="22"/>
                <w:szCs w:val="22"/>
              </w:rPr>
              <w:t>5</w:t>
            </w:r>
          </w:p>
        </w:tc>
      </w:tr>
      <w:tr w:rsidR="00A300B5" w:rsidRPr="00A3631B" w14:paraId="19A3A699" w14:textId="77777777" w:rsidTr="00A300B5">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8593806" w14:textId="77777777" w:rsidR="00A300B5" w:rsidRPr="00A3631B" w:rsidRDefault="00A300B5">
            <w:pPr>
              <w:rPr>
                <w:sz w:val="22"/>
                <w:szCs w:val="22"/>
              </w:rPr>
            </w:pPr>
            <w:r w:rsidRPr="00A3631B">
              <w:rPr>
                <w:color w:val="000000"/>
                <w:position w:val="-3"/>
                <w:sz w:val="22"/>
                <w:szCs w:val="22"/>
              </w:rPr>
              <w:t>Breakfast / settling provision for targeted children (early arrival support with structured language‑rich activities to promote attendance and good routines).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1C718D8" w14:textId="77777777" w:rsidR="00A300B5" w:rsidRPr="00A3631B" w:rsidRDefault="00A300B5">
            <w:pPr>
              <w:rPr>
                <w:sz w:val="22"/>
                <w:szCs w:val="22"/>
              </w:rPr>
            </w:pPr>
            <w:r w:rsidRPr="00A3631B">
              <w:rPr>
                <w:color w:val="000000"/>
                <w:position w:val="-3"/>
                <w:sz w:val="22"/>
                <w:szCs w:val="22"/>
              </w:rPr>
              <w:t xml:space="preserve">Structured, purposeful extra provision that includes high‑quality staff interaction and language activity supports both attendance and early learning; links to EEF recommendation to use additional time for targeted, high‑quality interactions. </w:t>
            </w:r>
            <w:hyperlink r:id="rId35" w:history="1">
              <w:r w:rsidRPr="00A3631B">
                <w:rPr>
                  <w:rStyle w:val="DefaultParagraphFontPHPDOCX"/>
                  <w:color w:val="0000CC"/>
                  <w:position w:val="-3"/>
                  <w:sz w:val="22"/>
                  <w:szCs w:val="22"/>
                  <w:u w:val="single" w:color="000000"/>
                </w:rPr>
                <w:t>EEF: Communication and language approaches</w:t>
              </w:r>
            </w:hyperlink>
          </w:p>
        </w:tc>
        <w:tc>
          <w:tcPr>
            <w:tcW w:w="0" w:type="auto"/>
          </w:tcPr>
          <w:p w14:paraId="6150A9F2" w14:textId="77777777" w:rsidR="00A300B5" w:rsidRPr="00A3631B" w:rsidRDefault="00A300B5">
            <w:pPr>
              <w:rPr>
                <w:color w:val="000000"/>
                <w:position w:val="-3"/>
                <w:sz w:val="22"/>
                <w:szCs w:val="22"/>
              </w:rPr>
            </w:pP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E10E810" w14:textId="4D200AF1" w:rsidR="00A300B5" w:rsidRPr="00A3631B" w:rsidRDefault="00A300B5">
            <w:pPr>
              <w:rPr>
                <w:sz w:val="22"/>
                <w:szCs w:val="22"/>
              </w:rPr>
            </w:pPr>
            <w:r w:rsidRPr="00A3631B">
              <w:rPr>
                <w:color w:val="000000"/>
                <w:position w:val="-3"/>
                <w:sz w:val="22"/>
                <w:szCs w:val="22"/>
              </w:rPr>
              <w:t>5, 1</w:t>
            </w:r>
          </w:p>
        </w:tc>
      </w:tr>
      <w:tr w:rsidR="00A300B5" w:rsidRPr="00A3631B" w14:paraId="7C45B26E" w14:textId="77777777" w:rsidTr="00A300B5">
        <w:tc>
          <w:tcPr>
            <w:tcW w:w="0" w:type="auto"/>
            <w:tcBorders>
              <w:top w:val="single" w:sz="5" w:space="0" w:color="000000"/>
              <w:left w:val="single" w:sz="5" w:space="0" w:color="000000"/>
              <w:bottom w:val="single" w:sz="5" w:space="0" w:color="000000"/>
              <w:right w:val="single" w:sz="5" w:space="0" w:color="000000"/>
            </w:tcBorders>
            <w:shd w:val="clear" w:color="auto" w:fill="92D050"/>
            <w:noWrap/>
            <w:tcMar>
              <w:top w:w="120" w:type="dxa"/>
              <w:left w:w="120" w:type="dxa"/>
              <w:bottom w:w="120" w:type="dxa"/>
              <w:right w:w="120" w:type="dxa"/>
            </w:tcMar>
            <w:vAlign w:val="center"/>
          </w:tcPr>
          <w:p w14:paraId="363B0DEE" w14:textId="77777777" w:rsidR="00A300B5" w:rsidRPr="00A3631B" w:rsidRDefault="00A300B5">
            <w:pPr>
              <w:rPr>
                <w:sz w:val="22"/>
                <w:szCs w:val="22"/>
              </w:rPr>
            </w:pPr>
            <w:r w:rsidRPr="00A3631B">
              <w:rPr>
                <w:color w:val="000000"/>
                <w:position w:val="-3"/>
                <w:sz w:val="22"/>
                <w:szCs w:val="22"/>
              </w:rPr>
              <w:t>Rapid referral &amp; multi‑agency pathway for complex SEND: develop a clear SEND pathway (SENCO‑led), protocols for SALT/OT/EP referrals, and ensure in‑setting strategies are applied while referrals progress; link ILPs to the intended curriculum and ensure regular review with parents.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2922ED8" w14:textId="77777777" w:rsidR="00A300B5" w:rsidRPr="00A3631B" w:rsidRDefault="00A300B5">
            <w:pPr>
              <w:rPr>
                <w:sz w:val="22"/>
                <w:szCs w:val="22"/>
              </w:rPr>
            </w:pPr>
            <w:r w:rsidRPr="00A3631B">
              <w:rPr>
                <w:color w:val="000000"/>
                <w:position w:val="-3"/>
                <w:sz w:val="22"/>
                <w:szCs w:val="22"/>
              </w:rPr>
              <w:t xml:space="preserve">EEF Preparing for Literacy stresses combining specialist input (SALT, OT) with in‑setting practice; diagnostic assessment and targeted support should be connected to everyday teaching. </w:t>
            </w:r>
            <w:hyperlink r:id="rId36" w:history="1">
              <w:r w:rsidRPr="00A3631B">
                <w:rPr>
                  <w:rStyle w:val="DefaultParagraphFontPHPDOCX"/>
                  <w:color w:val="0000CC"/>
                  <w:position w:val="-3"/>
                  <w:sz w:val="22"/>
                  <w:szCs w:val="22"/>
                  <w:u w:val="single" w:color="000000"/>
                </w:rPr>
                <w:t>EEF: Preparing for Literacy (diagnostic &amp; targeted support guidance)</w:t>
              </w:r>
            </w:hyperlink>
          </w:p>
        </w:tc>
        <w:tc>
          <w:tcPr>
            <w:tcW w:w="0" w:type="auto"/>
          </w:tcPr>
          <w:p w14:paraId="57C13A3A" w14:textId="77777777" w:rsidR="00A300B5" w:rsidRPr="00A3631B" w:rsidRDefault="00A300B5">
            <w:pPr>
              <w:rPr>
                <w:color w:val="000000"/>
                <w:position w:val="-3"/>
                <w:sz w:val="22"/>
                <w:szCs w:val="22"/>
              </w:rPr>
            </w:pP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D1BBD9C" w14:textId="6E94A66B" w:rsidR="00A300B5" w:rsidRPr="00A3631B" w:rsidRDefault="00A300B5">
            <w:pPr>
              <w:rPr>
                <w:sz w:val="22"/>
                <w:szCs w:val="22"/>
              </w:rPr>
            </w:pPr>
            <w:r w:rsidRPr="00A3631B">
              <w:rPr>
                <w:color w:val="000000"/>
                <w:position w:val="-3"/>
                <w:sz w:val="22"/>
                <w:szCs w:val="22"/>
              </w:rPr>
              <w:t>4</w:t>
            </w:r>
          </w:p>
        </w:tc>
      </w:tr>
      <w:tr w:rsidR="00A300B5" w:rsidRPr="00A3631B" w14:paraId="268C20D9" w14:textId="77777777" w:rsidTr="00A300B5">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8DB1EF9" w14:textId="77777777" w:rsidR="00A300B5" w:rsidRPr="00A3631B" w:rsidRDefault="00A300B5">
            <w:pPr>
              <w:rPr>
                <w:sz w:val="22"/>
                <w:szCs w:val="22"/>
              </w:rPr>
            </w:pPr>
            <w:r w:rsidRPr="00A3631B">
              <w:rPr>
                <w:color w:val="000000"/>
                <w:position w:val="-3"/>
                <w:sz w:val="22"/>
                <w:szCs w:val="22"/>
              </w:rPr>
              <w:t>Family outreach for independence routines (home visits or outreach calls where needed to support toileting/dressing routines) with resource packs and practical coaching.</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93FF76C" w14:textId="77777777" w:rsidR="00A300B5" w:rsidRPr="00A3631B" w:rsidRDefault="00A300B5">
            <w:pPr>
              <w:rPr>
                <w:sz w:val="22"/>
                <w:szCs w:val="22"/>
              </w:rPr>
            </w:pPr>
            <w:r w:rsidRPr="00A3631B">
              <w:rPr>
                <w:color w:val="000000"/>
                <w:position w:val="-3"/>
                <w:sz w:val="22"/>
                <w:szCs w:val="22"/>
              </w:rPr>
              <w:t xml:space="preserve">Parental engagement evidence shows coaching parents in specific strategies (how to read, how to practise routines) is more effective than generic advice; practical, targeted coaching can change home routines that underpin independence. </w:t>
            </w:r>
            <w:hyperlink r:id="rId37" w:history="1">
              <w:r w:rsidRPr="00A3631B">
                <w:rPr>
                  <w:rStyle w:val="DefaultParagraphFontPHPDOCX"/>
                  <w:color w:val="0000CC"/>
                  <w:position w:val="-3"/>
                  <w:sz w:val="22"/>
                  <w:szCs w:val="22"/>
                  <w:u w:val="single" w:color="000000"/>
                </w:rPr>
                <w:t>EEF: Parental engagement (Early Years)</w:t>
              </w:r>
            </w:hyperlink>
          </w:p>
        </w:tc>
        <w:tc>
          <w:tcPr>
            <w:tcW w:w="0" w:type="auto"/>
          </w:tcPr>
          <w:p w14:paraId="783871A0" w14:textId="77777777" w:rsidR="00A300B5" w:rsidRPr="00A3631B" w:rsidRDefault="00A300B5">
            <w:pPr>
              <w:rPr>
                <w:color w:val="000000"/>
                <w:position w:val="-3"/>
                <w:sz w:val="22"/>
                <w:szCs w:val="22"/>
              </w:rPr>
            </w:pP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603B038" w14:textId="2AE39784" w:rsidR="00A300B5" w:rsidRPr="00A3631B" w:rsidRDefault="00A300B5">
            <w:pPr>
              <w:rPr>
                <w:sz w:val="22"/>
                <w:szCs w:val="22"/>
              </w:rPr>
            </w:pPr>
            <w:r w:rsidRPr="00A3631B">
              <w:rPr>
                <w:color w:val="000000"/>
                <w:position w:val="-3"/>
                <w:sz w:val="22"/>
                <w:szCs w:val="22"/>
              </w:rPr>
              <w:t>3, 5</w:t>
            </w:r>
          </w:p>
        </w:tc>
      </w:tr>
    </w:tbl>
    <w:p w14:paraId="68D4E9C4" w14:textId="77777777" w:rsidR="0044675C" w:rsidRDefault="00000000">
      <w:r>
        <w:pict w14:anchorId="33071F58">
          <v:rect id="_x0000_i1030" style="width:0;height:1.5pt" o:hrstd="t" o:hrnoshade="t" o:hr="t" fillcolor="#aca899" stroked="f"/>
        </w:pict>
      </w:r>
    </w:p>
    <w:p w14:paraId="1A30ED57" w14:textId="77777777" w:rsidR="00A300B5" w:rsidRDefault="00A300B5">
      <w:pPr>
        <w:spacing w:before="240" w:after="240"/>
        <w:rPr>
          <w:color w:val="000000"/>
          <w:sz w:val="24"/>
          <w:szCs w:val="24"/>
        </w:rPr>
      </w:pPr>
    </w:p>
    <w:p w14:paraId="41ED8FD7" w14:textId="44AF7539" w:rsidR="0044675C" w:rsidRPr="00A300B5" w:rsidRDefault="00A300B5" w:rsidP="00A300B5">
      <w:pPr>
        <w:spacing w:before="240" w:after="240"/>
        <w:jc w:val="center"/>
        <w:rPr>
          <w:b/>
          <w:bCs/>
        </w:rPr>
      </w:pPr>
      <w:r w:rsidRPr="00A300B5">
        <w:rPr>
          <w:b/>
          <w:bCs/>
          <w:color w:val="000000"/>
          <w:sz w:val="24"/>
          <w:szCs w:val="24"/>
        </w:rPr>
        <w:lastRenderedPageBreak/>
        <w:t>Monitoring, evaluation and governance</w:t>
      </w:r>
    </w:p>
    <w:p w14:paraId="51B406E4" w14:textId="4D5C7008" w:rsidR="0044675C" w:rsidRDefault="00A300B5">
      <w:pPr>
        <w:numPr>
          <w:ilvl w:val="0"/>
          <w:numId w:val="8"/>
        </w:numPr>
        <w:rPr>
          <w:color w:val="000000"/>
          <w:sz w:val="24"/>
          <w:szCs w:val="24"/>
        </w:rPr>
      </w:pPr>
      <w:r>
        <w:rPr>
          <w:color w:val="000000"/>
          <w:sz w:val="24"/>
          <w:szCs w:val="24"/>
        </w:rPr>
        <w:t xml:space="preserve">Baseline data and screening: termly baseline for all children using curriculum‑linked checks. For targeted language groups use </w:t>
      </w:r>
      <w:proofErr w:type="spellStart"/>
      <w:r>
        <w:rPr>
          <w:color w:val="000000"/>
          <w:sz w:val="24"/>
          <w:szCs w:val="24"/>
        </w:rPr>
        <w:t>Wellcom</w:t>
      </w:r>
      <w:proofErr w:type="spellEnd"/>
      <w:r>
        <w:rPr>
          <w:color w:val="000000"/>
          <w:sz w:val="24"/>
          <w:szCs w:val="24"/>
        </w:rPr>
        <w:t xml:space="preserve"> tools and strategies</w:t>
      </w:r>
    </w:p>
    <w:p w14:paraId="0279463A" w14:textId="77777777" w:rsidR="0044675C" w:rsidRDefault="00A300B5">
      <w:pPr>
        <w:numPr>
          <w:ilvl w:val="0"/>
          <w:numId w:val="8"/>
        </w:numPr>
        <w:rPr>
          <w:color w:val="000000"/>
          <w:sz w:val="24"/>
          <w:szCs w:val="24"/>
        </w:rPr>
      </w:pPr>
      <w:r>
        <w:rPr>
          <w:color w:val="000000"/>
          <w:sz w:val="24"/>
          <w:szCs w:val="24"/>
        </w:rPr>
        <w:t>Termly progress reviews: Senior leaders and SENCO analyse progress for disadvantaged groups each term against the Intended Outcomes (see section 3). Review fidelity of delivery (via lesson observations, coaching records), and reallocate resources where impact is not evident.</w:t>
      </w:r>
    </w:p>
    <w:p w14:paraId="0187DA0B" w14:textId="7E8E692F" w:rsidR="0044675C" w:rsidRDefault="00A300B5">
      <w:pPr>
        <w:numPr>
          <w:ilvl w:val="0"/>
          <w:numId w:val="8"/>
        </w:numPr>
        <w:rPr>
          <w:color w:val="000000"/>
          <w:sz w:val="24"/>
          <w:szCs w:val="24"/>
        </w:rPr>
      </w:pPr>
      <w:r>
        <w:rPr>
          <w:color w:val="000000"/>
          <w:sz w:val="24"/>
          <w:szCs w:val="24"/>
        </w:rPr>
        <w:t>Governor oversight chair of governors receives termly report showing progress against targets (communication, PSED, physical development, attendance), interventions in place, cost and impact.</w:t>
      </w:r>
    </w:p>
    <w:p w14:paraId="53C4899A" w14:textId="77777777" w:rsidR="0044675C" w:rsidRDefault="00A300B5">
      <w:pPr>
        <w:numPr>
          <w:ilvl w:val="0"/>
          <w:numId w:val="8"/>
        </w:numPr>
        <w:rPr>
          <w:color w:val="000000"/>
          <w:sz w:val="24"/>
          <w:szCs w:val="24"/>
        </w:rPr>
      </w:pPr>
      <w:r>
        <w:rPr>
          <w:color w:val="000000"/>
          <w:sz w:val="24"/>
          <w:szCs w:val="24"/>
        </w:rPr>
        <w:t>Implementation support: CPD and coaching logs maintained; staff have protected time for training, moderation and planning.</w:t>
      </w:r>
    </w:p>
    <w:p w14:paraId="35DFACDC" w14:textId="77777777" w:rsidR="0044675C" w:rsidRDefault="00A300B5">
      <w:pPr>
        <w:numPr>
          <w:ilvl w:val="0"/>
          <w:numId w:val="8"/>
        </w:numPr>
        <w:rPr>
          <w:color w:val="000000"/>
          <w:sz w:val="24"/>
          <w:szCs w:val="24"/>
        </w:rPr>
      </w:pPr>
      <w:r>
        <w:rPr>
          <w:color w:val="000000"/>
          <w:sz w:val="24"/>
          <w:szCs w:val="24"/>
        </w:rPr>
        <w:t>Evaluation metrics: percentage points change in children not on track (communication, PSED, physical), attendance ≥95% rate, number and outcomes of SALT/OT referrals, parental engagement attendance, fidelity measures (observations &amp; coaching), and case studies for SEND children.</w:t>
      </w:r>
    </w:p>
    <w:p w14:paraId="60F74B70" w14:textId="77777777" w:rsidR="0044675C" w:rsidRDefault="00A300B5">
      <w:pPr>
        <w:spacing w:before="240" w:after="240"/>
      </w:pPr>
      <w:r>
        <w:rPr>
          <w:color w:val="000000"/>
          <w:sz w:val="24"/>
          <w:szCs w:val="24"/>
        </w:rPr>
        <w:t>Resource &amp; staffing implications (summary)</w:t>
      </w:r>
    </w:p>
    <w:p w14:paraId="0A15E786" w14:textId="77777777" w:rsidR="0044675C" w:rsidRDefault="00A300B5">
      <w:pPr>
        <w:numPr>
          <w:ilvl w:val="0"/>
          <w:numId w:val="8"/>
        </w:numPr>
        <w:rPr>
          <w:color w:val="000000"/>
          <w:sz w:val="24"/>
          <w:szCs w:val="24"/>
        </w:rPr>
      </w:pPr>
      <w:r>
        <w:rPr>
          <w:color w:val="000000"/>
          <w:sz w:val="24"/>
          <w:szCs w:val="24"/>
        </w:rPr>
        <w:t>Reallocate existing Pupil Premium allocation to fund: CPD &amp; coaching time; HLTA/TA training and release time for targeted groups; parental workshops and printed resource packs; family liaison role time; specialist SALT/OT buy‑in where waiting lists require school purchase of therapy hours; targeted breakfast/settling provision for small cohort.</w:t>
      </w:r>
    </w:p>
    <w:p w14:paraId="055FBF5F" w14:textId="77777777" w:rsidR="0044675C" w:rsidRDefault="00A300B5">
      <w:pPr>
        <w:numPr>
          <w:ilvl w:val="0"/>
          <w:numId w:val="8"/>
        </w:numPr>
        <w:rPr>
          <w:color w:val="000000"/>
          <w:sz w:val="24"/>
          <w:szCs w:val="24"/>
        </w:rPr>
      </w:pPr>
      <w:r>
        <w:rPr>
          <w:color w:val="000000"/>
          <w:sz w:val="24"/>
          <w:szCs w:val="24"/>
        </w:rPr>
        <w:t xml:space="preserve">Prioritise use of most skilled staff for highest needs groups as recommended by EEF. </w:t>
      </w:r>
      <w:hyperlink r:id="rId38" w:history="1">
        <w:r>
          <w:rPr>
            <w:rStyle w:val="DefaultParagraphFontPHPDOCX"/>
            <w:color w:val="0000CC"/>
            <w:sz w:val="24"/>
            <w:szCs w:val="24"/>
            <w:u w:val="single" w:color="000000"/>
          </w:rPr>
          <w:t>EEF: Preparing for Literacy — targeted support &amp; TA deployment</w:t>
        </w:r>
      </w:hyperlink>
      <w:r>
        <w:rPr>
          <w:color w:val="000000"/>
          <w:sz w:val="24"/>
          <w:szCs w:val="24"/>
        </w:rPr>
        <w:t>.</w:t>
      </w:r>
    </w:p>
    <w:p w14:paraId="15771365" w14:textId="77777777" w:rsidR="00A300B5" w:rsidRDefault="00A300B5" w:rsidP="00A300B5">
      <w:pPr>
        <w:ind w:left="720"/>
        <w:rPr>
          <w:color w:val="000000"/>
          <w:sz w:val="24"/>
          <w:szCs w:val="24"/>
        </w:rPr>
      </w:pPr>
    </w:p>
    <w:p w14:paraId="44E9536F" w14:textId="28AC77FE" w:rsidR="00A300B5" w:rsidRPr="00A300B5" w:rsidRDefault="00A300B5" w:rsidP="00A300B5">
      <w:pPr>
        <w:ind w:left="720"/>
        <w:jc w:val="center"/>
        <w:rPr>
          <w:b/>
          <w:bCs/>
          <w:color w:val="000000"/>
          <w:sz w:val="24"/>
          <w:szCs w:val="24"/>
        </w:rPr>
      </w:pPr>
      <w:r w:rsidRPr="00A300B5">
        <w:rPr>
          <w:b/>
          <w:bCs/>
          <w:color w:val="000000"/>
          <w:sz w:val="24"/>
          <w:szCs w:val="24"/>
        </w:rPr>
        <w:t>Implementation timeline (this academic year)</w:t>
      </w:r>
    </w:p>
    <w:p w14:paraId="50E36273" w14:textId="77777777" w:rsidR="00A300B5" w:rsidRDefault="00A300B5" w:rsidP="00A300B5">
      <w:pPr>
        <w:ind w:left="720"/>
        <w:rPr>
          <w:color w:val="000000"/>
          <w:sz w:val="24"/>
          <w:szCs w:val="24"/>
        </w:rPr>
      </w:pPr>
    </w:p>
    <w:tbl>
      <w:tblPr>
        <w:tblStyle w:val="TableGrid"/>
        <w:tblW w:w="0" w:type="auto"/>
        <w:tblInd w:w="720" w:type="dxa"/>
        <w:tblLook w:val="04A0" w:firstRow="1" w:lastRow="0" w:firstColumn="1" w:lastColumn="0" w:noHBand="0" w:noVBand="1"/>
      </w:tblPr>
      <w:tblGrid>
        <w:gridCol w:w="4383"/>
        <w:gridCol w:w="4371"/>
        <w:gridCol w:w="4371"/>
      </w:tblGrid>
      <w:tr w:rsidR="00A300B5" w14:paraId="256247DB" w14:textId="77777777" w:rsidTr="00A300B5">
        <w:tc>
          <w:tcPr>
            <w:tcW w:w="4383" w:type="dxa"/>
          </w:tcPr>
          <w:p w14:paraId="0D493E5C" w14:textId="2C8F8A13" w:rsidR="00A300B5" w:rsidRDefault="00A300B5" w:rsidP="00A300B5">
            <w:pPr>
              <w:rPr>
                <w:color w:val="000000"/>
                <w:sz w:val="24"/>
                <w:szCs w:val="24"/>
              </w:rPr>
            </w:pPr>
            <w:r w:rsidRPr="00A300B5">
              <w:rPr>
                <w:color w:val="000000"/>
                <w:sz w:val="24"/>
                <w:szCs w:val="24"/>
              </w:rPr>
              <w:t>Term 1</w:t>
            </w:r>
          </w:p>
        </w:tc>
        <w:tc>
          <w:tcPr>
            <w:tcW w:w="4371" w:type="dxa"/>
          </w:tcPr>
          <w:p w14:paraId="4DEA055F" w14:textId="45058FEC" w:rsidR="00A300B5" w:rsidRDefault="00A300B5" w:rsidP="00A300B5">
            <w:pPr>
              <w:rPr>
                <w:color w:val="000000"/>
                <w:sz w:val="24"/>
                <w:szCs w:val="24"/>
              </w:rPr>
            </w:pPr>
            <w:r>
              <w:rPr>
                <w:color w:val="000000"/>
                <w:sz w:val="24"/>
                <w:szCs w:val="24"/>
              </w:rPr>
              <w:t>Term 2</w:t>
            </w:r>
          </w:p>
        </w:tc>
        <w:tc>
          <w:tcPr>
            <w:tcW w:w="4371" w:type="dxa"/>
          </w:tcPr>
          <w:p w14:paraId="25DCDEF6" w14:textId="0E364DAC" w:rsidR="00A300B5" w:rsidRDefault="00A300B5" w:rsidP="00A300B5">
            <w:pPr>
              <w:rPr>
                <w:color w:val="000000"/>
                <w:sz w:val="24"/>
                <w:szCs w:val="24"/>
              </w:rPr>
            </w:pPr>
            <w:r>
              <w:rPr>
                <w:color w:val="000000"/>
                <w:sz w:val="24"/>
                <w:szCs w:val="24"/>
              </w:rPr>
              <w:t>Term 3</w:t>
            </w:r>
          </w:p>
        </w:tc>
      </w:tr>
      <w:tr w:rsidR="00A300B5" w14:paraId="1132F5CF" w14:textId="77777777" w:rsidTr="00A300B5">
        <w:tc>
          <w:tcPr>
            <w:tcW w:w="4383" w:type="dxa"/>
          </w:tcPr>
          <w:p w14:paraId="466B50C9" w14:textId="5C3D5D4A" w:rsidR="00A300B5" w:rsidRDefault="00A300B5" w:rsidP="00A300B5">
            <w:pPr>
              <w:rPr>
                <w:color w:val="000000"/>
                <w:sz w:val="24"/>
                <w:szCs w:val="24"/>
              </w:rPr>
            </w:pPr>
            <w:r w:rsidRPr="00A300B5">
              <w:rPr>
                <w:color w:val="000000"/>
                <w:sz w:val="24"/>
                <w:szCs w:val="24"/>
              </w:rPr>
              <w:t>Baseline screening; staff CPD launch (interactions, self</w:t>
            </w:r>
            <w:r w:rsidRPr="00A300B5">
              <w:rPr>
                <w:rFonts w:ascii="Cambria Math" w:hAnsi="Cambria Math" w:cs="Cambria Math"/>
                <w:color w:val="000000"/>
                <w:sz w:val="24"/>
                <w:szCs w:val="24"/>
              </w:rPr>
              <w:t>‑</w:t>
            </w:r>
            <w:r w:rsidRPr="00A300B5">
              <w:rPr>
                <w:color w:val="000000"/>
                <w:sz w:val="24"/>
                <w:szCs w:val="24"/>
              </w:rPr>
              <w:t>regulation, physical development sequences); curriculum essential knowledge documents drafted; identify cohort for targeted groups; set up family liaison role &amp; attendance protocols.</w:t>
            </w:r>
          </w:p>
        </w:tc>
        <w:tc>
          <w:tcPr>
            <w:tcW w:w="4371" w:type="dxa"/>
          </w:tcPr>
          <w:p w14:paraId="1E06F9A7" w14:textId="62BD6487" w:rsidR="00A300B5" w:rsidRDefault="00A300B5" w:rsidP="00A300B5">
            <w:pPr>
              <w:rPr>
                <w:color w:val="000000"/>
                <w:sz w:val="24"/>
                <w:szCs w:val="24"/>
              </w:rPr>
            </w:pPr>
            <w:r w:rsidRPr="00A300B5">
              <w:rPr>
                <w:color w:val="000000"/>
                <w:sz w:val="24"/>
                <w:szCs w:val="24"/>
              </w:rPr>
              <w:t>Start small group interventions; parental workshops begin; coaching cycles in classrooms; review after 6–8 weeks for early impact</w:t>
            </w:r>
          </w:p>
        </w:tc>
        <w:tc>
          <w:tcPr>
            <w:tcW w:w="4371" w:type="dxa"/>
          </w:tcPr>
          <w:p w14:paraId="0CA42BDA" w14:textId="2404885D" w:rsidR="00A300B5" w:rsidRDefault="00A300B5" w:rsidP="00A300B5">
            <w:pPr>
              <w:rPr>
                <w:color w:val="000000"/>
                <w:sz w:val="24"/>
                <w:szCs w:val="24"/>
              </w:rPr>
            </w:pPr>
            <w:proofErr w:type="gramStart"/>
            <w:r w:rsidRPr="00A300B5">
              <w:rPr>
                <w:color w:val="000000"/>
                <w:sz w:val="24"/>
                <w:szCs w:val="24"/>
              </w:rPr>
              <w:t>Termly</w:t>
            </w:r>
            <w:proofErr w:type="gramEnd"/>
            <w:r w:rsidRPr="00A300B5">
              <w:rPr>
                <w:color w:val="000000"/>
                <w:sz w:val="24"/>
                <w:szCs w:val="24"/>
              </w:rPr>
              <w:t xml:space="preserve"> data review; refine interventions; SALT/OT referral outcomes monitored; plan summer transition support</w:t>
            </w:r>
          </w:p>
        </w:tc>
      </w:tr>
      <w:tr w:rsidR="00A300B5" w14:paraId="7202F4FD" w14:textId="77777777" w:rsidTr="00B25D50">
        <w:tc>
          <w:tcPr>
            <w:tcW w:w="4383" w:type="dxa"/>
          </w:tcPr>
          <w:p w14:paraId="57B56ECE" w14:textId="14AD1F2F" w:rsidR="00A300B5" w:rsidRPr="00A300B5" w:rsidRDefault="00A300B5" w:rsidP="00A300B5">
            <w:pPr>
              <w:rPr>
                <w:color w:val="000000"/>
                <w:sz w:val="24"/>
                <w:szCs w:val="24"/>
              </w:rPr>
            </w:pPr>
            <w:r>
              <w:rPr>
                <w:color w:val="000000"/>
                <w:sz w:val="24"/>
                <w:szCs w:val="24"/>
              </w:rPr>
              <w:t>Ongoing</w:t>
            </w:r>
          </w:p>
        </w:tc>
        <w:tc>
          <w:tcPr>
            <w:tcW w:w="8742" w:type="dxa"/>
            <w:gridSpan w:val="2"/>
          </w:tcPr>
          <w:p w14:paraId="5A1BA7D8" w14:textId="2A2330CF" w:rsidR="00A300B5" w:rsidRPr="00A300B5" w:rsidRDefault="00A300B5" w:rsidP="00A300B5">
            <w:pPr>
              <w:rPr>
                <w:color w:val="000000"/>
                <w:sz w:val="24"/>
                <w:szCs w:val="24"/>
              </w:rPr>
            </w:pPr>
            <w:r w:rsidRPr="00A300B5">
              <w:rPr>
                <w:color w:val="000000"/>
                <w:sz w:val="24"/>
                <w:szCs w:val="24"/>
              </w:rPr>
              <w:t>termly governor reporting and annual strategy refresh with updated targets.</w:t>
            </w:r>
          </w:p>
        </w:tc>
      </w:tr>
    </w:tbl>
    <w:p w14:paraId="206AEB44" w14:textId="77777777" w:rsidR="00A300B5" w:rsidRDefault="00A300B5" w:rsidP="00A300B5">
      <w:pPr>
        <w:ind w:left="720"/>
        <w:rPr>
          <w:color w:val="000000"/>
          <w:sz w:val="24"/>
          <w:szCs w:val="24"/>
        </w:rPr>
      </w:pPr>
    </w:p>
    <w:p w14:paraId="45BA6067" w14:textId="77777777" w:rsidR="0044675C" w:rsidRPr="00A300B5" w:rsidRDefault="00A300B5" w:rsidP="00A300B5">
      <w:pPr>
        <w:spacing w:before="240" w:after="240"/>
        <w:jc w:val="center"/>
        <w:rPr>
          <w:b/>
          <w:bCs/>
        </w:rPr>
      </w:pPr>
      <w:r w:rsidRPr="00A300B5">
        <w:rPr>
          <w:b/>
          <w:bCs/>
          <w:color w:val="000000"/>
          <w:sz w:val="24"/>
          <w:szCs w:val="24"/>
        </w:rPr>
        <w:lastRenderedPageBreak/>
        <w:t>Rationale summary (how evidence links to Birchfield context)</w:t>
      </w:r>
    </w:p>
    <w:p w14:paraId="1A113207" w14:textId="77777777" w:rsidR="0044675C" w:rsidRDefault="00A300B5">
      <w:pPr>
        <w:numPr>
          <w:ilvl w:val="0"/>
          <w:numId w:val="8"/>
        </w:numPr>
        <w:rPr>
          <w:color w:val="000000"/>
          <w:sz w:val="24"/>
          <w:szCs w:val="24"/>
        </w:rPr>
      </w:pPr>
      <w:r>
        <w:rPr>
          <w:color w:val="000000"/>
          <w:sz w:val="24"/>
          <w:szCs w:val="24"/>
        </w:rPr>
        <w:t xml:space="preserve">High proportions of children not on track in communication (56.4%), PSED (66.13%) and physical development (38.1%), plus rising SEND/high level needs, warrant a combined approach: stronger Tier 1 (high‑quality interactions and curriculum clarity), Tier 2 targeted interventions (structured small groups/1:1 for language, self‑regulation and motor skills), and Tier 3 family and attendance supports. This mirrors EEF recommendations for early years settings: prioritise communication &amp; language, embed self‑regulation opportunities, use high‑quality targeted support guided by diagnostic assessment, and engage parents with practical coaching. </w:t>
      </w:r>
      <w:hyperlink r:id="rId39" w:history="1">
        <w:r>
          <w:rPr>
            <w:rStyle w:val="DefaultParagraphFontPHPDOCX"/>
            <w:color w:val="0000CC"/>
            <w:sz w:val="24"/>
            <w:szCs w:val="24"/>
            <w:u w:val="single" w:color="000000"/>
          </w:rPr>
          <w:t>EEF: Communication &amp; language; Preparing for Literacy; Self‑regulation; Physical development</w:t>
        </w:r>
      </w:hyperlink>
      <w:r>
        <w:rPr>
          <w:color w:val="000000"/>
          <w:sz w:val="24"/>
          <w:szCs w:val="24"/>
        </w:rPr>
        <w:t xml:space="preserve"> / </w:t>
      </w:r>
      <w:hyperlink r:id="rId40" w:history="1">
        <w:r>
          <w:rPr>
            <w:rStyle w:val="DefaultParagraphFontPHPDOCX"/>
            <w:color w:val="0000CC"/>
            <w:sz w:val="24"/>
            <w:szCs w:val="24"/>
            <w:u w:val="single" w:color="000000"/>
          </w:rPr>
          <w:t>EEF Preparing for Literacy</w:t>
        </w:r>
      </w:hyperlink>
      <w:r>
        <w:rPr>
          <w:color w:val="000000"/>
          <w:sz w:val="24"/>
          <w:szCs w:val="24"/>
        </w:rPr>
        <w:t xml:space="preserve"> / </w:t>
      </w:r>
      <w:hyperlink r:id="rId41" w:history="1">
        <w:r>
          <w:rPr>
            <w:rStyle w:val="DefaultParagraphFontPHPDOCX"/>
            <w:color w:val="0000CC"/>
            <w:sz w:val="24"/>
            <w:szCs w:val="24"/>
            <w:u w:val="single" w:color="000000"/>
          </w:rPr>
          <w:t>EEF: Self‑regulation</w:t>
        </w:r>
      </w:hyperlink>
      <w:r>
        <w:rPr>
          <w:color w:val="000000"/>
          <w:sz w:val="24"/>
          <w:szCs w:val="24"/>
        </w:rPr>
        <w:t xml:space="preserve"> / </w:t>
      </w:r>
      <w:hyperlink r:id="rId42" w:history="1">
        <w:r>
          <w:rPr>
            <w:rStyle w:val="DefaultParagraphFontPHPDOCX"/>
            <w:color w:val="0000CC"/>
            <w:sz w:val="24"/>
            <w:szCs w:val="24"/>
            <w:u w:val="single" w:color="000000"/>
          </w:rPr>
          <w:t>EEF: Physical development approaches</w:t>
        </w:r>
      </w:hyperlink>
      <w:r>
        <w:rPr>
          <w:color w:val="000000"/>
          <w:sz w:val="24"/>
          <w:szCs w:val="24"/>
        </w:rPr>
        <w:t>.</w:t>
      </w:r>
    </w:p>
    <w:p w14:paraId="20B8EB85" w14:textId="77777777" w:rsidR="0044675C" w:rsidRDefault="00000000">
      <w:r>
        <w:pict w14:anchorId="5F11EBA7">
          <v:rect id="_x0000_i1031" style="width:0;height:1.5pt" o:hrstd="t" o:hrnoshade="t" o:hr="t" fillcolor="#aca899" stroked="f"/>
        </w:pict>
      </w:r>
    </w:p>
    <w:p w14:paraId="4CB02484" w14:textId="77777777" w:rsidR="0044675C" w:rsidRPr="00A300B5" w:rsidRDefault="00A300B5">
      <w:pPr>
        <w:spacing w:before="240" w:after="240"/>
        <w:rPr>
          <w:i/>
          <w:iCs/>
        </w:rPr>
      </w:pPr>
      <w:r w:rsidRPr="00A300B5">
        <w:rPr>
          <w:i/>
          <w:iCs/>
          <w:color w:val="000000"/>
        </w:rPr>
        <w:t>This strategy document aligns Birchfield Nursery School’s planned use of Pupil Premium resources to the DfE Menu of Approaches (Tier 1–3) and to high‑quality EEF evidence for early years practice. The priorities, activities and measurable success criteria above explicitly respond to the local data (communication, PSED, physical development percentages and increasing SEND complexity), and to the Ofsted feedback about clarifying essential knowledge and improving curriculum‑linked assessment.</w:t>
      </w:r>
    </w:p>
    <w:p w14:paraId="1C75CA53" w14:textId="77777777" w:rsidR="0044675C" w:rsidRPr="00A300B5" w:rsidRDefault="00A300B5">
      <w:pPr>
        <w:spacing w:before="240" w:after="240"/>
        <w:rPr>
          <w:i/>
          <w:iCs/>
        </w:rPr>
      </w:pPr>
      <w:r w:rsidRPr="00A300B5">
        <w:rPr>
          <w:i/>
          <w:iCs/>
          <w:color w:val="000000"/>
        </w:rPr>
        <w:t>Evidence sources used (quick reference)</w:t>
      </w:r>
    </w:p>
    <w:p w14:paraId="36497E4E" w14:textId="5A785887" w:rsidR="0044675C" w:rsidRPr="00A300B5" w:rsidRDefault="00A300B5" w:rsidP="00A300B5">
      <w:pPr>
        <w:numPr>
          <w:ilvl w:val="0"/>
          <w:numId w:val="8"/>
        </w:numPr>
        <w:rPr>
          <w:i/>
          <w:iCs/>
          <w:color w:val="000000"/>
        </w:rPr>
      </w:pPr>
      <w:r w:rsidRPr="00A300B5">
        <w:rPr>
          <w:i/>
          <w:iCs/>
          <w:color w:val="000000"/>
        </w:rPr>
        <w:t xml:space="preserve">EEF — Communication and language approaches (Early Years Toolkit): </w:t>
      </w:r>
      <w:hyperlink r:id="rId43" w:history="1">
        <w:r w:rsidRPr="00A300B5">
          <w:rPr>
            <w:rStyle w:val="DefaultParagraphFontPHPDOCX"/>
            <w:i/>
            <w:iCs/>
            <w:color w:val="0000CC"/>
            <w:u w:val="single" w:color="000000"/>
          </w:rPr>
          <w:t>EEF: Communication and language approaches</w:t>
        </w:r>
      </w:hyperlink>
    </w:p>
    <w:p w14:paraId="3C7F3833" w14:textId="77777777" w:rsidR="0044675C" w:rsidRPr="00A300B5" w:rsidRDefault="00A300B5">
      <w:pPr>
        <w:numPr>
          <w:ilvl w:val="0"/>
          <w:numId w:val="8"/>
        </w:numPr>
        <w:rPr>
          <w:i/>
          <w:iCs/>
          <w:color w:val="000000"/>
        </w:rPr>
      </w:pPr>
      <w:r w:rsidRPr="00A300B5">
        <w:rPr>
          <w:i/>
          <w:iCs/>
          <w:color w:val="000000"/>
        </w:rPr>
        <w:t xml:space="preserve">EEF — Preparing for Literacy (guidance report, Early Years): </w:t>
      </w:r>
      <w:hyperlink r:id="rId44" w:history="1">
        <w:r w:rsidRPr="00A300B5">
          <w:rPr>
            <w:rStyle w:val="DefaultParagraphFontPHPDOCX"/>
            <w:i/>
            <w:iCs/>
            <w:color w:val="0000CC"/>
            <w:u w:val="single" w:color="000000"/>
          </w:rPr>
          <w:t>EEF: Preparing for Literacy</w:t>
        </w:r>
      </w:hyperlink>
    </w:p>
    <w:p w14:paraId="779BC967" w14:textId="77777777" w:rsidR="0044675C" w:rsidRPr="00A300B5" w:rsidRDefault="00A300B5">
      <w:pPr>
        <w:numPr>
          <w:ilvl w:val="0"/>
          <w:numId w:val="8"/>
        </w:numPr>
        <w:rPr>
          <w:i/>
          <w:iCs/>
          <w:color w:val="000000"/>
        </w:rPr>
      </w:pPr>
      <w:r w:rsidRPr="00A300B5">
        <w:rPr>
          <w:i/>
          <w:iCs/>
          <w:color w:val="000000"/>
        </w:rPr>
        <w:t xml:space="preserve">EEF — Self‑regulation and Executive Function (Early Years Evidence Store): </w:t>
      </w:r>
      <w:hyperlink r:id="rId45" w:history="1">
        <w:r w:rsidRPr="00A300B5">
          <w:rPr>
            <w:rStyle w:val="DefaultParagraphFontPHPDOCX"/>
            <w:i/>
            <w:iCs/>
            <w:color w:val="0000CC"/>
            <w:u w:val="single" w:color="000000"/>
          </w:rPr>
          <w:t>EEF: Self‑regulation and Executive Function</w:t>
        </w:r>
      </w:hyperlink>
    </w:p>
    <w:p w14:paraId="2E8A5C32" w14:textId="77777777" w:rsidR="0044675C" w:rsidRPr="00A300B5" w:rsidRDefault="00A300B5">
      <w:pPr>
        <w:numPr>
          <w:ilvl w:val="0"/>
          <w:numId w:val="8"/>
        </w:numPr>
        <w:rPr>
          <w:i/>
          <w:iCs/>
          <w:color w:val="000000"/>
        </w:rPr>
      </w:pPr>
      <w:r w:rsidRPr="00A300B5">
        <w:rPr>
          <w:i/>
          <w:iCs/>
          <w:color w:val="000000"/>
        </w:rPr>
        <w:t xml:space="preserve">EEF — Physical development approaches (Early Years Toolkit / Evidence Store): </w:t>
      </w:r>
      <w:hyperlink r:id="rId46" w:history="1">
        <w:r w:rsidRPr="00A300B5">
          <w:rPr>
            <w:rStyle w:val="DefaultParagraphFontPHPDOCX"/>
            <w:i/>
            <w:iCs/>
            <w:color w:val="0000CC"/>
            <w:u w:val="single" w:color="000000"/>
          </w:rPr>
          <w:t>EEF: Physical development approaches</w:t>
        </w:r>
      </w:hyperlink>
    </w:p>
    <w:p w14:paraId="0CFFB3AC" w14:textId="77777777" w:rsidR="0044675C" w:rsidRPr="00A300B5" w:rsidRDefault="00A300B5">
      <w:pPr>
        <w:numPr>
          <w:ilvl w:val="0"/>
          <w:numId w:val="8"/>
        </w:numPr>
        <w:rPr>
          <w:i/>
          <w:iCs/>
          <w:color w:val="000000"/>
        </w:rPr>
      </w:pPr>
      <w:r w:rsidRPr="00A300B5">
        <w:rPr>
          <w:i/>
          <w:iCs/>
          <w:color w:val="000000"/>
        </w:rPr>
        <w:t xml:space="preserve">EEF — Parental engagement (Early Years): </w:t>
      </w:r>
      <w:hyperlink r:id="rId47" w:history="1">
        <w:r w:rsidRPr="00A300B5">
          <w:rPr>
            <w:rStyle w:val="DefaultParagraphFontPHPDOCX"/>
            <w:i/>
            <w:iCs/>
            <w:color w:val="0000CC"/>
            <w:u w:val="single" w:color="000000"/>
          </w:rPr>
          <w:t>EEF: Parental engagement (Early Years)</w:t>
        </w:r>
      </w:hyperlink>
    </w:p>
    <w:p w14:paraId="489C883A" w14:textId="55E906BD" w:rsidR="0044675C" w:rsidRDefault="0044675C">
      <w:pPr>
        <w:spacing w:before="240" w:after="240"/>
      </w:pPr>
    </w:p>
    <w:sectPr w:rsidR="0044675C" w:rsidSect="00A3631B">
      <w:headerReference w:type="default" r:id="rId48"/>
      <w:pgSz w:w="15840" w:h="12240" w:orient="landscape"/>
      <w:pgMar w:top="851" w:right="851" w:bottom="851" w:left="1134"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37BC5" w14:textId="77777777" w:rsidR="009E560F" w:rsidRDefault="009E560F">
      <w:r>
        <w:separator/>
      </w:r>
    </w:p>
  </w:endnote>
  <w:endnote w:type="continuationSeparator" w:id="0">
    <w:p w14:paraId="4D6A7EAD" w14:textId="77777777" w:rsidR="009E560F" w:rsidRDefault="009E5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42B59" w14:textId="77777777" w:rsidR="009E560F" w:rsidRDefault="009E560F">
      <w:r>
        <w:separator/>
      </w:r>
    </w:p>
  </w:footnote>
  <w:footnote w:type="continuationSeparator" w:id="0">
    <w:p w14:paraId="0DC13B4B" w14:textId="77777777" w:rsidR="009E560F" w:rsidRDefault="009E5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2B4E" w14:textId="77777777" w:rsidR="00A41D13" w:rsidRDefault="00A300B5">
    <w:r>
      <w:rPr>
        <w:noProof/>
      </w:rPr>
      <w:drawing>
        <wp:anchor distT="0" distB="0" distL="114300" distR="114300" simplePos="0" relativeHeight="251658240" behindDoc="1" locked="0" layoutInCell="1" allowOverlap="1" wp14:anchorId="368350CA" wp14:editId="56F9A756">
          <wp:simplePos x="0" y="0"/>
          <wp:positionH relativeFrom="column">
            <wp:posOffset>-609600</wp:posOffset>
          </wp:positionH>
          <wp:positionV relativeFrom="paragraph">
            <wp:posOffset>-209550</wp:posOffset>
          </wp:positionV>
          <wp:extent cx="720000" cy="720000"/>
          <wp:effectExtent l="0" t="0" r="6350" b="0"/>
          <wp:wrapTight wrapText="bothSides">
            <wp:wrapPolygon edited="0">
              <wp:start x="1947" y="0"/>
              <wp:lineTo x="0" y="2937"/>
              <wp:lineTo x="0" y="13704"/>
              <wp:lineTo x="1112" y="20556"/>
              <wp:lineTo x="1391" y="20556"/>
              <wp:lineTo x="3337" y="20556"/>
              <wp:lineTo x="21415" y="17619"/>
              <wp:lineTo x="21415" y="2937"/>
              <wp:lineTo x="6397" y="0"/>
              <wp:lineTo x="1947" y="0"/>
            </wp:wrapPolygon>
          </wp:wrapTight>
          <wp:docPr id="80128673" name="image1.png" descr="$LOGO$"/>
          <wp:cNvGraphicFramePr/>
          <a:graphic xmlns:a="http://schemas.openxmlformats.org/drawingml/2006/main">
            <a:graphicData uri="http://schemas.openxmlformats.org/drawingml/2006/picture">
              <pic:pic xmlns:pic="http://schemas.openxmlformats.org/drawingml/2006/picture">
                <pic:nvPicPr>
                  <pic:cNvPr id="1" name="image1.png" descr="$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ln/>
                </pic:spPr>
              </pic:pic>
            </a:graphicData>
          </a:graphic>
          <wp14:sizeRelH relativeFrom="page">
            <wp14:pctWidth>0</wp14:pctWidth>
          </wp14:sizeRelH>
          <wp14:sizeRelV relativeFrom="page">
            <wp14:pctHeight>0</wp14:pctHeight>
          </wp14:sizeRelV>
        </wp:anchor>
      </w:drawing>
    </w:r>
  </w:p>
  <w:p w14:paraId="75F33E60" w14:textId="77777777" w:rsidR="00A41D13" w:rsidRDefault="00A41D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bullet="t" o:hrstd="t" o:hrnoshade="t" o:hr="t" fillcolor="#aca899" stroked="f"/>
    </w:pict>
  </w:numPicBullet>
  <w:abstractNum w:abstractNumId="0" w15:restartNumberingAfterBreak="0">
    <w:nsid w:val="00892514"/>
    <w:multiLevelType w:val="hybridMultilevel"/>
    <w:tmpl w:val="6C848170"/>
    <w:lvl w:ilvl="0" w:tplc="30413722">
      <w:start w:val="1"/>
      <w:numFmt w:val="decimal"/>
      <w:lvlText w:val="%1."/>
      <w:lvlJc w:val="left"/>
      <w:pPr>
        <w:ind w:left="720" w:hanging="360"/>
      </w:pPr>
    </w:lvl>
    <w:lvl w:ilvl="1" w:tplc="30413722" w:tentative="1">
      <w:start w:val="1"/>
      <w:numFmt w:val="lowerLetter"/>
      <w:lvlText w:val="%2."/>
      <w:lvlJc w:val="left"/>
      <w:pPr>
        <w:ind w:left="1440" w:hanging="360"/>
      </w:pPr>
    </w:lvl>
    <w:lvl w:ilvl="2" w:tplc="30413722" w:tentative="1">
      <w:start w:val="1"/>
      <w:numFmt w:val="lowerRoman"/>
      <w:lvlText w:val="%3."/>
      <w:lvlJc w:val="right"/>
      <w:pPr>
        <w:ind w:left="2160" w:hanging="180"/>
      </w:pPr>
    </w:lvl>
    <w:lvl w:ilvl="3" w:tplc="30413722" w:tentative="1">
      <w:start w:val="1"/>
      <w:numFmt w:val="decimal"/>
      <w:lvlText w:val="%4."/>
      <w:lvlJc w:val="left"/>
      <w:pPr>
        <w:ind w:left="2880" w:hanging="360"/>
      </w:pPr>
    </w:lvl>
    <w:lvl w:ilvl="4" w:tplc="30413722" w:tentative="1">
      <w:start w:val="1"/>
      <w:numFmt w:val="lowerLetter"/>
      <w:lvlText w:val="%5."/>
      <w:lvlJc w:val="left"/>
      <w:pPr>
        <w:ind w:left="3600" w:hanging="360"/>
      </w:pPr>
    </w:lvl>
    <w:lvl w:ilvl="5" w:tplc="30413722" w:tentative="1">
      <w:start w:val="1"/>
      <w:numFmt w:val="lowerRoman"/>
      <w:lvlText w:val="%6."/>
      <w:lvlJc w:val="right"/>
      <w:pPr>
        <w:ind w:left="4320" w:hanging="180"/>
      </w:pPr>
    </w:lvl>
    <w:lvl w:ilvl="6" w:tplc="30413722" w:tentative="1">
      <w:start w:val="1"/>
      <w:numFmt w:val="decimal"/>
      <w:lvlText w:val="%7."/>
      <w:lvlJc w:val="left"/>
      <w:pPr>
        <w:ind w:left="5040" w:hanging="360"/>
      </w:pPr>
    </w:lvl>
    <w:lvl w:ilvl="7" w:tplc="30413722" w:tentative="1">
      <w:start w:val="1"/>
      <w:numFmt w:val="lowerLetter"/>
      <w:lvlText w:val="%8."/>
      <w:lvlJc w:val="left"/>
      <w:pPr>
        <w:ind w:left="5760" w:hanging="360"/>
      </w:pPr>
    </w:lvl>
    <w:lvl w:ilvl="8" w:tplc="30413722" w:tentative="1">
      <w:start w:val="1"/>
      <w:numFmt w:val="lowerRoman"/>
      <w:lvlText w:val="%9."/>
      <w:lvlJc w:val="right"/>
      <w:pPr>
        <w:ind w:left="6480" w:hanging="180"/>
      </w:pPr>
    </w:lvl>
  </w:abstractNum>
  <w:abstractNum w:abstractNumId="1" w15:restartNumberingAfterBreak="0">
    <w:nsid w:val="020C260E"/>
    <w:multiLevelType w:val="hybridMultilevel"/>
    <w:tmpl w:val="5658E210"/>
    <w:lvl w:ilvl="0" w:tplc="32121099">
      <w:start w:val="1"/>
      <w:numFmt w:val="decimal"/>
      <w:lvlText w:val="%1."/>
      <w:lvlJc w:val="left"/>
      <w:pPr>
        <w:ind w:left="720" w:hanging="360"/>
      </w:pPr>
    </w:lvl>
    <w:lvl w:ilvl="1" w:tplc="32121099" w:tentative="1">
      <w:start w:val="1"/>
      <w:numFmt w:val="lowerLetter"/>
      <w:lvlText w:val="%2."/>
      <w:lvlJc w:val="left"/>
      <w:pPr>
        <w:ind w:left="1440" w:hanging="360"/>
      </w:pPr>
    </w:lvl>
    <w:lvl w:ilvl="2" w:tplc="32121099" w:tentative="1">
      <w:start w:val="1"/>
      <w:numFmt w:val="lowerRoman"/>
      <w:lvlText w:val="%3."/>
      <w:lvlJc w:val="right"/>
      <w:pPr>
        <w:ind w:left="2160" w:hanging="180"/>
      </w:pPr>
    </w:lvl>
    <w:lvl w:ilvl="3" w:tplc="32121099" w:tentative="1">
      <w:start w:val="1"/>
      <w:numFmt w:val="decimal"/>
      <w:lvlText w:val="%4."/>
      <w:lvlJc w:val="left"/>
      <w:pPr>
        <w:ind w:left="2880" w:hanging="360"/>
      </w:pPr>
    </w:lvl>
    <w:lvl w:ilvl="4" w:tplc="32121099" w:tentative="1">
      <w:start w:val="1"/>
      <w:numFmt w:val="lowerLetter"/>
      <w:lvlText w:val="%5."/>
      <w:lvlJc w:val="left"/>
      <w:pPr>
        <w:ind w:left="3600" w:hanging="360"/>
      </w:pPr>
    </w:lvl>
    <w:lvl w:ilvl="5" w:tplc="32121099" w:tentative="1">
      <w:start w:val="1"/>
      <w:numFmt w:val="lowerRoman"/>
      <w:lvlText w:val="%6."/>
      <w:lvlJc w:val="right"/>
      <w:pPr>
        <w:ind w:left="4320" w:hanging="180"/>
      </w:pPr>
    </w:lvl>
    <w:lvl w:ilvl="6" w:tplc="32121099" w:tentative="1">
      <w:start w:val="1"/>
      <w:numFmt w:val="decimal"/>
      <w:lvlText w:val="%7."/>
      <w:lvlJc w:val="left"/>
      <w:pPr>
        <w:ind w:left="5040" w:hanging="360"/>
      </w:pPr>
    </w:lvl>
    <w:lvl w:ilvl="7" w:tplc="32121099" w:tentative="1">
      <w:start w:val="1"/>
      <w:numFmt w:val="lowerLetter"/>
      <w:lvlText w:val="%8."/>
      <w:lvlJc w:val="left"/>
      <w:pPr>
        <w:ind w:left="5760" w:hanging="360"/>
      </w:pPr>
    </w:lvl>
    <w:lvl w:ilvl="8" w:tplc="32121099" w:tentative="1">
      <w:start w:val="1"/>
      <w:numFmt w:val="lowerRoman"/>
      <w:lvlText w:val="%9."/>
      <w:lvlJc w:val="right"/>
      <w:pPr>
        <w:ind w:left="6480" w:hanging="180"/>
      </w:pPr>
    </w:lvl>
  </w:abstractNum>
  <w:abstractNum w:abstractNumId="2" w15:restartNumberingAfterBreak="0">
    <w:nsid w:val="074C194C"/>
    <w:multiLevelType w:val="hybridMultilevel"/>
    <w:tmpl w:val="4A7E3646"/>
    <w:lvl w:ilvl="0" w:tplc="81112377">
      <w:start w:val="1"/>
      <w:numFmt w:val="decimal"/>
      <w:lvlText w:val="%1."/>
      <w:lvlJc w:val="left"/>
      <w:pPr>
        <w:ind w:left="720" w:hanging="360"/>
      </w:pPr>
    </w:lvl>
    <w:lvl w:ilvl="1" w:tplc="81112377" w:tentative="1">
      <w:start w:val="1"/>
      <w:numFmt w:val="lowerLetter"/>
      <w:lvlText w:val="%2."/>
      <w:lvlJc w:val="left"/>
      <w:pPr>
        <w:ind w:left="1440" w:hanging="360"/>
      </w:pPr>
    </w:lvl>
    <w:lvl w:ilvl="2" w:tplc="81112377" w:tentative="1">
      <w:start w:val="1"/>
      <w:numFmt w:val="lowerRoman"/>
      <w:lvlText w:val="%3."/>
      <w:lvlJc w:val="right"/>
      <w:pPr>
        <w:ind w:left="2160" w:hanging="180"/>
      </w:pPr>
    </w:lvl>
    <w:lvl w:ilvl="3" w:tplc="81112377" w:tentative="1">
      <w:start w:val="1"/>
      <w:numFmt w:val="decimal"/>
      <w:lvlText w:val="%4."/>
      <w:lvlJc w:val="left"/>
      <w:pPr>
        <w:ind w:left="2880" w:hanging="360"/>
      </w:pPr>
    </w:lvl>
    <w:lvl w:ilvl="4" w:tplc="81112377" w:tentative="1">
      <w:start w:val="1"/>
      <w:numFmt w:val="lowerLetter"/>
      <w:lvlText w:val="%5."/>
      <w:lvlJc w:val="left"/>
      <w:pPr>
        <w:ind w:left="3600" w:hanging="360"/>
      </w:pPr>
    </w:lvl>
    <w:lvl w:ilvl="5" w:tplc="81112377" w:tentative="1">
      <w:start w:val="1"/>
      <w:numFmt w:val="lowerRoman"/>
      <w:lvlText w:val="%6."/>
      <w:lvlJc w:val="right"/>
      <w:pPr>
        <w:ind w:left="4320" w:hanging="180"/>
      </w:pPr>
    </w:lvl>
    <w:lvl w:ilvl="6" w:tplc="81112377" w:tentative="1">
      <w:start w:val="1"/>
      <w:numFmt w:val="decimal"/>
      <w:lvlText w:val="%7."/>
      <w:lvlJc w:val="left"/>
      <w:pPr>
        <w:ind w:left="5040" w:hanging="360"/>
      </w:pPr>
    </w:lvl>
    <w:lvl w:ilvl="7" w:tplc="81112377" w:tentative="1">
      <w:start w:val="1"/>
      <w:numFmt w:val="lowerLetter"/>
      <w:lvlText w:val="%8."/>
      <w:lvlJc w:val="left"/>
      <w:pPr>
        <w:ind w:left="5760" w:hanging="360"/>
      </w:pPr>
    </w:lvl>
    <w:lvl w:ilvl="8" w:tplc="81112377" w:tentative="1">
      <w:start w:val="1"/>
      <w:numFmt w:val="lowerRoman"/>
      <w:lvlText w:val="%9."/>
      <w:lvlJc w:val="right"/>
      <w:pPr>
        <w:ind w:left="6480" w:hanging="180"/>
      </w:pPr>
    </w:lvl>
  </w:abstractNum>
  <w:abstractNum w:abstractNumId="3"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2E6F07BD"/>
    <w:multiLevelType w:val="hybridMultilevel"/>
    <w:tmpl w:val="FF504462"/>
    <w:lvl w:ilvl="0" w:tplc="19599484">
      <w:start w:val="1"/>
      <w:numFmt w:val="decimal"/>
      <w:lvlText w:val="%1."/>
      <w:lvlJc w:val="left"/>
      <w:pPr>
        <w:ind w:left="720" w:hanging="360"/>
      </w:pPr>
    </w:lvl>
    <w:lvl w:ilvl="1" w:tplc="19599484" w:tentative="1">
      <w:start w:val="1"/>
      <w:numFmt w:val="lowerLetter"/>
      <w:lvlText w:val="%2."/>
      <w:lvlJc w:val="left"/>
      <w:pPr>
        <w:ind w:left="1440" w:hanging="360"/>
      </w:pPr>
    </w:lvl>
    <w:lvl w:ilvl="2" w:tplc="19599484" w:tentative="1">
      <w:start w:val="1"/>
      <w:numFmt w:val="lowerRoman"/>
      <w:lvlText w:val="%3."/>
      <w:lvlJc w:val="right"/>
      <w:pPr>
        <w:ind w:left="2160" w:hanging="180"/>
      </w:pPr>
    </w:lvl>
    <w:lvl w:ilvl="3" w:tplc="19599484" w:tentative="1">
      <w:start w:val="1"/>
      <w:numFmt w:val="decimal"/>
      <w:lvlText w:val="%4."/>
      <w:lvlJc w:val="left"/>
      <w:pPr>
        <w:ind w:left="2880" w:hanging="360"/>
      </w:pPr>
    </w:lvl>
    <w:lvl w:ilvl="4" w:tplc="19599484" w:tentative="1">
      <w:start w:val="1"/>
      <w:numFmt w:val="lowerLetter"/>
      <w:lvlText w:val="%5."/>
      <w:lvlJc w:val="left"/>
      <w:pPr>
        <w:ind w:left="3600" w:hanging="360"/>
      </w:pPr>
    </w:lvl>
    <w:lvl w:ilvl="5" w:tplc="19599484" w:tentative="1">
      <w:start w:val="1"/>
      <w:numFmt w:val="lowerRoman"/>
      <w:lvlText w:val="%6."/>
      <w:lvlJc w:val="right"/>
      <w:pPr>
        <w:ind w:left="4320" w:hanging="180"/>
      </w:pPr>
    </w:lvl>
    <w:lvl w:ilvl="6" w:tplc="19599484" w:tentative="1">
      <w:start w:val="1"/>
      <w:numFmt w:val="decimal"/>
      <w:lvlText w:val="%7."/>
      <w:lvlJc w:val="left"/>
      <w:pPr>
        <w:ind w:left="5040" w:hanging="360"/>
      </w:pPr>
    </w:lvl>
    <w:lvl w:ilvl="7" w:tplc="19599484" w:tentative="1">
      <w:start w:val="1"/>
      <w:numFmt w:val="lowerLetter"/>
      <w:lvlText w:val="%8."/>
      <w:lvlJc w:val="left"/>
      <w:pPr>
        <w:ind w:left="5760" w:hanging="360"/>
      </w:pPr>
    </w:lvl>
    <w:lvl w:ilvl="8" w:tplc="19599484" w:tentative="1">
      <w:start w:val="1"/>
      <w:numFmt w:val="lowerRoman"/>
      <w:lvlText w:val="%9."/>
      <w:lvlJc w:val="right"/>
      <w:pPr>
        <w:ind w:left="6480" w:hanging="180"/>
      </w:pPr>
    </w:lvl>
  </w:abstractNum>
  <w:abstractNum w:abstractNumId="5"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39970AB6"/>
    <w:multiLevelType w:val="hybridMultilevel"/>
    <w:tmpl w:val="567AD9F2"/>
    <w:lvl w:ilvl="0" w:tplc="23250023">
      <w:start w:val="1"/>
      <w:numFmt w:val="decimal"/>
      <w:lvlText w:val="%1."/>
      <w:lvlJc w:val="left"/>
      <w:pPr>
        <w:ind w:left="720" w:hanging="360"/>
      </w:pPr>
    </w:lvl>
    <w:lvl w:ilvl="1" w:tplc="23250023" w:tentative="1">
      <w:start w:val="1"/>
      <w:numFmt w:val="lowerLetter"/>
      <w:lvlText w:val="%2."/>
      <w:lvlJc w:val="left"/>
      <w:pPr>
        <w:ind w:left="1440" w:hanging="360"/>
      </w:pPr>
    </w:lvl>
    <w:lvl w:ilvl="2" w:tplc="23250023" w:tentative="1">
      <w:start w:val="1"/>
      <w:numFmt w:val="lowerRoman"/>
      <w:lvlText w:val="%3."/>
      <w:lvlJc w:val="right"/>
      <w:pPr>
        <w:ind w:left="2160" w:hanging="180"/>
      </w:pPr>
    </w:lvl>
    <w:lvl w:ilvl="3" w:tplc="23250023" w:tentative="1">
      <w:start w:val="1"/>
      <w:numFmt w:val="decimal"/>
      <w:lvlText w:val="%4."/>
      <w:lvlJc w:val="left"/>
      <w:pPr>
        <w:ind w:left="2880" w:hanging="360"/>
      </w:pPr>
    </w:lvl>
    <w:lvl w:ilvl="4" w:tplc="23250023" w:tentative="1">
      <w:start w:val="1"/>
      <w:numFmt w:val="lowerLetter"/>
      <w:lvlText w:val="%5."/>
      <w:lvlJc w:val="left"/>
      <w:pPr>
        <w:ind w:left="3600" w:hanging="360"/>
      </w:pPr>
    </w:lvl>
    <w:lvl w:ilvl="5" w:tplc="23250023" w:tentative="1">
      <w:start w:val="1"/>
      <w:numFmt w:val="lowerRoman"/>
      <w:lvlText w:val="%6."/>
      <w:lvlJc w:val="right"/>
      <w:pPr>
        <w:ind w:left="4320" w:hanging="180"/>
      </w:pPr>
    </w:lvl>
    <w:lvl w:ilvl="6" w:tplc="23250023" w:tentative="1">
      <w:start w:val="1"/>
      <w:numFmt w:val="decimal"/>
      <w:lvlText w:val="%7."/>
      <w:lvlJc w:val="left"/>
      <w:pPr>
        <w:ind w:left="5040" w:hanging="360"/>
      </w:pPr>
    </w:lvl>
    <w:lvl w:ilvl="7" w:tplc="23250023" w:tentative="1">
      <w:start w:val="1"/>
      <w:numFmt w:val="lowerLetter"/>
      <w:lvlText w:val="%8."/>
      <w:lvlJc w:val="left"/>
      <w:pPr>
        <w:ind w:left="5760" w:hanging="360"/>
      </w:pPr>
    </w:lvl>
    <w:lvl w:ilvl="8" w:tplc="23250023" w:tentative="1">
      <w:start w:val="1"/>
      <w:numFmt w:val="lowerRoman"/>
      <w:lvlText w:val="%9."/>
      <w:lvlJc w:val="right"/>
      <w:pPr>
        <w:ind w:left="6480" w:hanging="180"/>
      </w:pPr>
    </w:lvl>
  </w:abstractNum>
  <w:abstractNum w:abstractNumId="7" w15:restartNumberingAfterBreak="0">
    <w:nsid w:val="3C973BB2"/>
    <w:multiLevelType w:val="hybridMultilevel"/>
    <w:tmpl w:val="B17ECB58"/>
    <w:lvl w:ilvl="0" w:tplc="39110769">
      <w:start w:val="1"/>
      <w:numFmt w:val="decimal"/>
      <w:lvlText w:val="%1."/>
      <w:lvlJc w:val="left"/>
      <w:pPr>
        <w:ind w:left="720" w:hanging="360"/>
      </w:pPr>
    </w:lvl>
    <w:lvl w:ilvl="1" w:tplc="39110769" w:tentative="1">
      <w:start w:val="1"/>
      <w:numFmt w:val="lowerLetter"/>
      <w:lvlText w:val="%2."/>
      <w:lvlJc w:val="left"/>
      <w:pPr>
        <w:ind w:left="1440" w:hanging="360"/>
      </w:pPr>
    </w:lvl>
    <w:lvl w:ilvl="2" w:tplc="39110769" w:tentative="1">
      <w:start w:val="1"/>
      <w:numFmt w:val="lowerRoman"/>
      <w:lvlText w:val="%3."/>
      <w:lvlJc w:val="right"/>
      <w:pPr>
        <w:ind w:left="2160" w:hanging="180"/>
      </w:pPr>
    </w:lvl>
    <w:lvl w:ilvl="3" w:tplc="39110769" w:tentative="1">
      <w:start w:val="1"/>
      <w:numFmt w:val="decimal"/>
      <w:lvlText w:val="%4."/>
      <w:lvlJc w:val="left"/>
      <w:pPr>
        <w:ind w:left="2880" w:hanging="360"/>
      </w:pPr>
    </w:lvl>
    <w:lvl w:ilvl="4" w:tplc="39110769" w:tentative="1">
      <w:start w:val="1"/>
      <w:numFmt w:val="lowerLetter"/>
      <w:lvlText w:val="%5."/>
      <w:lvlJc w:val="left"/>
      <w:pPr>
        <w:ind w:left="3600" w:hanging="360"/>
      </w:pPr>
    </w:lvl>
    <w:lvl w:ilvl="5" w:tplc="39110769" w:tentative="1">
      <w:start w:val="1"/>
      <w:numFmt w:val="lowerRoman"/>
      <w:lvlText w:val="%6."/>
      <w:lvlJc w:val="right"/>
      <w:pPr>
        <w:ind w:left="4320" w:hanging="180"/>
      </w:pPr>
    </w:lvl>
    <w:lvl w:ilvl="6" w:tplc="39110769" w:tentative="1">
      <w:start w:val="1"/>
      <w:numFmt w:val="decimal"/>
      <w:lvlText w:val="%7."/>
      <w:lvlJc w:val="left"/>
      <w:pPr>
        <w:ind w:left="5040" w:hanging="360"/>
      </w:pPr>
    </w:lvl>
    <w:lvl w:ilvl="7" w:tplc="39110769" w:tentative="1">
      <w:start w:val="1"/>
      <w:numFmt w:val="lowerLetter"/>
      <w:lvlText w:val="%8."/>
      <w:lvlJc w:val="left"/>
      <w:pPr>
        <w:ind w:left="5760" w:hanging="360"/>
      </w:pPr>
    </w:lvl>
    <w:lvl w:ilvl="8" w:tplc="39110769" w:tentative="1">
      <w:start w:val="1"/>
      <w:numFmt w:val="lowerRoman"/>
      <w:lvlText w:val="%9."/>
      <w:lvlJc w:val="right"/>
      <w:pPr>
        <w:ind w:left="6480" w:hanging="180"/>
      </w:pPr>
    </w:lvl>
  </w:abstractNum>
  <w:abstractNum w:abstractNumId="8" w15:restartNumberingAfterBreak="0">
    <w:nsid w:val="45BC7869"/>
    <w:multiLevelType w:val="hybridMultilevel"/>
    <w:tmpl w:val="66A893E0"/>
    <w:lvl w:ilvl="0" w:tplc="32813898">
      <w:start w:val="1"/>
      <w:numFmt w:val="decimal"/>
      <w:lvlText w:val="%1."/>
      <w:lvlJc w:val="left"/>
      <w:pPr>
        <w:ind w:left="720" w:hanging="360"/>
      </w:pPr>
    </w:lvl>
    <w:lvl w:ilvl="1" w:tplc="32813898" w:tentative="1">
      <w:start w:val="1"/>
      <w:numFmt w:val="lowerLetter"/>
      <w:lvlText w:val="%2."/>
      <w:lvlJc w:val="left"/>
      <w:pPr>
        <w:ind w:left="1440" w:hanging="360"/>
      </w:pPr>
    </w:lvl>
    <w:lvl w:ilvl="2" w:tplc="32813898" w:tentative="1">
      <w:start w:val="1"/>
      <w:numFmt w:val="lowerRoman"/>
      <w:lvlText w:val="%3."/>
      <w:lvlJc w:val="right"/>
      <w:pPr>
        <w:ind w:left="2160" w:hanging="180"/>
      </w:pPr>
    </w:lvl>
    <w:lvl w:ilvl="3" w:tplc="32813898" w:tentative="1">
      <w:start w:val="1"/>
      <w:numFmt w:val="decimal"/>
      <w:lvlText w:val="%4."/>
      <w:lvlJc w:val="left"/>
      <w:pPr>
        <w:ind w:left="2880" w:hanging="360"/>
      </w:pPr>
    </w:lvl>
    <w:lvl w:ilvl="4" w:tplc="32813898" w:tentative="1">
      <w:start w:val="1"/>
      <w:numFmt w:val="lowerLetter"/>
      <w:lvlText w:val="%5."/>
      <w:lvlJc w:val="left"/>
      <w:pPr>
        <w:ind w:left="3600" w:hanging="360"/>
      </w:pPr>
    </w:lvl>
    <w:lvl w:ilvl="5" w:tplc="32813898" w:tentative="1">
      <w:start w:val="1"/>
      <w:numFmt w:val="lowerRoman"/>
      <w:lvlText w:val="%6."/>
      <w:lvlJc w:val="right"/>
      <w:pPr>
        <w:ind w:left="4320" w:hanging="180"/>
      </w:pPr>
    </w:lvl>
    <w:lvl w:ilvl="6" w:tplc="32813898" w:tentative="1">
      <w:start w:val="1"/>
      <w:numFmt w:val="decimal"/>
      <w:lvlText w:val="%7."/>
      <w:lvlJc w:val="left"/>
      <w:pPr>
        <w:ind w:left="5040" w:hanging="360"/>
      </w:pPr>
    </w:lvl>
    <w:lvl w:ilvl="7" w:tplc="32813898" w:tentative="1">
      <w:start w:val="1"/>
      <w:numFmt w:val="lowerLetter"/>
      <w:lvlText w:val="%8."/>
      <w:lvlJc w:val="left"/>
      <w:pPr>
        <w:ind w:left="5760" w:hanging="360"/>
      </w:pPr>
    </w:lvl>
    <w:lvl w:ilvl="8" w:tplc="32813898" w:tentative="1">
      <w:start w:val="1"/>
      <w:numFmt w:val="lowerRoman"/>
      <w:lvlText w:val="%9."/>
      <w:lvlJc w:val="right"/>
      <w:pPr>
        <w:ind w:left="6480" w:hanging="180"/>
      </w:pPr>
    </w:lvl>
  </w:abstractNum>
  <w:abstractNum w:abstractNumId="9"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24B554E"/>
    <w:multiLevelType w:val="hybridMultilevel"/>
    <w:tmpl w:val="D33A05F4"/>
    <w:lvl w:ilvl="0" w:tplc="33639181">
      <w:start w:val="1"/>
      <w:numFmt w:val="decimal"/>
      <w:lvlText w:val="%1."/>
      <w:lvlJc w:val="left"/>
      <w:pPr>
        <w:ind w:left="720" w:hanging="360"/>
      </w:pPr>
    </w:lvl>
    <w:lvl w:ilvl="1" w:tplc="33639181" w:tentative="1">
      <w:start w:val="1"/>
      <w:numFmt w:val="lowerLetter"/>
      <w:lvlText w:val="%2."/>
      <w:lvlJc w:val="left"/>
      <w:pPr>
        <w:ind w:left="1440" w:hanging="360"/>
      </w:pPr>
    </w:lvl>
    <w:lvl w:ilvl="2" w:tplc="33639181" w:tentative="1">
      <w:start w:val="1"/>
      <w:numFmt w:val="lowerRoman"/>
      <w:lvlText w:val="%3."/>
      <w:lvlJc w:val="right"/>
      <w:pPr>
        <w:ind w:left="2160" w:hanging="180"/>
      </w:pPr>
    </w:lvl>
    <w:lvl w:ilvl="3" w:tplc="33639181" w:tentative="1">
      <w:start w:val="1"/>
      <w:numFmt w:val="decimal"/>
      <w:lvlText w:val="%4."/>
      <w:lvlJc w:val="left"/>
      <w:pPr>
        <w:ind w:left="2880" w:hanging="360"/>
      </w:pPr>
    </w:lvl>
    <w:lvl w:ilvl="4" w:tplc="33639181" w:tentative="1">
      <w:start w:val="1"/>
      <w:numFmt w:val="lowerLetter"/>
      <w:lvlText w:val="%5."/>
      <w:lvlJc w:val="left"/>
      <w:pPr>
        <w:ind w:left="3600" w:hanging="360"/>
      </w:pPr>
    </w:lvl>
    <w:lvl w:ilvl="5" w:tplc="33639181" w:tentative="1">
      <w:start w:val="1"/>
      <w:numFmt w:val="lowerRoman"/>
      <w:lvlText w:val="%6."/>
      <w:lvlJc w:val="right"/>
      <w:pPr>
        <w:ind w:left="4320" w:hanging="180"/>
      </w:pPr>
    </w:lvl>
    <w:lvl w:ilvl="6" w:tplc="33639181" w:tentative="1">
      <w:start w:val="1"/>
      <w:numFmt w:val="decimal"/>
      <w:lvlText w:val="%7."/>
      <w:lvlJc w:val="left"/>
      <w:pPr>
        <w:ind w:left="5040" w:hanging="360"/>
      </w:pPr>
    </w:lvl>
    <w:lvl w:ilvl="7" w:tplc="33639181" w:tentative="1">
      <w:start w:val="1"/>
      <w:numFmt w:val="lowerLetter"/>
      <w:lvlText w:val="%8."/>
      <w:lvlJc w:val="left"/>
      <w:pPr>
        <w:ind w:left="5760" w:hanging="360"/>
      </w:pPr>
    </w:lvl>
    <w:lvl w:ilvl="8" w:tplc="33639181" w:tentative="1">
      <w:start w:val="1"/>
      <w:numFmt w:val="lowerRoman"/>
      <w:lvlText w:val="%9."/>
      <w:lvlJc w:val="right"/>
      <w:pPr>
        <w:ind w:left="6480" w:hanging="180"/>
      </w:pPr>
    </w:lvl>
  </w:abstractNum>
  <w:abstractNum w:abstractNumId="12" w15:restartNumberingAfterBreak="0">
    <w:nsid w:val="531E697A"/>
    <w:multiLevelType w:val="hybridMultilevel"/>
    <w:tmpl w:val="6652CFF6"/>
    <w:lvl w:ilvl="0" w:tplc="15666048">
      <w:start w:val="1"/>
      <w:numFmt w:val="decimal"/>
      <w:lvlText w:val="%1."/>
      <w:lvlJc w:val="left"/>
      <w:pPr>
        <w:ind w:left="720" w:hanging="360"/>
      </w:pPr>
    </w:lvl>
    <w:lvl w:ilvl="1" w:tplc="15666048" w:tentative="1">
      <w:start w:val="1"/>
      <w:numFmt w:val="lowerLetter"/>
      <w:lvlText w:val="%2."/>
      <w:lvlJc w:val="left"/>
      <w:pPr>
        <w:ind w:left="1440" w:hanging="360"/>
      </w:pPr>
    </w:lvl>
    <w:lvl w:ilvl="2" w:tplc="15666048" w:tentative="1">
      <w:start w:val="1"/>
      <w:numFmt w:val="lowerRoman"/>
      <w:lvlText w:val="%3."/>
      <w:lvlJc w:val="right"/>
      <w:pPr>
        <w:ind w:left="2160" w:hanging="180"/>
      </w:pPr>
    </w:lvl>
    <w:lvl w:ilvl="3" w:tplc="15666048" w:tentative="1">
      <w:start w:val="1"/>
      <w:numFmt w:val="decimal"/>
      <w:lvlText w:val="%4."/>
      <w:lvlJc w:val="left"/>
      <w:pPr>
        <w:ind w:left="2880" w:hanging="360"/>
      </w:pPr>
    </w:lvl>
    <w:lvl w:ilvl="4" w:tplc="15666048" w:tentative="1">
      <w:start w:val="1"/>
      <w:numFmt w:val="lowerLetter"/>
      <w:lvlText w:val="%5."/>
      <w:lvlJc w:val="left"/>
      <w:pPr>
        <w:ind w:left="3600" w:hanging="360"/>
      </w:pPr>
    </w:lvl>
    <w:lvl w:ilvl="5" w:tplc="15666048" w:tentative="1">
      <w:start w:val="1"/>
      <w:numFmt w:val="lowerRoman"/>
      <w:lvlText w:val="%6."/>
      <w:lvlJc w:val="right"/>
      <w:pPr>
        <w:ind w:left="4320" w:hanging="180"/>
      </w:pPr>
    </w:lvl>
    <w:lvl w:ilvl="6" w:tplc="15666048" w:tentative="1">
      <w:start w:val="1"/>
      <w:numFmt w:val="decimal"/>
      <w:lvlText w:val="%7."/>
      <w:lvlJc w:val="left"/>
      <w:pPr>
        <w:ind w:left="5040" w:hanging="360"/>
      </w:pPr>
    </w:lvl>
    <w:lvl w:ilvl="7" w:tplc="15666048" w:tentative="1">
      <w:start w:val="1"/>
      <w:numFmt w:val="lowerLetter"/>
      <w:lvlText w:val="%8."/>
      <w:lvlJc w:val="left"/>
      <w:pPr>
        <w:ind w:left="5760" w:hanging="360"/>
      </w:pPr>
    </w:lvl>
    <w:lvl w:ilvl="8" w:tplc="15666048" w:tentative="1">
      <w:start w:val="1"/>
      <w:numFmt w:val="lowerRoman"/>
      <w:lvlText w:val="%9."/>
      <w:lvlJc w:val="right"/>
      <w:pPr>
        <w:ind w:left="6480" w:hanging="180"/>
      </w:pPr>
    </w:lvl>
  </w:abstractNum>
  <w:abstractNum w:abstractNumId="13" w15:restartNumberingAfterBreak="0">
    <w:nsid w:val="552413AD"/>
    <w:multiLevelType w:val="hybridMultilevel"/>
    <w:tmpl w:val="096E2728"/>
    <w:lvl w:ilvl="0" w:tplc="477346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03172A1"/>
    <w:multiLevelType w:val="hybridMultilevel"/>
    <w:tmpl w:val="AA667A6E"/>
    <w:lvl w:ilvl="0" w:tplc="28104431">
      <w:start w:val="1"/>
      <w:numFmt w:val="decimal"/>
      <w:lvlText w:val="%1."/>
      <w:lvlJc w:val="left"/>
      <w:pPr>
        <w:ind w:left="720" w:hanging="360"/>
      </w:pPr>
    </w:lvl>
    <w:lvl w:ilvl="1" w:tplc="28104431" w:tentative="1">
      <w:start w:val="1"/>
      <w:numFmt w:val="lowerLetter"/>
      <w:lvlText w:val="%2."/>
      <w:lvlJc w:val="left"/>
      <w:pPr>
        <w:ind w:left="1440" w:hanging="360"/>
      </w:pPr>
    </w:lvl>
    <w:lvl w:ilvl="2" w:tplc="28104431" w:tentative="1">
      <w:start w:val="1"/>
      <w:numFmt w:val="lowerRoman"/>
      <w:lvlText w:val="%3."/>
      <w:lvlJc w:val="right"/>
      <w:pPr>
        <w:ind w:left="2160" w:hanging="180"/>
      </w:pPr>
    </w:lvl>
    <w:lvl w:ilvl="3" w:tplc="28104431" w:tentative="1">
      <w:start w:val="1"/>
      <w:numFmt w:val="decimal"/>
      <w:lvlText w:val="%4."/>
      <w:lvlJc w:val="left"/>
      <w:pPr>
        <w:ind w:left="2880" w:hanging="360"/>
      </w:pPr>
    </w:lvl>
    <w:lvl w:ilvl="4" w:tplc="28104431" w:tentative="1">
      <w:start w:val="1"/>
      <w:numFmt w:val="lowerLetter"/>
      <w:lvlText w:val="%5."/>
      <w:lvlJc w:val="left"/>
      <w:pPr>
        <w:ind w:left="3600" w:hanging="360"/>
      </w:pPr>
    </w:lvl>
    <w:lvl w:ilvl="5" w:tplc="28104431" w:tentative="1">
      <w:start w:val="1"/>
      <w:numFmt w:val="lowerRoman"/>
      <w:lvlText w:val="%6."/>
      <w:lvlJc w:val="right"/>
      <w:pPr>
        <w:ind w:left="4320" w:hanging="180"/>
      </w:pPr>
    </w:lvl>
    <w:lvl w:ilvl="6" w:tplc="28104431" w:tentative="1">
      <w:start w:val="1"/>
      <w:numFmt w:val="decimal"/>
      <w:lvlText w:val="%7."/>
      <w:lvlJc w:val="left"/>
      <w:pPr>
        <w:ind w:left="5040" w:hanging="360"/>
      </w:pPr>
    </w:lvl>
    <w:lvl w:ilvl="7" w:tplc="28104431" w:tentative="1">
      <w:start w:val="1"/>
      <w:numFmt w:val="lowerLetter"/>
      <w:lvlText w:val="%8."/>
      <w:lvlJc w:val="left"/>
      <w:pPr>
        <w:ind w:left="5760" w:hanging="360"/>
      </w:pPr>
    </w:lvl>
    <w:lvl w:ilvl="8" w:tplc="28104431" w:tentative="1">
      <w:start w:val="1"/>
      <w:numFmt w:val="lowerRoman"/>
      <w:lvlText w:val="%9."/>
      <w:lvlJc w:val="right"/>
      <w:pPr>
        <w:ind w:left="6480" w:hanging="180"/>
      </w:pPr>
    </w:lvl>
  </w:abstractNum>
  <w:num w:numId="1" w16cid:durableId="1691907832">
    <w:abstractNumId w:val="10"/>
  </w:num>
  <w:num w:numId="2" w16cid:durableId="2076390455">
    <w:abstractNumId w:val="15"/>
  </w:num>
  <w:num w:numId="3" w16cid:durableId="326790750">
    <w:abstractNumId w:val="16"/>
  </w:num>
  <w:num w:numId="4" w16cid:durableId="594901995">
    <w:abstractNumId w:val="14"/>
  </w:num>
  <w:num w:numId="5" w16cid:durableId="1912812868">
    <w:abstractNumId w:val="5"/>
  </w:num>
  <w:num w:numId="6" w16cid:durableId="458182882">
    <w:abstractNumId w:val="3"/>
  </w:num>
  <w:num w:numId="7" w16cid:durableId="371730224">
    <w:abstractNumId w:val="9"/>
  </w:num>
  <w:num w:numId="8" w16cid:durableId="1909729677">
    <w:abstractNumId w:val="13"/>
  </w:num>
  <w:num w:numId="9" w16cid:durableId="1817407149">
    <w:abstractNumId w:val="4"/>
  </w:num>
  <w:num w:numId="10" w16cid:durableId="1953052708">
    <w:abstractNumId w:val="1"/>
  </w:num>
  <w:num w:numId="11" w16cid:durableId="1056508529">
    <w:abstractNumId w:val="7"/>
  </w:num>
  <w:num w:numId="12" w16cid:durableId="708340833">
    <w:abstractNumId w:val="6"/>
  </w:num>
  <w:num w:numId="13" w16cid:durableId="2143844988">
    <w:abstractNumId w:val="2"/>
  </w:num>
  <w:num w:numId="14" w16cid:durableId="338391741">
    <w:abstractNumId w:val="17"/>
  </w:num>
  <w:num w:numId="15" w16cid:durableId="618071435">
    <w:abstractNumId w:val="12"/>
  </w:num>
  <w:num w:numId="16" w16cid:durableId="2057699967">
    <w:abstractNumId w:val="0"/>
  </w:num>
  <w:num w:numId="17" w16cid:durableId="1417021283">
    <w:abstractNumId w:val="8"/>
  </w:num>
  <w:num w:numId="18" w16cid:durableId="16127364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D13"/>
    <w:rsid w:val="00217DE5"/>
    <w:rsid w:val="0040271D"/>
    <w:rsid w:val="0044675C"/>
    <w:rsid w:val="005932B0"/>
    <w:rsid w:val="006A7091"/>
    <w:rsid w:val="006F484E"/>
    <w:rsid w:val="00712BE7"/>
    <w:rsid w:val="00716FFE"/>
    <w:rsid w:val="008E25A0"/>
    <w:rsid w:val="00992F1D"/>
    <w:rsid w:val="009E560F"/>
    <w:rsid w:val="00A300B5"/>
    <w:rsid w:val="00A3631B"/>
    <w:rsid w:val="00A41D13"/>
    <w:rsid w:val="00A453F4"/>
    <w:rsid w:val="00B34F97"/>
    <w:rsid w:val="00C70ACA"/>
    <w:rsid w:val="00C86FD6"/>
    <w:rsid w:val="00E95B2E"/>
    <w:rsid w:val="00F639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02C58"/>
  <w15:docId w15:val="{8D7C5658-A61A-4EC0-B64A-0FADFBC9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17DE5"/>
    <w:pPr>
      <w:tabs>
        <w:tab w:val="center" w:pos="4513"/>
        <w:tab w:val="right" w:pos="9026"/>
      </w:tabs>
    </w:pPr>
  </w:style>
  <w:style w:type="character" w:customStyle="1" w:styleId="HeaderChar">
    <w:name w:val="Header Char"/>
    <w:basedOn w:val="DefaultParagraphFont"/>
    <w:link w:val="Header"/>
    <w:uiPriority w:val="99"/>
    <w:rsid w:val="00217DE5"/>
  </w:style>
  <w:style w:type="paragraph" w:styleId="Footer">
    <w:name w:val="footer"/>
    <w:basedOn w:val="Normal"/>
    <w:link w:val="FooterChar"/>
    <w:uiPriority w:val="99"/>
    <w:unhideWhenUsed/>
    <w:rsid w:val="00217DE5"/>
    <w:pPr>
      <w:tabs>
        <w:tab w:val="center" w:pos="4513"/>
        <w:tab w:val="right" w:pos="9026"/>
      </w:tabs>
    </w:pPr>
  </w:style>
  <w:style w:type="character" w:customStyle="1" w:styleId="FooterChar">
    <w:name w:val="Footer Char"/>
    <w:basedOn w:val="DefaultParagraphFont"/>
    <w:link w:val="Footer"/>
    <w:uiPriority w:val="99"/>
    <w:rsid w:val="00217DE5"/>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styleId="TableGrid">
    <w:name w:val="Table Grid"/>
    <w:basedOn w:val="TableNormal"/>
    <w:uiPriority w:val="39"/>
    <w:rsid w:val="00A30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educationendowmentfoundation.org.uk/early-years/evidence-store/self-regulation-and-executive-function" TargetMode="External"/><Relationship Id="rId18" Type="http://schemas.openxmlformats.org/officeDocument/2006/relationships/hyperlink" Target="https://educationendowmentfoundation.org.uk/early-years/evidence-store/self-regulation-and-executive-function" TargetMode="External"/><Relationship Id="rId26" Type="http://schemas.openxmlformats.org/officeDocument/2006/relationships/hyperlink" Target="https://educationendowmentfoundation.org.uk/early-years/evidence-store/self-regulation-and-executive-function" TargetMode="External"/><Relationship Id="rId39" Type="http://schemas.openxmlformats.org/officeDocument/2006/relationships/hyperlink" Target="https://educationendowmentfoundation.org.uk/early-years/toolkit/communication-and-language-approaches" TargetMode="External"/><Relationship Id="rId21" Type="http://schemas.openxmlformats.org/officeDocument/2006/relationships/hyperlink" Target="https://educationendowmentfoundation.org.uk/evidence-summaries/early-years-toolkit/parental-engagement/" TargetMode="External"/><Relationship Id="rId34" Type="http://schemas.openxmlformats.org/officeDocument/2006/relationships/hyperlink" Target="https://educationendowmentfoundation.org.uk/evidence-summaries/early-years-toolkit/parental-engagement/" TargetMode="External"/><Relationship Id="rId42" Type="http://schemas.openxmlformats.org/officeDocument/2006/relationships/hyperlink" Target="https://educationendowmentfoundation.org.uk/early-years/toolkit/physical-development-approaches" TargetMode="External"/><Relationship Id="rId47" Type="http://schemas.openxmlformats.org/officeDocument/2006/relationships/hyperlink" Target="https://educationendowmentfoundation.org.uk/evidence-summaries/early-years-toolkit/parental-engagement/" TargetMode="Externa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educationendowmentfoundation.org.uk/early-years/toolkit/communication-and-language-approaches" TargetMode="External"/><Relationship Id="rId29" Type="http://schemas.openxmlformats.org/officeDocument/2006/relationships/hyperlink" Target="https://educationendowmentfoundation.org.uk/early-years/evidence-store/self-regulation-and-executive-function" TargetMode="External"/><Relationship Id="rId11" Type="http://schemas.openxmlformats.org/officeDocument/2006/relationships/hyperlink" Target="https://d2tic4wvo1iusb.cloudfront.net/production/eef-guidance-reports/literacy-early-years/Preparing_Literacy_Guidance_2018.pdf" TargetMode="External"/><Relationship Id="rId24" Type="http://schemas.openxmlformats.org/officeDocument/2006/relationships/hyperlink" Target="https://d2tic4wvo1iusb.cloudfront.net/production/eef-guidance-reports/literacy-early-years/Preparing_Literacy_Guidance_2018.pdf" TargetMode="External"/><Relationship Id="rId32" Type="http://schemas.openxmlformats.org/officeDocument/2006/relationships/hyperlink" Target="https://educationendowmentfoundation.org.uk/evidence-summaries/early-years-toolkit/parental-engagement/" TargetMode="External"/><Relationship Id="rId37" Type="http://schemas.openxmlformats.org/officeDocument/2006/relationships/hyperlink" Target="https://educationendowmentfoundation.org.uk/evidence-summaries/early-years-toolkit/parental-engagement/" TargetMode="External"/><Relationship Id="rId40" Type="http://schemas.openxmlformats.org/officeDocument/2006/relationships/hyperlink" Target="https://d2tic4wvo1iusb.cloudfront.net/production/eef-guidance-reports/literacy-early-years/Preparing_Literacy_Guidance_2018.pdf" TargetMode="External"/><Relationship Id="rId45" Type="http://schemas.openxmlformats.org/officeDocument/2006/relationships/hyperlink" Target="https://educationendowmentfoundation.org.uk/early-years/evidence-store/self-regulation-and-executive-function" TargetMode="External"/><Relationship Id="rId5" Type="http://schemas.openxmlformats.org/officeDocument/2006/relationships/styles" Target="styles.xml"/><Relationship Id="rId15" Type="http://schemas.openxmlformats.org/officeDocument/2006/relationships/hyperlink" Target="https://educationendowmentfoundation.org.uk/evidence-summaries/early-years-toolkit/parental-engagement/" TargetMode="External"/><Relationship Id="rId23" Type="http://schemas.openxmlformats.org/officeDocument/2006/relationships/hyperlink" Target="https://d2tic4wvo1iusb.cloudfront.net/production/eef-guidance-reports/literacy-early-years/Preparing_Literacy_Guidance_2018.pdf" TargetMode="External"/><Relationship Id="rId28" Type="http://schemas.openxmlformats.org/officeDocument/2006/relationships/hyperlink" Target="https://d2tic4wvo1iusb.cloudfront.net/production/eef-guidance-reports/literacy-early-years/Preparing_Literacy_Guidance_2018.pdf" TargetMode="External"/><Relationship Id="rId36" Type="http://schemas.openxmlformats.org/officeDocument/2006/relationships/hyperlink" Target="https://d2tic4wvo1iusb.cloudfront.net/production/eef-guidance-reports/literacy-early-years/Preparing_Literacy_Guidance_2018.pdf" TargetMode="External"/><Relationship Id="rId49" Type="http://schemas.openxmlformats.org/officeDocument/2006/relationships/fontTable" Target="fontTable.xml"/><Relationship Id="rId10" Type="http://schemas.openxmlformats.org/officeDocument/2006/relationships/hyperlink" Target="https://educationendowmentfoundation.org.uk/early-years/toolkit/communication-and-language-approaches" TargetMode="External"/><Relationship Id="rId19" Type="http://schemas.openxmlformats.org/officeDocument/2006/relationships/hyperlink" Target="https://educationendowmentfoundation.org.uk/early-years/toolkit/physical-development-approaches" TargetMode="External"/><Relationship Id="rId31" Type="http://schemas.openxmlformats.org/officeDocument/2006/relationships/hyperlink" Target="https://d2tic4wvo1iusb.cloudfront.net/production/eef-guidance-reports/literacy-early-years/Preparing_Literacy_Guidance_2018.pdf" TargetMode="External"/><Relationship Id="rId44" Type="http://schemas.openxmlformats.org/officeDocument/2006/relationships/hyperlink" Target="https://d2tic4wvo1iusb.cloudfront.net/production/eef-guidance-reports/literacy-early-years/Preparing_Literacy_Guidance_2018.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early-years/toolkit/physical-development-approaches" TargetMode="External"/><Relationship Id="rId22" Type="http://schemas.openxmlformats.org/officeDocument/2006/relationships/hyperlink" Target="https://educationendowmentfoundation.org.uk/early-years/toolkit/communication-and-language-approaches" TargetMode="External"/><Relationship Id="rId27" Type="http://schemas.openxmlformats.org/officeDocument/2006/relationships/hyperlink" Target="https://educationendowmentfoundation.org.uk/early-years/toolkit/physical-development-approaches" TargetMode="External"/><Relationship Id="rId30" Type="http://schemas.openxmlformats.org/officeDocument/2006/relationships/hyperlink" Target="https://educationendowmentfoundation.org.uk/early-years/toolkit/physical-development-approaches" TargetMode="External"/><Relationship Id="rId35" Type="http://schemas.openxmlformats.org/officeDocument/2006/relationships/hyperlink" Target="https://educationendowmentfoundation.org.uk/early-years/toolkit/communication-and-language-approaches" TargetMode="External"/><Relationship Id="rId43" Type="http://schemas.openxmlformats.org/officeDocument/2006/relationships/hyperlink" Target="https://educationendowmentfoundation.org.uk/early-years/toolkit/communication-and-language-approaches" TargetMode="External"/><Relationship Id="rId48"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ducationendowmentfoundation.org.uk/projects-and-evaluation/promising-programmes/nuffield-early-language-intervention" TargetMode="External"/><Relationship Id="rId17" Type="http://schemas.openxmlformats.org/officeDocument/2006/relationships/hyperlink" Target="https://educationendowmentfoundation.org.uk/projects-and-evaluation/promising-programmes/nuffield-early-language-intervention" TargetMode="External"/><Relationship Id="rId25" Type="http://schemas.openxmlformats.org/officeDocument/2006/relationships/hyperlink" Target="https://d2tic4wvo1iusb.cloudfront.net/production/eef-guidance-reports/literacy-early-years/Preparing_Literacy_Guidance_2018.pdf" TargetMode="External"/><Relationship Id="rId33" Type="http://schemas.openxmlformats.org/officeDocument/2006/relationships/hyperlink" Target="https://d2tic4wvo1iusb.cloudfront.net/production/eef-guidance-reports/literacy-early-years/Preparing_Literacy_Guidance_2018.pdf" TargetMode="External"/><Relationship Id="rId38" Type="http://schemas.openxmlformats.org/officeDocument/2006/relationships/hyperlink" Target="https://d2tic4wvo1iusb.cloudfront.net/production/eef-guidance-reports/literacy-early-years/Preparing_Literacy_Guidance_2018.pdf" TargetMode="External"/><Relationship Id="rId46" Type="http://schemas.openxmlformats.org/officeDocument/2006/relationships/hyperlink" Target="https://educationendowmentfoundation.org.uk/early-years/toolkit/physical-development-approaches" TargetMode="External"/><Relationship Id="rId20" Type="http://schemas.openxmlformats.org/officeDocument/2006/relationships/hyperlink" Target="https://d2tic4wvo1iusb.cloudfront.net/production/eef-guidance-reports/literacy-early-years/Preparing_Literacy_Guidance_2018.pdf" TargetMode="External"/><Relationship Id="rId41" Type="http://schemas.openxmlformats.org/officeDocument/2006/relationships/hyperlink" Target="https://educationendowmentfoundation.org.uk/early-years/evidence-store/self-regulation-and-executive-function"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F299616CA46C429D8C4CC7C52C7BAD" ma:contentTypeVersion="16" ma:contentTypeDescription="Create a new document." ma:contentTypeScope="" ma:versionID="68105217b88fc66e44807f44c6db745e">
  <xsd:schema xmlns:xsd="http://www.w3.org/2001/XMLSchema" xmlns:xs="http://www.w3.org/2001/XMLSchema" xmlns:p="http://schemas.microsoft.com/office/2006/metadata/properties" xmlns:ns2="5eb4d6e0-5ec7-4b12-b350-26648dc352f4" xmlns:ns3="b801f18f-295c-4df2-be23-5a1080366d8e" targetNamespace="http://schemas.microsoft.com/office/2006/metadata/properties" ma:root="true" ma:fieldsID="44c9f58f97fed62b2af8c47803096299" ns2:_="" ns3:_="">
    <xsd:import namespace="5eb4d6e0-5ec7-4b12-b350-26648dc352f4"/>
    <xsd:import namespace="b801f18f-295c-4df2-be23-5a1080366d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4d6e0-5ec7-4b12-b350-26648dc35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eee8b2e-eeeb-4282-bc5d-5ec512fdaa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01f18f-295c-4df2-be23-5a1080366d8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4be1d41-4837-46b3-8f6e-d9b333d42a9d}" ma:internalName="TaxCatchAll" ma:showField="CatchAllData" ma:web="b801f18f-295c-4df2-be23-5a1080366d8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b4d6e0-5ec7-4b12-b350-26648dc352f4">
      <Terms xmlns="http://schemas.microsoft.com/office/infopath/2007/PartnerControls"/>
    </lcf76f155ced4ddcb4097134ff3c332f>
    <TaxCatchAll xmlns="b801f18f-295c-4df2-be23-5a1080366d8e" xsi:nil="true"/>
  </documentManagement>
</p:properties>
</file>

<file path=customXml/itemProps1.xml><?xml version="1.0" encoding="utf-8"?>
<ds:datastoreItem xmlns:ds="http://schemas.openxmlformats.org/officeDocument/2006/customXml" ds:itemID="{0958C984-FAE3-458A-98AD-3577938006AD}">
  <ds:schemaRefs>
    <ds:schemaRef ds:uri="http://schemas.microsoft.com/sharepoint/v3/contenttype/forms"/>
  </ds:schemaRefs>
</ds:datastoreItem>
</file>

<file path=customXml/itemProps2.xml><?xml version="1.0" encoding="utf-8"?>
<ds:datastoreItem xmlns:ds="http://schemas.openxmlformats.org/officeDocument/2006/customXml" ds:itemID="{4617D59A-C667-4EDF-9054-44385490A30D}"/>
</file>

<file path=customXml/itemProps3.xml><?xml version="1.0" encoding="utf-8"?>
<ds:datastoreItem xmlns:ds="http://schemas.openxmlformats.org/officeDocument/2006/customXml" ds:itemID="{A98A6773-A20F-4890-B1AC-7BA8C5F57B70}">
  <ds:schemaRefs>
    <ds:schemaRef ds:uri="http://schemas.microsoft.com/office/2006/metadata/properties"/>
    <ds:schemaRef ds:uri="http://schemas.microsoft.com/office/infopath/2007/PartnerControls"/>
    <ds:schemaRef ds:uri="5eb4d6e0-5ec7-4b12-b350-26648dc352f4"/>
    <ds:schemaRef ds:uri="b801f18f-295c-4df2-be23-5a1080366d8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2668</Words>
  <Characters>17615</Characters>
  <Application>Microsoft Office Word</Application>
  <DocSecurity>0</DocSecurity>
  <Lines>381</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Head</dc:creator>
  <cp:lastModifiedBy>Birchfield Nursery - Head Teacher</cp:lastModifiedBy>
  <cp:revision>3</cp:revision>
  <dcterms:created xsi:type="dcterms:W3CDTF">2026-01-08T15:07:00Z</dcterms:created>
  <dcterms:modified xsi:type="dcterms:W3CDTF">2026-01-08T15:07:00Z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0x010100C0F299616CA46C429D8C4CC7C52C7BAD</vt:lpwstr>
  </property>
  <property fmtid="{D5CDD505-2E9C-101B-9397-08002B2CF9AE}" pid="3" name="MediaServiceImageTags">
    <vt:lpwstr/>
  </property>
</Properties>
</file>