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119" w:rsidRDefault="00F10119" w:rsidP="00272C6B">
      <w:pPr>
        <w:pStyle w:val="NormalWeb"/>
        <w:spacing w:before="0" w:beforeAutospacing="0" w:after="75" w:afterAutospacing="0" w:line="330" w:lineRule="atLeast"/>
        <w:rPr>
          <w:rFonts w:ascii="Verdana" w:hAnsi="Verdana"/>
        </w:rPr>
      </w:pPr>
      <w:r>
        <w:rPr>
          <w:rFonts w:ascii="Verdana" w:hAnsi="Verdana"/>
          <w:noProof/>
        </w:rPr>
        <w:drawing>
          <wp:inline distT="0" distB="0" distL="0" distR="0">
            <wp:extent cx="590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0550" cy="723900"/>
                    </a:xfrm>
                    <a:prstGeom prst="rect">
                      <a:avLst/>
                    </a:prstGeom>
                  </pic:spPr>
                </pic:pic>
              </a:graphicData>
            </a:graphic>
          </wp:inline>
        </w:drawing>
      </w:r>
    </w:p>
    <w:p w:rsidR="00F10119" w:rsidRDefault="00F10119" w:rsidP="00272C6B">
      <w:pPr>
        <w:pStyle w:val="NormalWeb"/>
        <w:spacing w:before="0" w:beforeAutospacing="0" w:after="75" w:afterAutospacing="0" w:line="330" w:lineRule="atLeast"/>
        <w:rPr>
          <w:rFonts w:ascii="Verdana" w:hAnsi="Verdana"/>
        </w:rPr>
      </w:pPr>
    </w:p>
    <w:p w:rsidR="00272C6B" w:rsidRPr="000D2BE7" w:rsidRDefault="00272C6B" w:rsidP="00272C6B">
      <w:pPr>
        <w:pStyle w:val="NormalWeb"/>
        <w:spacing w:before="0" w:beforeAutospacing="0" w:after="75" w:afterAutospacing="0" w:line="330" w:lineRule="atLeast"/>
        <w:rPr>
          <w:rFonts w:ascii="Verdana" w:hAnsi="Verdana"/>
        </w:rPr>
      </w:pPr>
      <w:r w:rsidRPr="000D2BE7">
        <w:rPr>
          <w:rFonts w:ascii="Verdana" w:hAnsi="Verdana"/>
        </w:rPr>
        <w:t>Dear F</w:t>
      </w:r>
      <w:r w:rsidRPr="000D2BE7">
        <w:rPr>
          <w:rFonts w:ascii="Verdana" w:hAnsi="Verdana"/>
        </w:rPr>
        <w:t>amilies</w:t>
      </w:r>
      <w:r w:rsidR="000D2BE7">
        <w:rPr>
          <w:rFonts w:ascii="Verdana" w:hAnsi="Verdana"/>
        </w:rPr>
        <w:tab/>
      </w:r>
      <w:r w:rsidR="000D2BE7">
        <w:rPr>
          <w:rFonts w:ascii="Verdana" w:hAnsi="Verdana"/>
        </w:rPr>
        <w:tab/>
      </w:r>
      <w:r w:rsidR="000D2BE7">
        <w:rPr>
          <w:rFonts w:ascii="Verdana" w:hAnsi="Verdana"/>
        </w:rPr>
        <w:tab/>
      </w:r>
      <w:r w:rsidR="000D2BE7">
        <w:rPr>
          <w:rFonts w:ascii="Verdana" w:hAnsi="Verdana"/>
        </w:rPr>
        <w:tab/>
      </w:r>
      <w:r w:rsidR="000D2BE7">
        <w:rPr>
          <w:rFonts w:ascii="Verdana" w:hAnsi="Verdana"/>
        </w:rPr>
        <w:tab/>
      </w:r>
      <w:r w:rsidR="000D2BE7">
        <w:rPr>
          <w:rFonts w:ascii="Verdana" w:hAnsi="Verdana"/>
        </w:rPr>
        <w:tab/>
      </w:r>
      <w:r w:rsidR="000D2BE7">
        <w:rPr>
          <w:rFonts w:ascii="Verdana" w:hAnsi="Verdana"/>
        </w:rPr>
        <w:tab/>
        <w:t>5</w:t>
      </w:r>
      <w:r w:rsidR="000D2BE7" w:rsidRPr="000D2BE7">
        <w:rPr>
          <w:rFonts w:ascii="Verdana" w:hAnsi="Verdana"/>
          <w:vertAlign w:val="superscript"/>
        </w:rPr>
        <w:t>th</w:t>
      </w:r>
      <w:r w:rsidR="000D2BE7">
        <w:rPr>
          <w:rFonts w:ascii="Verdana" w:hAnsi="Verdana"/>
        </w:rPr>
        <w:t xml:space="preserve"> January 2021</w:t>
      </w:r>
    </w:p>
    <w:p w:rsidR="00272C6B" w:rsidRPr="000D2BE7" w:rsidRDefault="00272C6B" w:rsidP="00272C6B">
      <w:pPr>
        <w:pStyle w:val="NormalWeb"/>
        <w:spacing w:before="0" w:beforeAutospacing="0" w:after="75" w:afterAutospacing="0" w:line="330" w:lineRule="atLeast"/>
        <w:rPr>
          <w:rFonts w:ascii="Verdana" w:hAnsi="Verdana"/>
        </w:rPr>
      </w:pPr>
      <w:r w:rsidRPr="000D2BE7">
        <w:rPr>
          <w:rFonts w:ascii="Verdana" w:hAnsi="Verdana"/>
        </w:rPr>
        <w:t>Following on from our email last night, we are now sending further information regarding Key Workers provision during the current closure period.</w:t>
      </w:r>
    </w:p>
    <w:p w:rsidR="00272C6B" w:rsidRPr="000D2BE7" w:rsidRDefault="00272C6B" w:rsidP="00272C6B">
      <w:pPr>
        <w:pStyle w:val="NormalWeb"/>
        <w:spacing w:before="0" w:beforeAutospacing="0" w:after="75" w:afterAutospacing="0" w:line="330" w:lineRule="atLeast"/>
        <w:rPr>
          <w:rFonts w:ascii="Verdana" w:hAnsi="Verdana"/>
        </w:rPr>
      </w:pPr>
      <w:r w:rsidRPr="000D2BE7">
        <w:rPr>
          <w:rFonts w:ascii="Verdana" w:hAnsi="Verdana"/>
        </w:rPr>
        <w:t>Pupils who are expected to attend include those who:</w:t>
      </w:r>
    </w:p>
    <w:p w:rsidR="00272C6B" w:rsidRPr="000D2BE7" w:rsidRDefault="00272C6B" w:rsidP="00272C6B">
      <w:pPr>
        <w:pStyle w:val="ListParagraph"/>
        <w:numPr>
          <w:ilvl w:val="0"/>
          <w:numId w:val="1"/>
        </w:numPr>
        <w:spacing w:before="100" w:beforeAutospacing="1" w:after="100" w:afterAutospacing="1" w:line="276" w:lineRule="auto"/>
        <w:ind w:left="843" w:hanging="426"/>
        <w:rPr>
          <w:rFonts w:ascii="Arial" w:hAnsi="Arial" w:cs="Arial"/>
          <w:sz w:val="24"/>
          <w:szCs w:val="24"/>
          <w:lang w:val="en"/>
        </w:rPr>
      </w:pPr>
      <w:r w:rsidRPr="000D2BE7">
        <w:rPr>
          <w:rFonts w:ascii="Arial" w:hAnsi="Arial" w:cs="Arial"/>
          <w:sz w:val="24"/>
          <w:szCs w:val="24"/>
          <w:lang w:val="en"/>
        </w:rPr>
        <w:t>are assessed as being in need under section 17 of the Children Act 1989, including children and young people who have a child in need plan, a child protection plan or who are a looked-after child</w:t>
      </w:r>
    </w:p>
    <w:p w:rsidR="00272C6B" w:rsidRPr="000D2BE7" w:rsidRDefault="00272C6B" w:rsidP="00272C6B">
      <w:pPr>
        <w:pStyle w:val="ListParagraph"/>
        <w:numPr>
          <w:ilvl w:val="0"/>
          <w:numId w:val="1"/>
        </w:numPr>
        <w:spacing w:before="100" w:beforeAutospacing="1" w:after="100" w:afterAutospacing="1" w:line="276" w:lineRule="auto"/>
        <w:ind w:left="843" w:hanging="426"/>
        <w:rPr>
          <w:rFonts w:ascii="Arial" w:hAnsi="Arial" w:cs="Arial"/>
          <w:sz w:val="24"/>
          <w:szCs w:val="24"/>
          <w:lang w:val="en"/>
        </w:rPr>
      </w:pPr>
      <w:r w:rsidRPr="000D2BE7">
        <w:rPr>
          <w:rFonts w:ascii="Arial" w:hAnsi="Arial" w:cs="Arial"/>
          <w:sz w:val="24"/>
          <w:szCs w:val="24"/>
          <w:lang w:val="en"/>
        </w:rPr>
        <w:t>have an education, health and care (EHC) plan</w:t>
      </w:r>
    </w:p>
    <w:p w:rsidR="00272C6B" w:rsidRPr="000D2BE7" w:rsidRDefault="00272C6B" w:rsidP="00272C6B">
      <w:pPr>
        <w:pStyle w:val="ListParagraph"/>
        <w:numPr>
          <w:ilvl w:val="0"/>
          <w:numId w:val="1"/>
        </w:numPr>
        <w:spacing w:before="100" w:beforeAutospacing="1" w:after="100" w:afterAutospacing="1" w:line="276" w:lineRule="auto"/>
        <w:ind w:left="843" w:hanging="426"/>
        <w:rPr>
          <w:rFonts w:ascii="Arial" w:hAnsi="Arial" w:cs="Arial"/>
          <w:sz w:val="24"/>
          <w:szCs w:val="24"/>
          <w:lang w:val="en"/>
        </w:rPr>
      </w:pPr>
      <w:r w:rsidRPr="000D2BE7">
        <w:rPr>
          <w:rFonts w:ascii="Arial" w:hAnsi="Arial" w:cs="Arial"/>
          <w:sz w:val="24"/>
          <w:szCs w:val="24"/>
          <w:lang w:val="en"/>
        </w:rPr>
        <w:t>have been identified as otherwise vulnerable by educational providers or local authorities (including children’s social care services), and who could therefore benefit from continued full-time attendance, this might include: •children and young people on the edge of receiving support from children’s social care services or in the process of being referred to children’s services</w:t>
      </w:r>
    </w:p>
    <w:p w:rsidR="00272C6B" w:rsidRPr="000D2BE7" w:rsidRDefault="00272C6B" w:rsidP="00272C6B">
      <w:pPr>
        <w:pStyle w:val="ListParagraph"/>
        <w:numPr>
          <w:ilvl w:val="0"/>
          <w:numId w:val="1"/>
        </w:numPr>
        <w:spacing w:before="100" w:beforeAutospacing="1" w:after="100" w:afterAutospacing="1" w:line="276" w:lineRule="auto"/>
        <w:ind w:left="843" w:hanging="426"/>
        <w:rPr>
          <w:rFonts w:ascii="Arial" w:hAnsi="Arial" w:cs="Arial"/>
          <w:sz w:val="24"/>
          <w:szCs w:val="24"/>
          <w:lang w:val="en"/>
        </w:rPr>
      </w:pPr>
      <w:r w:rsidRPr="000D2BE7">
        <w:rPr>
          <w:rFonts w:ascii="Arial" w:hAnsi="Arial" w:cs="Arial"/>
          <w:sz w:val="24"/>
          <w:szCs w:val="24"/>
          <w:lang w:val="en"/>
        </w:rPr>
        <w:t>adopted children or children on a special guardianship order</w:t>
      </w:r>
    </w:p>
    <w:p w:rsidR="00272C6B" w:rsidRPr="000D2BE7" w:rsidRDefault="00272C6B" w:rsidP="00272C6B">
      <w:pPr>
        <w:pStyle w:val="ListParagraph"/>
        <w:numPr>
          <w:ilvl w:val="0"/>
          <w:numId w:val="1"/>
        </w:numPr>
        <w:spacing w:before="100" w:beforeAutospacing="1" w:after="100" w:afterAutospacing="1" w:line="276" w:lineRule="auto"/>
        <w:ind w:left="843" w:hanging="426"/>
        <w:rPr>
          <w:rFonts w:ascii="Arial" w:hAnsi="Arial" w:cs="Arial"/>
          <w:sz w:val="24"/>
          <w:szCs w:val="24"/>
          <w:lang w:val="en"/>
        </w:rPr>
      </w:pPr>
      <w:r w:rsidRPr="000D2BE7">
        <w:rPr>
          <w:rFonts w:ascii="Arial" w:hAnsi="Arial" w:cs="Arial"/>
          <w:sz w:val="24"/>
          <w:szCs w:val="24"/>
          <w:lang w:val="en"/>
        </w:rPr>
        <w:t>those at risk of becoming NEET (‘not in employment, education or training’)</w:t>
      </w:r>
    </w:p>
    <w:p w:rsidR="00272C6B" w:rsidRPr="000D2BE7" w:rsidRDefault="00272C6B" w:rsidP="00272C6B">
      <w:pPr>
        <w:pStyle w:val="ListParagraph"/>
        <w:numPr>
          <w:ilvl w:val="0"/>
          <w:numId w:val="1"/>
        </w:numPr>
        <w:spacing w:before="100" w:beforeAutospacing="1" w:after="100" w:afterAutospacing="1" w:line="276" w:lineRule="auto"/>
        <w:ind w:left="843" w:hanging="426"/>
        <w:rPr>
          <w:rFonts w:ascii="Arial" w:hAnsi="Arial" w:cs="Arial"/>
          <w:sz w:val="24"/>
          <w:szCs w:val="24"/>
          <w:lang w:val="en"/>
        </w:rPr>
      </w:pPr>
      <w:r w:rsidRPr="000D2BE7">
        <w:rPr>
          <w:rFonts w:ascii="Arial" w:hAnsi="Arial" w:cs="Arial"/>
          <w:sz w:val="24"/>
          <w:szCs w:val="24"/>
          <w:lang w:val="en"/>
        </w:rPr>
        <w:t>those living in temporary accommodation</w:t>
      </w:r>
    </w:p>
    <w:p w:rsidR="00272C6B" w:rsidRPr="000D2BE7" w:rsidRDefault="00272C6B" w:rsidP="00272C6B">
      <w:pPr>
        <w:pStyle w:val="ListParagraph"/>
        <w:numPr>
          <w:ilvl w:val="0"/>
          <w:numId w:val="1"/>
        </w:numPr>
        <w:spacing w:before="100" w:beforeAutospacing="1" w:after="100" w:afterAutospacing="1" w:line="276" w:lineRule="auto"/>
        <w:ind w:left="843" w:hanging="426"/>
        <w:rPr>
          <w:rFonts w:ascii="Arial" w:hAnsi="Arial" w:cs="Arial"/>
          <w:sz w:val="24"/>
          <w:szCs w:val="24"/>
          <w:lang w:val="en"/>
        </w:rPr>
      </w:pPr>
      <w:r w:rsidRPr="000D2BE7">
        <w:rPr>
          <w:rFonts w:ascii="Arial" w:hAnsi="Arial" w:cs="Arial"/>
          <w:sz w:val="24"/>
          <w:szCs w:val="24"/>
          <w:lang w:val="en"/>
        </w:rPr>
        <w:t>those who are young carers</w:t>
      </w:r>
    </w:p>
    <w:p w:rsidR="00272C6B" w:rsidRPr="000D2BE7" w:rsidRDefault="00272C6B" w:rsidP="00272C6B">
      <w:pPr>
        <w:pStyle w:val="ListParagraph"/>
        <w:numPr>
          <w:ilvl w:val="0"/>
          <w:numId w:val="1"/>
        </w:numPr>
        <w:spacing w:before="100" w:beforeAutospacing="1" w:after="100" w:afterAutospacing="1" w:line="276" w:lineRule="auto"/>
        <w:ind w:left="843" w:hanging="426"/>
        <w:rPr>
          <w:rFonts w:ascii="Arial" w:hAnsi="Arial" w:cs="Arial"/>
          <w:sz w:val="24"/>
          <w:szCs w:val="24"/>
          <w:lang w:val="en"/>
        </w:rPr>
      </w:pPr>
      <w:r w:rsidRPr="000D2BE7">
        <w:rPr>
          <w:rFonts w:ascii="Arial" w:hAnsi="Arial" w:cs="Arial"/>
          <w:sz w:val="24"/>
          <w:szCs w:val="24"/>
          <w:lang w:val="en"/>
        </w:rPr>
        <w:t>those who may have difficulty engaging with remote education at home (for example due to a lack of devices or quiet space to study)</w:t>
      </w:r>
    </w:p>
    <w:p w:rsidR="00272C6B" w:rsidRPr="000D2BE7" w:rsidRDefault="00272C6B" w:rsidP="00272C6B">
      <w:pPr>
        <w:pStyle w:val="ListParagraph"/>
        <w:numPr>
          <w:ilvl w:val="0"/>
          <w:numId w:val="1"/>
        </w:numPr>
        <w:spacing w:before="100" w:beforeAutospacing="1" w:after="100" w:afterAutospacing="1" w:line="276" w:lineRule="auto"/>
        <w:ind w:left="843" w:hanging="426"/>
        <w:rPr>
          <w:rFonts w:ascii="Arial" w:hAnsi="Arial" w:cs="Arial"/>
          <w:sz w:val="24"/>
          <w:szCs w:val="24"/>
          <w:lang w:val="en"/>
        </w:rPr>
      </w:pPr>
      <w:r w:rsidRPr="000D2BE7">
        <w:rPr>
          <w:rFonts w:ascii="Arial" w:hAnsi="Arial" w:cs="Arial"/>
          <w:sz w:val="24"/>
          <w:szCs w:val="24"/>
          <w:lang w:val="en"/>
        </w:rPr>
        <w:t>care leavers</w:t>
      </w:r>
    </w:p>
    <w:p w:rsidR="00272C6B" w:rsidRPr="000D2BE7" w:rsidRDefault="00272C6B" w:rsidP="00272C6B">
      <w:pPr>
        <w:pStyle w:val="ListParagraph"/>
        <w:numPr>
          <w:ilvl w:val="0"/>
          <w:numId w:val="1"/>
        </w:numPr>
        <w:spacing w:before="100" w:beforeAutospacing="1" w:after="100" w:afterAutospacing="1" w:line="276" w:lineRule="auto"/>
        <w:ind w:left="843" w:hanging="426"/>
        <w:rPr>
          <w:rFonts w:ascii="Arial" w:hAnsi="Arial" w:cs="Arial"/>
          <w:sz w:val="24"/>
          <w:szCs w:val="24"/>
          <w:lang w:val="en"/>
        </w:rPr>
      </w:pPr>
      <w:r w:rsidRPr="000D2BE7">
        <w:rPr>
          <w:rFonts w:ascii="Arial" w:hAnsi="Arial" w:cs="Arial"/>
          <w:sz w:val="24"/>
          <w:szCs w:val="24"/>
          <w:lang w:val="en"/>
        </w:rPr>
        <w:t>others at the provider and local authority’s discretion including pupils and students who need to attend to receive support or manage risks to their mental health</w:t>
      </w:r>
    </w:p>
    <w:p w:rsidR="00545930" w:rsidRPr="000D2BE7" w:rsidRDefault="00545930" w:rsidP="00272C6B">
      <w:pPr>
        <w:pStyle w:val="NormalWeb"/>
        <w:spacing w:before="0" w:beforeAutospacing="0" w:after="75" w:afterAutospacing="0" w:line="330" w:lineRule="atLeast"/>
        <w:rPr>
          <w:rFonts w:ascii="Verdana" w:hAnsi="Verdana"/>
        </w:rPr>
      </w:pPr>
      <w:r w:rsidRPr="000D2BE7">
        <w:rPr>
          <w:rFonts w:ascii="Verdana" w:hAnsi="Verdana"/>
        </w:rPr>
        <w:t>However, some families may not wish their child to attend due to shielding, self-isolating, quarantining, or other specific reasons. Please advise us if this is the case.</w:t>
      </w:r>
    </w:p>
    <w:p w:rsidR="00545930" w:rsidRPr="000D2BE7" w:rsidRDefault="00545930" w:rsidP="00272C6B">
      <w:pPr>
        <w:pStyle w:val="NormalWeb"/>
        <w:spacing w:before="0" w:beforeAutospacing="0" w:after="75" w:afterAutospacing="0" w:line="330" w:lineRule="atLeast"/>
        <w:rPr>
          <w:rFonts w:ascii="Verdana" w:hAnsi="Verdana"/>
        </w:rPr>
      </w:pPr>
    </w:p>
    <w:p w:rsidR="00272C6B" w:rsidRPr="000D2BE7" w:rsidRDefault="00272C6B" w:rsidP="00272C6B">
      <w:pPr>
        <w:pStyle w:val="NormalWeb"/>
        <w:spacing w:before="0" w:beforeAutospacing="0" w:after="75" w:afterAutospacing="0" w:line="330" w:lineRule="atLeast"/>
        <w:rPr>
          <w:rFonts w:ascii="Verdana" w:hAnsi="Verdana"/>
        </w:rPr>
      </w:pPr>
      <w:r w:rsidRPr="000D2BE7">
        <w:rPr>
          <w:rFonts w:ascii="Verdana" w:hAnsi="Verdana"/>
        </w:rPr>
        <w:t>In addition to the above, if one of more parent is a key worker and are at work therefore unable to care for their child at home, they can request a place at the key worker group.</w:t>
      </w:r>
      <w:r w:rsidR="00621B66" w:rsidRPr="000D2BE7">
        <w:rPr>
          <w:rFonts w:ascii="Verdana" w:hAnsi="Verdana"/>
        </w:rPr>
        <w:t xml:space="preserve">  Please follow the link below for definition of key worker:  </w:t>
      </w:r>
    </w:p>
    <w:p w:rsidR="00272C6B" w:rsidRDefault="00621B66" w:rsidP="00272C6B">
      <w:pPr>
        <w:pStyle w:val="NormalWeb"/>
        <w:spacing w:before="0" w:beforeAutospacing="0" w:after="75" w:afterAutospacing="0" w:line="330" w:lineRule="atLeast"/>
        <w:rPr>
          <w:rFonts w:ascii="Verdana" w:hAnsi="Verdana"/>
          <w:color w:val="606F7B"/>
        </w:rPr>
      </w:pPr>
      <w:hyperlink r:id="rId6" w:history="1">
        <w:r>
          <w:rPr>
            <w:rStyle w:val="Hyperlink"/>
          </w:rPr>
          <w:t>Critical workers and vulnerable children who can access schools or educational settings - GOV.UK (www.gov.uk)</w:t>
        </w:r>
      </w:hyperlink>
    </w:p>
    <w:p w:rsidR="00272C6B" w:rsidRDefault="00272C6B" w:rsidP="00272C6B">
      <w:pPr>
        <w:pStyle w:val="NormalWeb"/>
        <w:spacing w:before="0" w:beforeAutospacing="0" w:after="75" w:afterAutospacing="0" w:line="330" w:lineRule="atLeast"/>
        <w:rPr>
          <w:rFonts w:ascii="Verdana" w:hAnsi="Verdana"/>
          <w:color w:val="606F7B"/>
        </w:rPr>
      </w:pPr>
      <w:r w:rsidRPr="000D2BE7">
        <w:rPr>
          <w:rFonts w:ascii="Verdana" w:hAnsi="Verdana"/>
        </w:rPr>
        <w:lastRenderedPageBreak/>
        <w:t>In order to assist planning</w:t>
      </w:r>
      <w:r w:rsidR="00621B66" w:rsidRPr="000D2BE7">
        <w:rPr>
          <w:rFonts w:ascii="Verdana" w:hAnsi="Verdana"/>
        </w:rPr>
        <w:t>,</w:t>
      </w:r>
      <w:r w:rsidRPr="000D2BE7">
        <w:rPr>
          <w:rFonts w:ascii="Verdana" w:hAnsi="Verdana"/>
        </w:rPr>
        <w:t xml:space="preserve"> we </w:t>
      </w:r>
      <w:r w:rsidRPr="000D2BE7">
        <w:rPr>
          <w:rFonts w:ascii="Verdana" w:hAnsi="Verdana"/>
        </w:rPr>
        <w:t>now need eligible</w:t>
      </w:r>
      <w:r w:rsidRPr="000D2BE7">
        <w:rPr>
          <w:rFonts w:ascii="Verdana" w:hAnsi="Verdana"/>
        </w:rPr>
        <w:t xml:space="preserve"> families to </w:t>
      </w:r>
      <w:r w:rsidRPr="000D2BE7">
        <w:rPr>
          <w:rFonts w:ascii="Verdana" w:hAnsi="Verdana"/>
        </w:rPr>
        <w:t xml:space="preserve">request a place for this week (Wed – Fri). </w:t>
      </w:r>
      <w:r w:rsidRPr="000D2BE7">
        <w:rPr>
          <w:rFonts w:ascii="Verdana" w:hAnsi="Verdana"/>
          <w:b/>
        </w:rPr>
        <w:t xml:space="preserve">The deadline for this </w:t>
      </w:r>
      <w:r w:rsidRPr="000D2BE7">
        <w:rPr>
          <w:rFonts w:ascii="Verdana" w:hAnsi="Verdana"/>
          <w:b/>
        </w:rPr>
        <w:t>is 2 00 PM today</w:t>
      </w:r>
      <w:r w:rsidRPr="000D2BE7">
        <w:rPr>
          <w:rFonts w:ascii="Verdana" w:hAnsi="Verdana"/>
        </w:rPr>
        <w:t>, so we can properly plan</w:t>
      </w:r>
      <w:r w:rsidR="00545930" w:rsidRPr="000D2BE7">
        <w:rPr>
          <w:rFonts w:ascii="Verdana" w:hAnsi="Verdana"/>
        </w:rPr>
        <w:t>.</w:t>
      </w:r>
      <w:r w:rsidRPr="000D2BE7">
        <w:rPr>
          <w:rFonts w:ascii="Verdana" w:hAnsi="Verdana"/>
        </w:rPr>
        <w:t xml:space="preserve">  Going forwards, we will need a weekly request for places </w:t>
      </w:r>
      <w:r w:rsidRPr="00F10119">
        <w:rPr>
          <w:rFonts w:ascii="Verdana" w:hAnsi="Verdana"/>
          <w:b/>
        </w:rPr>
        <w:t>by 12 noon each Thursday</w:t>
      </w:r>
      <w:r w:rsidRPr="000D2BE7">
        <w:rPr>
          <w:rFonts w:ascii="Verdana" w:hAnsi="Verdana"/>
        </w:rPr>
        <w:t xml:space="preserve">, for the following week. </w:t>
      </w:r>
      <w:r w:rsidR="00621B66" w:rsidRPr="000D2BE7">
        <w:rPr>
          <w:rFonts w:ascii="Verdana" w:hAnsi="Verdana"/>
        </w:rPr>
        <w:t xml:space="preserve"> Please complete the table below each week and email to </w:t>
      </w:r>
      <w:hyperlink r:id="rId7" w:history="1">
        <w:r w:rsidR="00621B66" w:rsidRPr="008C24D6">
          <w:rPr>
            <w:rStyle w:val="Hyperlink"/>
            <w:rFonts w:ascii="Verdana" w:hAnsi="Verdana"/>
          </w:rPr>
          <w:t>admin@goostrey.cheshire.sch.uk</w:t>
        </w:r>
      </w:hyperlink>
    </w:p>
    <w:p w:rsidR="00621B66" w:rsidRDefault="00621B66" w:rsidP="00272C6B">
      <w:pPr>
        <w:pStyle w:val="NormalWeb"/>
        <w:spacing w:before="0" w:beforeAutospacing="0" w:after="75" w:afterAutospacing="0" w:line="330" w:lineRule="atLeast"/>
        <w:rPr>
          <w:rFonts w:ascii="Verdana" w:hAnsi="Verdana"/>
          <w:color w:val="606F7B"/>
        </w:rPr>
      </w:pPr>
    </w:p>
    <w:p w:rsidR="00272C6B" w:rsidRDefault="00272C6B" w:rsidP="00272C6B">
      <w:pPr>
        <w:pStyle w:val="NormalWeb"/>
        <w:spacing w:before="0" w:beforeAutospacing="0" w:after="75" w:afterAutospacing="0" w:line="330" w:lineRule="atLeast"/>
        <w:rPr>
          <w:rFonts w:ascii="Verdana" w:hAnsi="Verdana"/>
          <w:color w:val="606F7B"/>
        </w:rPr>
      </w:pPr>
    </w:p>
    <w:tbl>
      <w:tblPr>
        <w:tblStyle w:val="GridTable4-Accent2"/>
        <w:tblW w:w="5000" w:type="pct"/>
        <w:tblLook w:val="04A0" w:firstRow="1" w:lastRow="0" w:firstColumn="1" w:lastColumn="0" w:noHBand="0" w:noVBand="1"/>
      </w:tblPr>
      <w:tblGrid>
        <w:gridCol w:w="1389"/>
        <w:gridCol w:w="1265"/>
        <w:gridCol w:w="1266"/>
        <w:gridCol w:w="1268"/>
        <w:gridCol w:w="1292"/>
        <w:gridCol w:w="1270"/>
        <w:gridCol w:w="1266"/>
      </w:tblGrid>
      <w:tr w:rsidR="00545930" w:rsidTr="005459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0" w:type="pct"/>
          </w:tcPr>
          <w:p w:rsidR="00545930" w:rsidRPr="00545930" w:rsidRDefault="00545930">
            <w:pPr>
              <w:rPr>
                <w:b w:val="0"/>
              </w:rPr>
            </w:pPr>
            <w:r w:rsidRPr="00545930">
              <w:rPr>
                <w:b w:val="0"/>
              </w:rPr>
              <w:t>Week Commencing</w:t>
            </w:r>
          </w:p>
        </w:tc>
        <w:tc>
          <w:tcPr>
            <w:tcW w:w="704" w:type="pct"/>
          </w:tcPr>
          <w:p w:rsidR="00545930" w:rsidRPr="00545930" w:rsidRDefault="00545930">
            <w:pPr>
              <w:cnfStyle w:val="100000000000" w:firstRow="1" w:lastRow="0" w:firstColumn="0" w:lastColumn="0" w:oddVBand="0" w:evenVBand="0" w:oddHBand="0" w:evenHBand="0" w:firstRowFirstColumn="0" w:firstRowLastColumn="0" w:lastRowFirstColumn="0" w:lastRowLastColumn="0"/>
              <w:rPr>
                <w:b w:val="0"/>
              </w:rPr>
            </w:pPr>
          </w:p>
        </w:tc>
        <w:tc>
          <w:tcPr>
            <w:tcW w:w="704" w:type="pct"/>
          </w:tcPr>
          <w:p w:rsidR="00545930" w:rsidRPr="00545930" w:rsidRDefault="00545930">
            <w:pPr>
              <w:cnfStyle w:val="100000000000" w:firstRow="1" w:lastRow="0" w:firstColumn="0" w:lastColumn="0" w:oddVBand="0" w:evenVBand="0" w:oddHBand="0" w:evenHBand="0" w:firstRowFirstColumn="0" w:firstRowLastColumn="0" w:lastRowFirstColumn="0" w:lastRowLastColumn="0"/>
              <w:rPr>
                <w:b w:val="0"/>
              </w:rPr>
            </w:pPr>
          </w:p>
        </w:tc>
        <w:tc>
          <w:tcPr>
            <w:tcW w:w="705" w:type="pct"/>
          </w:tcPr>
          <w:p w:rsidR="00545930" w:rsidRPr="00545930" w:rsidRDefault="00545930">
            <w:pPr>
              <w:cnfStyle w:val="100000000000" w:firstRow="1" w:lastRow="0" w:firstColumn="0" w:lastColumn="0" w:oddVBand="0" w:evenVBand="0" w:oddHBand="0" w:evenHBand="0" w:firstRowFirstColumn="0" w:firstRowLastColumn="0" w:lastRowFirstColumn="0" w:lastRowLastColumn="0"/>
              <w:rPr>
                <w:b w:val="0"/>
              </w:rPr>
            </w:pPr>
          </w:p>
        </w:tc>
        <w:tc>
          <w:tcPr>
            <w:tcW w:w="705" w:type="pct"/>
          </w:tcPr>
          <w:p w:rsidR="00545930" w:rsidRPr="00545930" w:rsidRDefault="00545930">
            <w:pPr>
              <w:cnfStyle w:val="100000000000" w:firstRow="1" w:lastRow="0" w:firstColumn="0" w:lastColumn="0" w:oddVBand="0" w:evenVBand="0" w:oddHBand="0" w:evenHBand="0" w:firstRowFirstColumn="0" w:firstRowLastColumn="0" w:lastRowFirstColumn="0" w:lastRowLastColumn="0"/>
              <w:rPr>
                <w:b w:val="0"/>
              </w:rPr>
            </w:pPr>
          </w:p>
        </w:tc>
        <w:tc>
          <w:tcPr>
            <w:tcW w:w="706" w:type="pct"/>
          </w:tcPr>
          <w:p w:rsidR="00545930" w:rsidRPr="00545930" w:rsidRDefault="00545930">
            <w:pPr>
              <w:cnfStyle w:val="100000000000" w:firstRow="1" w:lastRow="0" w:firstColumn="0" w:lastColumn="0" w:oddVBand="0" w:evenVBand="0" w:oddHBand="0" w:evenHBand="0" w:firstRowFirstColumn="0" w:firstRowLastColumn="0" w:lastRowFirstColumn="0" w:lastRowLastColumn="0"/>
              <w:rPr>
                <w:b w:val="0"/>
              </w:rPr>
            </w:pPr>
          </w:p>
        </w:tc>
        <w:tc>
          <w:tcPr>
            <w:tcW w:w="704" w:type="pct"/>
          </w:tcPr>
          <w:p w:rsidR="00545930" w:rsidRPr="00545930" w:rsidRDefault="00545930">
            <w:pPr>
              <w:cnfStyle w:val="100000000000" w:firstRow="1" w:lastRow="0" w:firstColumn="0" w:lastColumn="0" w:oddVBand="0" w:evenVBand="0" w:oddHBand="0" w:evenHBand="0" w:firstRowFirstColumn="0" w:firstRowLastColumn="0" w:lastRowFirstColumn="0" w:lastRowLastColumn="0"/>
              <w:rPr>
                <w:b w:val="0"/>
              </w:rPr>
            </w:pPr>
          </w:p>
        </w:tc>
      </w:tr>
      <w:tr w:rsidR="00545930" w:rsidTr="00545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0" w:type="pct"/>
          </w:tcPr>
          <w:p w:rsidR="00545930" w:rsidRPr="00545930" w:rsidRDefault="00545930">
            <w:pPr>
              <w:rPr>
                <w:b w:val="0"/>
              </w:rPr>
            </w:pPr>
          </w:p>
        </w:tc>
        <w:tc>
          <w:tcPr>
            <w:tcW w:w="704" w:type="pct"/>
          </w:tcPr>
          <w:p w:rsidR="00545930" w:rsidRPr="00545930" w:rsidRDefault="00545930">
            <w:pPr>
              <w:cnfStyle w:val="000000100000" w:firstRow="0" w:lastRow="0" w:firstColumn="0" w:lastColumn="0" w:oddVBand="0" w:evenVBand="0" w:oddHBand="1" w:evenHBand="0" w:firstRowFirstColumn="0" w:firstRowLastColumn="0" w:lastRowFirstColumn="0" w:lastRowLastColumn="0"/>
              <w:rPr>
                <w:b/>
              </w:rPr>
            </w:pPr>
          </w:p>
        </w:tc>
        <w:tc>
          <w:tcPr>
            <w:tcW w:w="704" w:type="pct"/>
          </w:tcPr>
          <w:p w:rsidR="00545930" w:rsidRPr="00545930" w:rsidRDefault="00545930">
            <w:pPr>
              <w:cnfStyle w:val="000000100000" w:firstRow="0" w:lastRow="0" w:firstColumn="0" w:lastColumn="0" w:oddVBand="0" w:evenVBand="0" w:oddHBand="1" w:evenHBand="0" w:firstRowFirstColumn="0" w:firstRowLastColumn="0" w:lastRowFirstColumn="0" w:lastRowLastColumn="0"/>
              <w:rPr>
                <w:b/>
              </w:rPr>
            </w:pPr>
            <w:r w:rsidRPr="00545930">
              <w:rPr>
                <w:b/>
              </w:rPr>
              <w:t>Monday</w:t>
            </w:r>
          </w:p>
        </w:tc>
        <w:tc>
          <w:tcPr>
            <w:tcW w:w="705" w:type="pct"/>
          </w:tcPr>
          <w:p w:rsidR="00545930" w:rsidRPr="00545930" w:rsidRDefault="00545930">
            <w:pPr>
              <w:cnfStyle w:val="000000100000" w:firstRow="0" w:lastRow="0" w:firstColumn="0" w:lastColumn="0" w:oddVBand="0" w:evenVBand="0" w:oddHBand="1" w:evenHBand="0" w:firstRowFirstColumn="0" w:firstRowLastColumn="0" w:lastRowFirstColumn="0" w:lastRowLastColumn="0"/>
              <w:rPr>
                <w:b/>
              </w:rPr>
            </w:pPr>
            <w:r w:rsidRPr="00545930">
              <w:rPr>
                <w:b/>
              </w:rPr>
              <w:t>Tuesday</w:t>
            </w:r>
          </w:p>
        </w:tc>
        <w:tc>
          <w:tcPr>
            <w:tcW w:w="705" w:type="pct"/>
          </w:tcPr>
          <w:p w:rsidR="00545930" w:rsidRPr="00545930" w:rsidRDefault="00545930">
            <w:pPr>
              <w:cnfStyle w:val="000000100000" w:firstRow="0" w:lastRow="0" w:firstColumn="0" w:lastColumn="0" w:oddVBand="0" w:evenVBand="0" w:oddHBand="1" w:evenHBand="0" w:firstRowFirstColumn="0" w:firstRowLastColumn="0" w:lastRowFirstColumn="0" w:lastRowLastColumn="0"/>
              <w:rPr>
                <w:b/>
              </w:rPr>
            </w:pPr>
            <w:r w:rsidRPr="00545930">
              <w:rPr>
                <w:b/>
              </w:rPr>
              <w:t>Wednesday</w:t>
            </w:r>
          </w:p>
        </w:tc>
        <w:tc>
          <w:tcPr>
            <w:tcW w:w="706" w:type="pct"/>
          </w:tcPr>
          <w:p w:rsidR="00545930" w:rsidRPr="00545930" w:rsidRDefault="00545930">
            <w:pPr>
              <w:cnfStyle w:val="000000100000" w:firstRow="0" w:lastRow="0" w:firstColumn="0" w:lastColumn="0" w:oddVBand="0" w:evenVBand="0" w:oddHBand="1" w:evenHBand="0" w:firstRowFirstColumn="0" w:firstRowLastColumn="0" w:lastRowFirstColumn="0" w:lastRowLastColumn="0"/>
              <w:rPr>
                <w:b/>
              </w:rPr>
            </w:pPr>
            <w:r w:rsidRPr="00545930">
              <w:rPr>
                <w:b/>
              </w:rPr>
              <w:t>Thursday</w:t>
            </w:r>
          </w:p>
        </w:tc>
        <w:tc>
          <w:tcPr>
            <w:tcW w:w="704" w:type="pct"/>
          </w:tcPr>
          <w:p w:rsidR="00545930" w:rsidRPr="00545930" w:rsidRDefault="00545930">
            <w:pPr>
              <w:cnfStyle w:val="000000100000" w:firstRow="0" w:lastRow="0" w:firstColumn="0" w:lastColumn="0" w:oddVBand="0" w:evenVBand="0" w:oddHBand="1" w:evenHBand="0" w:firstRowFirstColumn="0" w:firstRowLastColumn="0" w:lastRowFirstColumn="0" w:lastRowLastColumn="0"/>
              <w:rPr>
                <w:b/>
              </w:rPr>
            </w:pPr>
            <w:r w:rsidRPr="00545930">
              <w:rPr>
                <w:b/>
              </w:rPr>
              <w:t>Friday</w:t>
            </w:r>
          </w:p>
        </w:tc>
      </w:tr>
      <w:tr w:rsidR="00545930" w:rsidTr="00545930">
        <w:tc>
          <w:tcPr>
            <w:cnfStyle w:val="001000000000" w:firstRow="0" w:lastRow="0" w:firstColumn="1" w:lastColumn="0" w:oddVBand="0" w:evenVBand="0" w:oddHBand="0" w:evenHBand="0" w:firstRowFirstColumn="0" w:firstRowLastColumn="0" w:lastRowFirstColumn="0" w:lastRowLastColumn="0"/>
            <w:tcW w:w="770" w:type="pct"/>
          </w:tcPr>
          <w:p w:rsidR="00545930" w:rsidRDefault="00545930">
            <w:r>
              <w:t>Pupil Name</w:t>
            </w:r>
          </w:p>
        </w:tc>
        <w:tc>
          <w:tcPr>
            <w:tcW w:w="704" w:type="pct"/>
          </w:tcPr>
          <w:p w:rsidR="00545930" w:rsidRDefault="00545930">
            <w:pPr>
              <w:cnfStyle w:val="000000000000" w:firstRow="0" w:lastRow="0" w:firstColumn="0" w:lastColumn="0" w:oddVBand="0" w:evenVBand="0" w:oddHBand="0" w:evenHBand="0" w:firstRowFirstColumn="0" w:firstRowLastColumn="0" w:lastRowFirstColumn="0" w:lastRowLastColumn="0"/>
            </w:pPr>
            <w:r>
              <w:t>Year Group</w:t>
            </w:r>
          </w:p>
        </w:tc>
        <w:tc>
          <w:tcPr>
            <w:tcW w:w="704" w:type="pct"/>
          </w:tcPr>
          <w:p w:rsidR="00545930" w:rsidRDefault="00545930">
            <w:pPr>
              <w:cnfStyle w:val="000000000000" w:firstRow="0" w:lastRow="0" w:firstColumn="0" w:lastColumn="0" w:oddVBand="0" w:evenVBand="0" w:oddHBand="0" w:evenHBand="0" w:firstRowFirstColumn="0" w:firstRowLastColumn="0" w:lastRowFirstColumn="0" w:lastRowLastColumn="0"/>
            </w:pPr>
            <w:r>
              <w:t>AM/PM</w:t>
            </w:r>
          </w:p>
        </w:tc>
        <w:tc>
          <w:tcPr>
            <w:tcW w:w="705" w:type="pct"/>
          </w:tcPr>
          <w:p w:rsidR="00545930" w:rsidRDefault="00545930">
            <w:pPr>
              <w:cnfStyle w:val="000000000000" w:firstRow="0" w:lastRow="0" w:firstColumn="0" w:lastColumn="0" w:oddVBand="0" w:evenVBand="0" w:oddHBand="0" w:evenHBand="0" w:firstRowFirstColumn="0" w:firstRowLastColumn="0" w:lastRowFirstColumn="0" w:lastRowLastColumn="0"/>
            </w:pPr>
            <w:r>
              <w:t>AM/PM</w:t>
            </w:r>
          </w:p>
        </w:tc>
        <w:tc>
          <w:tcPr>
            <w:tcW w:w="705" w:type="pct"/>
          </w:tcPr>
          <w:p w:rsidR="00545930" w:rsidRDefault="00545930">
            <w:pPr>
              <w:cnfStyle w:val="000000000000" w:firstRow="0" w:lastRow="0" w:firstColumn="0" w:lastColumn="0" w:oddVBand="0" w:evenVBand="0" w:oddHBand="0" w:evenHBand="0" w:firstRowFirstColumn="0" w:firstRowLastColumn="0" w:lastRowFirstColumn="0" w:lastRowLastColumn="0"/>
            </w:pPr>
            <w:r>
              <w:t>AM/PM</w:t>
            </w:r>
          </w:p>
        </w:tc>
        <w:tc>
          <w:tcPr>
            <w:tcW w:w="706" w:type="pct"/>
          </w:tcPr>
          <w:p w:rsidR="00545930" w:rsidRDefault="00545930">
            <w:pPr>
              <w:cnfStyle w:val="000000000000" w:firstRow="0" w:lastRow="0" w:firstColumn="0" w:lastColumn="0" w:oddVBand="0" w:evenVBand="0" w:oddHBand="0" w:evenHBand="0" w:firstRowFirstColumn="0" w:firstRowLastColumn="0" w:lastRowFirstColumn="0" w:lastRowLastColumn="0"/>
            </w:pPr>
            <w:r>
              <w:t>AM/PM</w:t>
            </w:r>
          </w:p>
        </w:tc>
        <w:tc>
          <w:tcPr>
            <w:tcW w:w="704" w:type="pct"/>
          </w:tcPr>
          <w:p w:rsidR="00545930" w:rsidRDefault="00545930">
            <w:pPr>
              <w:cnfStyle w:val="000000000000" w:firstRow="0" w:lastRow="0" w:firstColumn="0" w:lastColumn="0" w:oddVBand="0" w:evenVBand="0" w:oddHBand="0" w:evenHBand="0" w:firstRowFirstColumn="0" w:firstRowLastColumn="0" w:lastRowFirstColumn="0" w:lastRowLastColumn="0"/>
            </w:pPr>
            <w:r>
              <w:t>AM/PM</w:t>
            </w:r>
          </w:p>
        </w:tc>
      </w:tr>
      <w:tr w:rsidR="00545930" w:rsidTr="00545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0" w:type="pct"/>
          </w:tcPr>
          <w:p w:rsidR="00545930" w:rsidRDefault="00545930"/>
          <w:p w:rsidR="00621B66" w:rsidRDefault="00621B66"/>
        </w:tc>
        <w:tc>
          <w:tcPr>
            <w:tcW w:w="704" w:type="pct"/>
          </w:tcPr>
          <w:p w:rsidR="00545930" w:rsidRDefault="00545930">
            <w:pPr>
              <w:cnfStyle w:val="000000100000" w:firstRow="0" w:lastRow="0" w:firstColumn="0" w:lastColumn="0" w:oddVBand="0" w:evenVBand="0" w:oddHBand="1" w:evenHBand="0" w:firstRowFirstColumn="0" w:firstRowLastColumn="0" w:lastRowFirstColumn="0" w:lastRowLastColumn="0"/>
            </w:pPr>
          </w:p>
        </w:tc>
        <w:tc>
          <w:tcPr>
            <w:tcW w:w="704" w:type="pct"/>
          </w:tcPr>
          <w:p w:rsidR="00545930" w:rsidRDefault="00545930">
            <w:pPr>
              <w:cnfStyle w:val="000000100000" w:firstRow="0" w:lastRow="0" w:firstColumn="0" w:lastColumn="0" w:oddVBand="0" w:evenVBand="0" w:oddHBand="1" w:evenHBand="0" w:firstRowFirstColumn="0" w:firstRowLastColumn="0" w:lastRowFirstColumn="0" w:lastRowLastColumn="0"/>
            </w:pPr>
          </w:p>
        </w:tc>
        <w:tc>
          <w:tcPr>
            <w:tcW w:w="705" w:type="pct"/>
          </w:tcPr>
          <w:p w:rsidR="00545930" w:rsidRDefault="00545930">
            <w:pPr>
              <w:cnfStyle w:val="000000100000" w:firstRow="0" w:lastRow="0" w:firstColumn="0" w:lastColumn="0" w:oddVBand="0" w:evenVBand="0" w:oddHBand="1" w:evenHBand="0" w:firstRowFirstColumn="0" w:firstRowLastColumn="0" w:lastRowFirstColumn="0" w:lastRowLastColumn="0"/>
            </w:pPr>
          </w:p>
        </w:tc>
        <w:tc>
          <w:tcPr>
            <w:tcW w:w="705" w:type="pct"/>
          </w:tcPr>
          <w:p w:rsidR="00545930" w:rsidRDefault="00545930">
            <w:pPr>
              <w:cnfStyle w:val="000000100000" w:firstRow="0" w:lastRow="0" w:firstColumn="0" w:lastColumn="0" w:oddVBand="0" w:evenVBand="0" w:oddHBand="1" w:evenHBand="0" w:firstRowFirstColumn="0" w:firstRowLastColumn="0" w:lastRowFirstColumn="0" w:lastRowLastColumn="0"/>
            </w:pPr>
          </w:p>
        </w:tc>
        <w:tc>
          <w:tcPr>
            <w:tcW w:w="706" w:type="pct"/>
          </w:tcPr>
          <w:p w:rsidR="00545930" w:rsidRDefault="00545930">
            <w:pPr>
              <w:cnfStyle w:val="000000100000" w:firstRow="0" w:lastRow="0" w:firstColumn="0" w:lastColumn="0" w:oddVBand="0" w:evenVBand="0" w:oddHBand="1" w:evenHBand="0" w:firstRowFirstColumn="0" w:firstRowLastColumn="0" w:lastRowFirstColumn="0" w:lastRowLastColumn="0"/>
            </w:pPr>
          </w:p>
        </w:tc>
        <w:tc>
          <w:tcPr>
            <w:tcW w:w="704" w:type="pct"/>
          </w:tcPr>
          <w:p w:rsidR="00545930" w:rsidRDefault="00545930">
            <w:pPr>
              <w:cnfStyle w:val="000000100000" w:firstRow="0" w:lastRow="0" w:firstColumn="0" w:lastColumn="0" w:oddVBand="0" w:evenVBand="0" w:oddHBand="1" w:evenHBand="0" w:firstRowFirstColumn="0" w:firstRowLastColumn="0" w:lastRowFirstColumn="0" w:lastRowLastColumn="0"/>
            </w:pPr>
          </w:p>
        </w:tc>
      </w:tr>
      <w:tr w:rsidR="00545930" w:rsidTr="00545930">
        <w:tc>
          <w:tcPr>
            <w:cnfStyle w:val="001000000000" w:firstRow="0" w:lastRow="0" w:firstColumn="1" w:lastColumn="0" w:oddVBand="0" w:evenVBand="0" w:oddHBand="0" w:evenHBand="0" w:firstRowFirstColumn="0" w:firstRowLastColumn="0" w:lastRowFirstColumn="0" w:lastRowLastColumn="0"/>
            <w:tcW w:w="770" w:type="pct"/>
          </w:tcPr>
          <w:p w:rsidR="00545930" w:rsidRDefault="00621B66">
            <w:r>
              <w:t>Before School Club</w:t>
            </w:r>
          </w:p>
        </w:tc>
        <w:tc>
          <w:tcPr>
            <w:tcW w:w="704" w:type="pct"/>
          </w:tcPr>
          <w:p w:rsidR="00545930" w:rsidRDefault="00545930">
            <w:pPr>
              <w:cnfStyle w:val="000000000000" w:firstRow="0" w:lastRow="0" w:firstColumn="0" w:lastColumn="0" w:oddVBand="0" w:evenVBand="0" w:oddHBand="0" w:evenHBand="0" w:firstRowFirstColumn="0" w:firstRowLastColumn="0" w:lastRowFirstColumn="0" w:lastRowLastColumn="0"/>
            </w:pPr>
          </w:p>
        </w:tc>
        <w:tc>
          <w:tcPr>
            <w:tcW w:w="704" w:type="pct"/>
          </w:tcPr>
          <w:p w:rsidR="00545930" w:rsidRDefault="00545930">
            <w:pPr>
              <w:cnfStyle w:val="000000000000" w:firstRow="0" w:lastRow="0" w:firstColumn="0" w:lastColumn="0" w:oddVBand="0" w:evenVBand="0" w:oddHBand="0" w:evenHBand="0" w:firstRowFirstColumn="0" w:firstRowLastColumn="0" w:lastRowFirstColumn="0" w:lastRowLastColumn="0"/>
            </w:pPr>
          </w:p>
        </w:tc>
        <w:tc>
          <w:tcPr>
            <w:tcW w:w="705" w:type="pct"/>
          </w:tcPr>
          <w:p w:rsidR="00545930" w:rsidRDefault="00545930">
            <w:pPr>
              <w:cnfStyle w:val="000000000000" w:firstRow="0" w:lastRow="0" w:firstColumn="0" w:lastColumn="0" w:oddVBand="0" w:evenVBand="0" w:oddHBand="0" w:evenHBand="0" w:firstRowFirstColumn="0" w:firstRowLastColumn="0" w:lastRowFirstColumn="0" w:lastRowLastColumn="0"/>
            </w:pPr>
          </w:p>
        </w:tc>
        <w:tc>
          <w:tcPr>
            <w:tcW w:w="705" w:type="pct"/>
          </w:tcPr>
          <w:p w:rsidR="00545930" w:rsidRDefault="00545930">
            <w:pPr>
              <w:cnfStyle w:val="000000000000" w:firstRow="0" w:lastRow="0" w:firstColumn="0" w:lastColumn="0" w:oddVBand="0" w:evenVBand="0" w:oddHBand="0" w:evenHBand="0" w:firstRowFirstColumn="0" w:firstRowLastColumn="0" w:lastRowFirstColumn="0" w:lastRowLastColumn="0"/>
            </w:pPr>
          </w:p>
        </w:tc>
        <w:tc>
          <w:tcPr>
            <w:tcW w:w="706" w:type="pct"/>
          </w:tcPr>
          <w:p w:rsidR="00545930" w:rsidRDefault="00545930">
            <w:pPr>
              <w:cnfStyle w:val="000000000000" w:firstRow="0" w:lastRow="0" w:firstColumn="0" w:lastColumn="0" w:oddVBand="0" w:evenVBand="0" w:oddHBand="0" w:evenHBand="0" w:firstRowFirstColumn="0" w:firstRowLastColumn="0" w:lastRowFirstColumn="0" w:lastRowLastColumn="0"/>
            </w:pPr>
          </w:p>
        </w:tc>
        <w:tc>
          <w:tcPr>
            <w:tcW w:w="704" w:type="pct"/>
          </w:tcPr>
          <w:p w:rsidR="00545930" w:rsidRDefault="00545930">
            <w:pPr>
              <w:cnfStyle w:val="000000000000" w:firstRow="0" w:lastRow="0" w:firstColumn="0" w:lastColumn="0" w:oddVBand="0" w:evenVBand="0" w:oddHBand="0" w:evenHBand="0" w:firstRowFirstColumn="0" w:firstRowLastColumn="0" w:lastRowFirstColumn="0" w:lastRowLastColumn="0"/>
            </w:pPr>
          </w:p>
        </w:tc>
      </w:tr>
      <w:tr w:rsidR="00545930" w:rsidTr="00545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0" w:type="pct"/>
          </w:tcPr>
          <w:p w:rsidR="00545930" w:rsidRDefault="00545930"/>
          <w:p w:rsidR="00621B66" w:rsidRDefault="00621B66"/>
        </w:tc>
        <w:tc>
          <w:tcPr>
            <w:tcW w:w="704" w:type="pct"/>
          </w:tcPr>
          <w:p w:rsidR="00545930" w:rsidRDefault="00545930">
            <w:pPr>
              <w:cnfStyle w:val="000000100000" w:firstRow="0" w:lastRow="0" w:firstColumn="0" w:lastColumn="0" w:oddVBand="0" w:evenVBand="0" w:oddHBand="1" w:evenHBand="0" w:firstRowFirstColumn="0" w:firstRowLastColumn="0" w:lastRowFirstColumn="0" w:lastRowLastColumn="0"/>
            </w:pPr>
          </w:p>
        </w:tc>
        <w:tc>
          <w:tcPr>
            <w:tcW w:w="704" w:type="pct"/>
          </w:tcPr>
          <w:p w:rsidR="00545930" w:rsidRDefault="00545930">
            <w:pPr>
              <w:cnfStyle w:val="000000100000" w:firstRow="0" w:lastRow="0" w:firstColumn="0" w:lastColumn="0" w:oddVBand="0" w:evenVBand="0" w:oddHBand="1" w:evenHBand="0" w:firstRowFirstColumn="0" w:firstRowLastColumn="0" w:lastRowFirstColumn="0" w:lastRowLastColumn="0"/>
            </w:pPr>
          </w:p>
        </w:tc>
        <w:tc>
          <w:tcPr>
            <w:tcW w:w="705" w:type="pct"/>
          </w:tcPr>
          <w:p w:rsidR="00545930" w:rsidRDefault="00545930">
            <w:pPr>
              <w:cnfStyle w:val="000000100000" w:firstRow="0" w:lastRow="0" w:firstColumn="0" w:lastColumn="0" w:oddVBand="0" w:evenVBand="0" w:oddHBand="1" w:evenHBand="0" w:firstRowFirstColumn="0" w:firstRowLastColumn="0" w:lastRowFirstColumn="0" w:lastRowLastColumn="0"/>
            </w:pPr>
          </w:p>
        </w:tc>
        <w:tc>
          <w:tcPr>
            <w:tcW w:w="705" w:type="pct"/>
          </w:tcPr>
          <w:p w:rsidR="00545930" w:rsidRDefault="00545930">
            <w:pPr>
              <w:cnfStyle w:val="000000100000" w:firstRow="0" w:lastRow="0" w:firstColumn="0" w:lastColumn="0" w:oddVBand="0" w:evenVBand="0" w:oddHBand="1" w:evenHBand="0" w:firstRowFirstColumn="0" w:firstRowLastColumn="0" w:lastRowFirstColumn="0" w:lastRowLastColumn="0"/>
            </w:pPr>
          </w:p>
        </w:tc>
        <w:tc>
          <w:tcPr>
            <w:tcW w:w="706" w:type="pct"/>
          </w:tcPr>
          <w:p w:rsidR="00545930" w:rsidRDefault="00545930">
            <w:pPr>
              <w:cnfStyle w:val="000000100000" w:firstRow="0" w:lastRow="0" w:firstColumn="0" w:lastColumn="0" w:oddVBand="0" w:evenVBand="0" w:oddHBand="1" w:evenHBand="0" w:firstRowFirstColumn="0" w:firstRowLastColumn="0" w:lastRowFirstColumn="0" w:lastRowLastColumn="0"/>
            </w:pPr>
          </w:p>
        </w:tc>
        <w:tc>
          <w:tcPr>
            <w:tcW w:w="704" w:type="pct"/>
          </w:tcPr>
          <w:p w:rsidR="00545930" w:rsidRDefault="00545930">
            <w:pPr>
              <w:cnfStyle w:val="000000100000" w:firstRow="0" w:lastRow="0" w:firstColumn="0" w:lastColumn="0" w:oddVBand="0" w:evenVBand="0" w:oddHBand="1" w:evenHBand="0" w:firstRowFirstColumn="0" w:firstRowLastColumn="0" w:lastRowFirstColumn="0" w:lastRowLastColumn="0"/>
            </w:pPr>
          </w:p>
        </w:tc>
      </w:tr>
      <w:tr w:rsidR="00545930" w:rsidTr="00545930">
        <w:tc>
          <w:tcPr>
            <w:cnfStyle w:val="001000000000" w:firstRow="0" w:lastRow="0" w:firstColumn="1" w:lastColumn="0" w:oddVBand="0" w:evenVBand="0" w:oddHBand="0" w:evenHBand="0" w:firstRowFirstColumn="0" w:firstRowLastColumn="0" w:lastRowFirstColumn="0" w:lastRowLastColumn="0"/>
            <w:tcW w:w="770" w:type="pct"/>
          </w:tcPr>
          <w:p w:rsidR="00545930" w:rsidRDefault="00545930"/>
          <w:p w:rsidR="00621B66" w:rsidRDefault="00621B66"/>
        </w:tc>
        <w:tc>
          <w:tcPr>
            <w:tcW w:w="704" w:type="pct"/>
          </w:tcPr>
          <w:p w:rsidR="00545930" w:rsidRDefault="00545930">
            <w:pPr>
              <w:cnfStyle w:val="000000000000" w:firstRow="0" w:lastRow="0" w:firstColumn="0" w:lastColumn="0" w:oddVBand="0" w:evenVBand="0" w:oddHBand="0" w:evenHBand="0" w:firstRowFirstColumn="0" w:firstRowLastColumn="0" w:lastRowFirstColumn="0" w:lastRowLastColumn="0"/>
            </w:pPr>
          </w:p>
        </w:tc>
        <w:tc>
          <w:tcPr>
            <w:tcW w:w="704" w:type="pct"/>
          </w:tcPr>
          <w:p w:rsidR="00545930" w:rsidRDefault="00545930">
            <w:pPr>
              <w:cnfStyle w:val="000000000000" w:firstRow="0" w:lastRow="0" w:firstColumn="0" w:lastColumn="0" w:oddVBand="0" w:evenVBand="0" w:oddHBand="0" w:evenHBand="0" w:firstRowFirstColumn="0" w:firstRowLastColumn="0" w:lastRowFirstColumn="0" w:lastRowLastColumn="0"/>
            </w:pPr>
          </w:p>
        </w:tc>
        <w:tc>
          <w:tcPr>
            <w:tcW w:w="705" w:type="pct"/>
          </w:tcPr>
          <w:p w:rsidR="00545930" w:rsidRDefault="00545930">
            <w:pPr>
              <w:cnfStyle w:val="000000000000" w:firstRow="0" w:lastRow="0" w:firstColumn="0" w:lastColumn="0" w:oddVBand="0" w:evenVBand="0" w:oddHBand="0" w:evenHBand="0" w:firstRowFirstColumn="0" w:firstRowLastColumn="0" w:lastRowFirstColumn="0" w:lastRowLastColumn="0"/>
            </w:pPr>
          </w:p>
        </w:tc>
        <w:tc>
          <w:tcPr>
            <w:tcW w:w="705" w:type="pct"/>
          </w:tcPr>
          <w:p w:rsidR="00545930" w:rsidRDefault="00545930">
            <w:pPr>
              <w:cnfStyle w:val="000000000000" w:firstRow="0" w:lastRow="0" w:firstColumn="0" w:lastColumn="0" w:oddVBand="0" w:evenVBand="0" w:oddHBand="0" w:evenHBand="0" w:firstRowFirstColumn="0" w:firstRowLastColumn="0" w:lastRowFirstColumn="0" w:lastRowLastColumn="0"/>
            </w:pPr>
          </w:p>
        </w:tc>
        <w:tc>
          <w:tcPr>
            <w:tcW w:w="706" w:type="pct"/>
          </w:tcPr>
          <w:p w:rsidR="00545930" w:rsidRDefault="00545930">
            <w:pPr>
              <w:cnfStyle w:val="000000000000" w:firstRow="0" w:lastRow="0" w:firstColumn="0" w:lastColumn="0" w:oddVBand="0" w:evenVBand="0" w:oddHBand="0" w:evenHBand="0" w:firstRowFirstColumn="0" w:firstRowLastColumn="0" w:lastRowFirstColumn="0" w:lastRowLastColumn="0"/>
            </w:pPr>
          </w:p>
        </w:tc>
        <w:tc>
          <w:tcPr>
            <w:tcW w:w="704" w:type="pct"/>
          </w:tcPr>
          <w:p w:rsidR="00545930" w:rsidRDefault="00545930">
            <w:pPr>
              <w:cnfStyle w:val="000000000000" w:firstRow="0" w:lastRow="0" w:firstColumn="0" w:lastColumn="0" w:oddVBand="0" w:evenVBand="0" w:oddHBand="0" w:evenHBand="0" w:firstRowFirstColumn="0" w:firstRowLastColumn="0" w:lastRowFirstColumn="0" w:lastRowLastColumn="0"/>
            </w:pPr>
          </w:p>
        </w:tc>
      </w:tr>
    </w:tbl>
    <w:p w:rsidR="00EE04A7" w:rsidRDefault="00EE04A7"/>
    <w:p w:rsidR="00621B66" w:rsidRPr="000D2BE7" w:rsidRDefault="00621B66">
      <w:pPr>
        <w:rPr>
          <w:rFonts w:ascii="Verdana" w:hAnsi="Verdana"/>
          <w:sz w:val="24"/>
          <w:szCs w:val="24"/>
        </w:rPr>
      </w:pPr>
      <w:r w:rsidRPr="000D2BE7">
        <w:rPr>
          <w:rFonts w:ascii="Verdana" w:hAnsi="Verdana"/>
          <w:sz w:val="24"/>
          <w:szCs w:val="24"/>
        </w:rPr>
        <w:t>Children attending during this closure period should arrive at the following entrances:</w:t>
      </w:r>
    </w:p>
    <w:p w:rsidR="00621B66" w:rsidRPr="000D2BE7" w:rsidRDefault="00621B66" w:rsidP="00621B66">
      <w:pPr>
        <w:pStyle w:val="ListParagraph"/>
        <w:numPr>
          <w:ilvl w:val="0"/>
          <w:numId w:val="3"/>
        </w:numPr>
        <w:rPr>
          <w:rFonts w:ascii="Verdana" w:hAnsi="Verdana"/>
          <w:sz w:val="24"/>
          <w:szCs w:val="24"/>
        </w:rPr>
      </w:pPr>
      <w:r w:rsidRPr="000D2BE7">
        <w:rPr>
          <w:rFonts w:ascii="Verdana" w:hAnsi="Verdana"/>
          <w:sz w:val="24"/>
          <w:szCs w:val="24"/>
        </w:rPr>
        <w:t>Reception, Y1 and Y2 – at the Infant main door for 9 00 AM</w:t>
      </w:r>
    </w:p>
    <w:p w:rsidR="00621B66" w:rsidRPr="000D2BE7" w:rsidRDefault="00621B66" w:rsidP="00621B66">
      <w:pPr>
        <w:pStyle w:val="ListParagraph"/>
        <w:numPr>
          <w:ilvl w:val="0"/>
          <w:numId w:val="3"/>
        </w:numPr>
        <w:rPr>
          <w:rFonts w:ascii="Verdana" w:hAnsi="Verdana"/>
          <w:sz w:val="24"/>
          <w:szCs w:val="24"/>
        </w:rPr>
      </w:pPr>
      <w:r w:rsidRPr="000D2BE7">
        <w:rPr>
          <w:rFonts w:ascii="Verdana" w:hAnsi="Verdana"/>
          <w:sz w:val="24"/>
          <w:szCs w:val="24"/>
        </w:rPr>
        <w:t xml:space="preserve">KS2 – at the junior </w:t>
      </w:r>
      <w:r w:rsidR="00F10119">
        <w:rPr>
          <w:rFonts w:ascii="Verdana" w:hAnsi="Verdana"/>
          <w:sz w:val="24"/>
          <w:szCs w:val="24"/>
        </w:rPr>
        <w:t>hall rear</w:t>
      </w:r>
      <w:r w:rsidRPr="000D2BE7">
        <w:rPr>
          <w:rFonts w:ascii="Verdana" w:hAnsi="Verdana"/>
          <w:sz w:val="24"/>
          <w:szCs w:val="24"/>
        </w:rPr>
        <w:t xml:space="preserve"> door for 9 00 AM.</w:t>
      </w:r>
    </w:p>
    <w:p w:rsidR="00621B66" w:rsidRPr="000D2BE7" w:rsidRDefault="00621B66">
      <w:pPr>
        <w:rPr>
          <w:rFonts w:ascii="Verdana" w:hAnsi="Verdana"/>
          <w:sz w:val="24"/>
          <w:szCs w:val="24"/>
        </w:rPr>
      </w:pPr>
      <w:r w:rsidRPr="000D2BE7">
        <w:rPr>
          <w:rFonts w:ascii="Verdana" w:hAnsi="Verdana"/>
          <w:sz w:val="24"/>
          <w:szCs w:val="24"/>
        </w:rPr>
        <w:t>Pick up from the same doors will be at 3 15 PM.  Please continue to wear masks and socially distance from other families at drop off and pick up times.</w:t>
      </w:r>
    </w:p>
    <w:p w:rsidR="00621B66" w:rsidRPr="000D2BE7" w:rsidRDefault="00621B66">
      <w:pPr>
        <w:rPr>
          <w:rFonts w:ascii="Verdana" w:hAnsi="Verdana"/>
          <w:sz w:val="24"/>
          <w:szCs w:val="24"/>
        </w:rPr>
      </w:pPr>
      <w:r w:rsidRPr="000D2BE7">
        <w:rPr>
          <w:rFonts w:ascii="Verdana" w:hAnsi="Verdana"/>
          <w:sz w:val="24"/>
          <w:szCs w:val="24"/>
        </w:rPr>
        <w:t xml:space="preserve">At this point, we are still offering Before School Club from 8 00 AM in the Junior Hall.  If you wish to access this and are not currently enrolled, please email </w:t>
      </w:r>
      <w:hyperlink r:id="rId8" w:history="1">
        <w:r w:rsidRPr="000D2BE7">
          <w:rPr>
            <w:rStyle w:val="Hyperlink"/>
            <w:rFonts w:ascii="Verdana" w:hAnsi="Verdana"/>
            <w:sz w:val="24"/>
            <w:szCs w:val="24"/>
          </w:rPr>
          <w:t>mrs.carroll@goostrey.cheshire.sch.uk</w:t>
        </w:r>
      </w:hyperlink>
    </w:p>
    <w:p w:rsidR="00621B66" w:rsidRDefault="005301BD">
      <w:pPr>
        <w:rPr>
          <w:rFonts w:ascii="Verdana" w:hAnsi="Verdana"/>
          <w:sz w:val="24"/>
          <w:szCs w:val="24"/>
        </w:rPr>
      </w:pPr>
      <w:r w:rsidRPr="000D2BE7">
        <w:rPr>
          <w:rFonts w:ascii="Verdana" w:hAnsi="Verdana"/>
          <w:sz w:val="24"/>
          <w:szCs w:val="24"/>
        </w:rPr>
        <w:t>We understand that pupils attending will be able to access the online learning during club hours.</w:t>
      </w:r>
    </w:p>
    <w:p w:rsidR="000D2BE7" w:rsidRDefault="000D2BE7">
      <w:pPr>
        <w:rPr>
          <w:rFonts w:ascii="Verdana" w:hAnsi="Verdana"/>
          <w:sz w:val="24"/>
          <w:szCs w:val="24"/>
        </w:rPr>
      </w:pPr>
      <w:r>
        <w:rPr>
          <w:rFonts w:ascii="Verdana" w:hAnsi="Verdana"/>
          <w:sz w:val="24"/>
          <w:szCs w:val="24"/>
        </w:rPr>
        <w:t>We are currently awaiting information regarding Goostrey All Stars provision during lockdown.</w:t>
      </w:r>
    </w:p>
    <w:p w:rsidR="005301BD" w:rsidRPr="000D2BE7" w:rsidRDefault="005301BD">
      <w:pPr>
        <w:rPr>
          <w:rFonts w:ascii="Verdana" w:hAnsi="Verdana"/>
          <w:sz w:val="24"/>
          <w:szCs w:val="24"/>
        </w:rPr>
      </w:pPr>
      <w:r w:rsidRPr="000D2BE7">
        <w:rPr>
          <w:rFonts w:ascii="Verdana" w:hAnsi="Verdana"/>
          <w:sz w:val="24"/>
          <w:szCs w:val="24"/>
        </w:rPr>
        <w:t>We understand that all infant pupils attending will be provided with a school meal, as well as KS2 children who are eligible for Income Related Free School Meals.  Other KS2 pupils attending can continue to receive a paid for school meal should they require one, as normal.  We are awaiting details from the catering team as to what form meals will take.  Packed lunches may be brought in if you wish.</w:t>
      </w:r>
    </w:p>
    <w:p w:rsidR="005301BD" w:rsidRDefault="005301BD">
      <w:pPr>
        <w:rPr>
          <w:rFonts w:ascii="Verdana" w:hAnsi="Verdana"/>
          <w:sz w:val="24"/>
          <w:szCs w:val="24"/>
        </w:rPr>
      </w:pPr>
      <w:r w:rsidRPr="000D2BE7">
        <w:rPr>
          <w:rFonts w:ascii="Verdana" w:hAnsi="Verdana"/>
          <w:sz w:val="24"/>
          <w:szCs w:val="24"/>
        </w:rPr>
        <w:lastRenderedPageBreak/>
        <w:t>We currently awaiting further information regarding FSM provision for those children registered as eligible who will not be attending school and those families will be contacted a</w:t>
      </w:r>
      <w:r w:rsidR="000D2BE7" w:rsidRPr="000D2BE7">
        <w:rPr>
          <w:rFonts w:ascii="Verdana" w:hAnsi="Verdana"/>
          <w:sz w:val="24"/>
          <w:szCs w:val="24"/>
        </w:rPr>
        <w:t>s</w:t>
      </w:r>
      <w:r w:rsidRPr="000D2BE7">
        <w:rPr>
          <w:rFonts w:ascii="Verdana" w:hAnsi="Verdana"/>
          <w:sz w:val="24"/>
          <w:szCs w:val="24"/>
        </w:rPr>
        <w:t xml:space="preserve"> soon as more information is available.</w:t>
      </w:r>
    </w:p>
    <w:p w:rsidR="00F10119" w:rsidRDefault="00F10119">
      <w:pPr>
        <w:rPr>
          <w:rFonts w:ascii="Verdana" w:hAnsi="Verdana"/>
          <w:sz w:val="24"/>
          <w:szCs w:val="24"/>
        </w:rPr>
      </w:pPr>
    </w:p>
    <w:p w:rsidR="00F10119" w:rsidRDefault="00F10119">
      <w:pPr>
        <w:rPr>
          <w:rFonts w:ascii="Verdana" w:hAnsi="Verdana"/>
          <w:sz w:val="24"/>
          <w:szCs w:val="24"/>
        </w:rPr>
      </w:pPr>
      <w:r>
        <w:rPr>
          <w:rFonts w:ascii="Verdana" w:hAnsi="Verdana"/>
          <w:sz w:val="24"/>
          <w:szCs w:val="24"/>
        </w:rPr>
        <w:t>Kind regards</w:t>
      </w:r>
    </w:p>
    <w:p w:rsidR="00F10119" w:rsidRDefault="00F10119">
      <w:pPr>
        <w:rPr>
          <w:rFonts w:ascii="Verdana" w:hAnsi="Verdana"/>
          <w:sz w:val="24"/>
          <w:szCs w:val="24"/>
        </w:rPr>
      </w:pPr>
    </w:p>
    <w:p w:rsidR="00F10119" w:rsidRDefault="00F10119">
      <w:pPr>
        <w:rPr>
          <w:rFonts w:ascii="Verdana" w:hAnsi="Verdana"/>
          <w:sz w:val="24"/>
          <w:szCs w:val="24"/>
        </w:rPr>
      </w:pPr>
    </w:p>
    <w:p w:rsidR="00F10119" w:rsidRDefault="00F10119">
      <w:pPr>
        <w:rPr>
          <w:rFonts w:ascii="Verdana" w:hAnsi="Verdana"/>
          <w:sz w:val="24"/>
          <w:szCs w:val="24"/>
        </w:rPr>
      </w:pPr>
      <w:r>
        <w:rPr>
          <w:rFonts w:ascii="Verdana" w:hAnsi="Verdana"/>
          <w:sz w:val="24"/>
          <w:szCs w:val="24"/>
        </w:rPr>
        <w:t>Miss L Atkins</w:t>
      </w:r>
    </w:p>
    <w:p w:rsidR="00F10119" w:rsidRDefault="00F10119" w:rsidP="00F10119">
      <w:pPr>
        <w:rPr>
          <w:rFonts w:ascii="Verdana" w:hAnsi="Verdana"/>
          <w:sz w:val="24"/>
          <w:szCs w:val="24"/>
        </w:rPr>
      </w:pPr>
      <w:r>
        <w:rPr>
          <w:rFonts w:ascii="Verdana" w:hAnsi="Verdana"/>
          <w:sz w:val="24"/>
          <w:szCs w:val="24"/>
        </w:rPr>
        <w:t>Headteacher</w:t>
      </w:r>
    </w:p>
    <w:p w:rsidR="00F10119" w:rsidRDefault="00F10119" w:rsidP="00F10119">
      <w:pPr>
        <w:rPr>
          <w:rFonts w:ascii="Verdana" w:hAnsi="Verdana"/>
          <w:sz w:val="24"/>
          <w:szCs w:val="24"/>
        </w:rPr>
      </w:pPr>
    </w:p>
    <w:p w:rsidR="00F10119" w:rsidRDefault="00F10119" w:rsidP="00F10119">
      <w:pPr>
        <w:rPr>
          <w:rFonts w:ascii="Verdana" w:hAnsi="Verdana"/>
          <w:sz w:val="24"/>
          <w:szCs w:val="24"/>
        </w:rPr>
      </w:pPr>
      <w:r>
        <w:rPr>
          <w:rFonts w:ascii="Verdana" w:hAnsi="Verdana"/>
          <w:sz w:val="24"/>
          <w:szCs w:val="24"/>
        </w:rPr>
        <w:t>J Schurer-Lewis</w:t>
      </w:r>
    </w:p>
    <w:p w:rsidR="00F10119" w:rsidRPr="000D2BE7" w:rsidRDefault="00F10119" w:rsidP="00F10119">
      <w:pPr>
        <w:rPr>
          <w:rFonts w:ascii="Verdana" w:hAnsi="Verdana"/>
          <w:sz w:val="24"/>
          <w:szCs w:val="24"/>
        </w:rPr>
      </w:pPr>
      <w:bookmarkStart w:id="0" w:name="_GoBack"/>
      <w:bookmarkEnd w:id="0"/>
      <w:r>
        <w:rPr>
          <w:rFonts w:ascii="Verdana" w:hAnsi="Verdana"/>
          <w:sz w:val="24"/>
          <w:szCs w:val="24"/>
        </w:rPr>
        <w:t>School Business Manager</w:t>
      </w:r>
    </w:p>
    <w:sectPr w:rsidR="00F10119" w:rsidRPr="000D2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E3427"/>
    <w:multiLevelType w:val="hybridMultilevel"/>
    <w:tmpl w:val="F9EA1D9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A6B558C"/>
    <w:multiLevelType w:val="hybridMultilevel"/>
    <w:tmpl w:val="3006C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6B"/>
    <w:rsid w:val="000D2BE7"/>
    <w:rsid w:val="00272C6B"/>
    <w:rsid w:val="005301BD"/>
    <w:rsid w:val="00545930"/>
    <w:rsid w:val="00621B66"/>
    <w:rsid w:val="00EE04A7"/>
    <w:rsid w:val="00F10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453B0"/>
  <w15:chartTrackingRefBased/>
  <w15:docId w15:val="{5D3F87CA-9EBE-4EEC-A5FD-5B4C66DC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2C6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72C6B"/>
    <w:pPr>
      <w:spacing w:line="252" w:lineRule="auto"/>
      <w:ind w:left="720"/>
      <w:contextualSpacing/>
    </w:pPr>
    <w:rPr>
      <w:rFonts w:ascii="Calibri" w:hAnsi="Calibri" w:cs="Calibri"/>
    </w:rPr>
  </w:style>
  <w:style w:type="table" w:styleId="TableGrid">
    <w:name w:val="Table Grid"/>
    <w:basedOn w:val="TableNormal"/>
    <w:uiPriority w:val="39"/>
    <w:rsid w:val="00545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54593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621B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24502">
      <w:bodyDiv w:val="1"/>
      <w:marLeft w:val="0"/>
      <w:marRight w:val="0"/>
      <w:marTop w:val="0"/>
      <w:marBottom w:val="0"/>
      <w:divBdr>
        <w:top w:val="none" w:sz="0" w:space="0" w:color="auto"/>
        <w:left w:val="none" w:sz="0" w:space="0" w:color="auto"/>
        <w:bottom w:val="none" w:sz="0" w:space="0" w:color="auto"/>
        <w:right w:val="none" w:sz="0" w:space="0" w:color="auto"/>
      </w:divBdr>
    </w:div>
    <w:div w:id="138328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s.carroll@goostrey.cheshire.sch.uk" TargetMode="External"/><Relationship Id="rId3" Type="http://schemas.openxmlformats.org/officeDocument/2006/relationships/settings" Target="settings.xml"/><Relationship Id="rId7" Type="http://schemas.openxmlformats.org/officeDocument/2006/relationships/hyperlink" Target="mailto:admin@goostrey.cheshire.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coronavirus-covid-19-maintaining-educational-provision?utm_source=4%20January%202021%20C19&amp;utm_medium=Daily%20Email%20C19&amp;utm_campaign=DfE%20C19"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162B09FA</Template>
  <TotalTime>50</TotalTime>
  <Pages>3</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jschurer-lewis@goostrey.cheshire.sch.uk</dc:creator>
  <cp:keywords/>
  <dc:description/>
  <cp:lastModifiedBy>jschurer-lewis@goostrey.cheshire.sch.uk</cp:lastModifiedBy>
  <cp:revision>2</cp:revision>
  <dcterms:created xsi:type="dcterms:W3CDTF">2021-01-05T09:27:00Z</dcterms:created>
  <dcterms:modified xsi:type="dcterms:W3CDTF">2021-01-05T10:17:00Z</dcterms:modified>
</cp:coreProperties>
</file>