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0248DA" w:rsidTr="000248DA">
        <w:tc>
          <w:tcPr>
            <w:tcW w:w="3077" w:type="dxa"/>
          </w:tcPr>
          <w:p w:rsidR="000248DA" w:rsidRDefault="0061187C" w:rsidP="0061187C">
            <w:pPr>
              <w:jc w:val="center"/>
            </w:pPr>
            <w:r>
              <w:t>Monday 15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  <w:tc>
          <w:tcPr>
            <w:tcW w:w="3077" w:type="dxa"/>
          </w:tcPr>
          <w:p w:rsidR="000248DA" w:rsidRDefault="0061187C" w:rsidP="0061187C">
            <w:pPr>
              <w:jc w:val="center"/>
            </w:pPr>
            <w:r>
              <w:t>Tuesday 16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  <w:tc>
          <w:tcPr>
            <w:tcW w:w="3078" w:type="dxa"/>
          </w:tcPr>
          <w:p w:rsidR="000248DA" w:rsidRDefault="0061187C" w:rsidP="0061187C">
            <w:pPr>
              <w:jc w:val="center"/>
            </w:pPr>
            <w:r>
              <w:t>Wednesday 17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  <w:tc>
          <w:tcPr>
            <w:tcW w:w="3078" w:type="dxa"/>
          </w:tcPr>
          <w:p w:rsidR="000248DA" w:rsidRDefault="0061187C" w:rsidP="0061187C">
            <w:pPr>
              <w:jc w:val="center"/>
            </w:pPr>
            <w:r>
              <w:t>Thursday 18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  <w:tc>
          <w:tcPr>
            <w:tcW w:w="3078" w:type="dxa"/>
          </w:tcPr>
          <w:p w:rsidR="000248DA" w:rsidRDefault="0061187C" w:rsidP="0061187C">
            <w:pPr>
              <w:jc w:val="center"/>
            </w:pPr>
            <w:r>
              <w:t>Friday 19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1D006E">
            <w:pPr>
              <w:jc w:val="center"/>
            </w:pPr>
            <w:r>
              <w:t>Literacy</w:t>
            </w:r>
            <w:r w:rsidR="00671FC5">
              <w:t xml:space="preserve">: a) sentence activity counts. </w:t>
            </w:r>
            <w:r w:rsidR="001D006E">
              <w:t>Fronted adverbial activity</w:t>
            </w:r>
            <w:r w:rsidR="00671FC5">
              <w:t>.</w:t>
            </w: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1D006E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3A4524">
              <w:t xml:space="preserve">a) sentence activity counts. </w:t>
            </w:r>
            <w:r w:rsidR="001D006E">
              <w:t>Preposition</w:t>
            </w:r>
            <w:r w:rsidR="00671FC5">
              <w:t xml:space="preserve"> activity.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3A4524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3A4524">
              <w:t>b) reading activity counts. Reading questions.</w:t>
            </w:r>
          </w:p>
          <w:p w:rsidR="003A4524" w:rsidRDefault="003A4524" w:rsidP="003A4524">
            <w:pPr>
              <w:jc w:val="center"/>
            </w:pPr>
            <w:r>
              <w:t xml:space="preserve">Book review activity. 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3A4524">
            <w:pPr>
              <w:jc w:val="center"/>
            </w:pPr>
            <w:r>
              <w:t>Literacy</w:t>
            </w:r>
            <w:r w:rsidR="00F31183">
              <w:t>:</w:t>
            </w:r>
            <w:r w:rsidR="00671FC5">
              <w:t xml:space="preserve"> </w:t>
            </w:r>
            <w:r w:rsidR="003A4524">
              <w:t>c) writing activity counts. Postcard activity.</w:t>
            </w:r>
            <w:r w:rsidR="00671FC5">
              <w:t xml:space="preserve"> 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3A4524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3A4524">
              <w:t xml:space="preserve">d) spelling activity counts. Look, cover, say, write, check activity. </w:t>
            </w:r>
            <w:r w:rsidR="00671FC5">
              <w:t xml:space="preserve"> 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70440B" w:rsidRDefault="00F31183" w:rsidP="0070440B">
            <w:pPr>
              <w:jc w:val="center"/>
            </w:pPr>
            <w:r>
              <w:t>Maths:</w:t>
            </w:r>
            <w:r w:rsidR="0087338E">
              <w:t xml:space="preserve"> </w:t>
            </w:r>
            <w:r w:rsidR="0070440B">
              <w:t>My Maths Session 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70440B" w:rsidRDefault="00F31183" w:rsidP="0070440B">
            <w:pPr>
              <w:jc w:val="center"/>
            </w:pPr>
            <w:r w:rsidRPr="00D71B2D">
              <w:t>Maths:</w:t>
            </w:r>
            <w:r w:rsidR="0087338E">
              <w:t xml:space="preserve"> </w:t>
            </w:r>
            <w:r w:rsidR="0070440B">
              <w:t>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70440B" w:rsidRDefault="00F31183" w:rsidP="0070440B">
            <w:pPr>
              <w:jc w:val="center"/>
            </w:pPr>
            <w:r w:rsidRPr="00D71B2D">
              <w:t>Maths:</w:t>
            </w:r>
            <w:r w:rsidR="0087338E">
              <w:t xml:space="preserve"> </w:t>
            </w:r>
            <w:r w:rsidR="0070440B">
              <w:t>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70440B" w:rsidRDefault="00F31183" w:rsidP="0070440B">
            <w:pPr>
              <w:jc w:val="center"/>
            </w:pPr>
            <w:r w:rsidRPr="00D71B2D">
              <w:t>Maths:</w:t>
            </w:r>
            <w:r w:rsidR="0087338E">
              <w:t xml:space="preserve"> </w:t>
            </w:r>
            <w:r w:rsidR="0070440B">
              <w:t>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F31183" w:rsidRDefault="00F31183" w:rsidP="0070440B">
            <w:pPr>
              <w:jc w:val="center"/>
            </w:pPr>
            <w:r w:rsidRPr="00D71B2D">
              <w:t>Maths:</w:t>
            </w:r>
            <w:r w:rsidR="0087338E">
              <w:t xml:space="preserve"> </w:t>
            </w:r>
            <w:r w:rsidR="0070440B">
              <w:t>My Maths Session 5</w:t>
            </w:r>
            <w:bookmarkStart w:id="0" w:name="_GoBack"/>
            <w:bookmarkEnd w:id="0"/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4866EE" w:rsidRDefault="004866EE" w:rsidP="004866EE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4866EE" w:rsidRDefault="004866EE" w:rsidP="004866EE">
            <w:pPr>
              <w:jc w:val="center"/>
            </w:pPr>
          </w:p>
          <w:p w:rsidR="00854072" w:rsidRDefault="004866EE" w:rsidP="004866EE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4866EE" w:rsidRDefault="004866EE" w:rsidP="004866EE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4866EE" w:rsidRDefault="004866EE" w:rsidP="004866EE">
            <w:pPr>
              <w:jc w:val="center"/>
            </w:pPr>
          </w:p>
          <w:p w:rsidR="00854072" w:rsidRDefault="004866EE" w:rsidP="004866EE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4866EE" w:rsidRDefault="004866EE" w:rsidP="004866EE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4866EE" w:rsidRDefault="004866EE" w:rsidP="004866EE">
            <w:pPr>
              <w:jc w:val="center"/>
            </w:pPr>
          </w:p>
          <w:p w:rsidR="00854072" w:rsidRDefault="004866EE" w:rsidP="004866EE">
            <w:pPr>
              <w:jc w:val="center"/>
            </w:pPr>
            <w:r>
              <w:t>Read a book for pleasure</w:t>
            </w:r>
          </w:p>
        </w:tc>
      </w:tr>
      <w:tr w:rsidR="000248DA" w:rsidTr="00854072">
        <w:tc>
          <w:tcPr>
            <w:tcW w:w="3077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>Challenge: STEM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>Challenge: Notes on Nature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546" w:rsidRDefault="00671FC5" w:rsidP="00542546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1D006E">
      <w:rPr>
        <w:sz w:val="28"/>
        <w:szCs w:val="28"/>
      </w:rPr>
      <w:t>4</w:t>
    </w:r>
    <w:r w:rsidRPr="00F31183">
      <w:rPr>
        <w:sz w:val="28"/>
        <w:szCs w:val="28"/>
      </w:rPr>
      <w:t>. Week beginning 15</w:t>
    </w:r>
    <w:r w:rsidRPr="00F31183">
      <w:rPr>
        <w:sz w:val="28"/>
        <w:szCs w:val="28"/>
        <w:vertAlign w:val="superscript"/>
      </w:rPr>
      <w:t>th</w:t>
    </w:r>
    <w:r w:rsidRPr="00F31183">
      <w:rPr>
        <w:sz w:val="28"/>
        <w:szCs w:val="28"/>
      </w:rPr>
      <w:t xml:space="preserve"> June.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‘Year 3/4 Resources’</w:t>
    </w:r>
    <w:r w:rsidR="00F31183" w:rsidRPr="00F31183">
      <w:rPr>
        <w:sz w:val="28"/>
        <w:szCs w:val="28"/>
      </w:rPr>
      <w:t xml:space="preserve"> page.</w:t>
    </w:r>
    <w:r w:rsidR="00542546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1B1F17"/>
    <w:rsid w:val="001D006E"/>
    <w:rsid w:val="00277CA3"/>
    <w:rsid w:val="00283275"/>
    <w:rsid w:val="002C239E"/>
    <w:rsid w:val="00311815"/>
    <w:rsid w:val="003A4524"/>
    <w:rsid w:val="00464C2B"/>
    <w:rsid w:val="004866EE"/>
    <w:rsid w:val="00542546"/>
    <w:rsid w:val="0061187C"/>
    <w:rsid w:val="00671FC5"/>
    <w:rsid w:val="0070440B"/>
    <w:rsid w:val="00854072"/>
    <w:rsid w:val="008578FC"/>
    <w:rsid w:val="0087338E"/>
    <w:rsid w:val="00A72CF2"/>
    <w:rsid w:val="00B84D32"/>
    <w:rsid w:val="00E0280F"/>
    <w:rsid w:val="00F3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799998A0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2</cp:revision>
  <dcterms:created xsi:type="dcterms:W3CDTF">2020-06-11T12:31:00Z</dcterms:created>
  <dcterms:modified xsi:type="dcterms:W3CDTF">2020-06-11T12:31:00Z</dcterms:modified>
</cp:coreProperties>
</file>