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0AE1" w:rsidRDefault="000C0AE1">
      <w:r>
        <w:rPr>
          <w:noProof/>
        </w:rPr>
        <w:drawing>
          <wp:anchor distT="0" distB="0" distL="114300" distR="114300" simplePos="0" relativeHeight="251660288" behindDoc="1" locked="0" layoutInCell="1" allowOverlap="1" wp14:anchorId="6639C152" wp14:editId="50BA5E73">
            <wp:simplePos x="0" y="0"/>
            <wp:positionH relativeFrom="column">
              <wp:posOffset>4040669</wp:posOffset>
            </wp:positionH>
            <wp:positionV relativeFrom="paragraph">
              <wp:posOffset>0</wp:posOffset>
            </wp:positionV>
            <wp:extent cx="648335" cy="668655"/>
            <wp:effectExtent l="0" t="0" r="0" b="4445"/>
            <wp:wrapTight wrapText="bothSides">
              <wp:wrapPolygon edited="0">
                <wp:start x="0" y="0"/>
                <wp:lineTo x="0" y="21333"/>
                <wp:lineTo x="21156" y="21333"/>
                <wp:lineTo x="21156" y="0"/>
                <wp:lineTo x="0" y="0"/>
              </wp:wrapPolygon>
            </wp:wrapTight>
            <wp:docPr id="386803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0360" name="Picture 1935690360"/>
                    <pic:cNvPicPr/>
                  </pic:nvPicPr>
                  <pic:blipFill rotWithShape="1">
                    <a:blip r:embed="rId7">
                      <a:extLst>
                        <a:ext uri="{28A0092B-C50C-407E-A947-70E740481C1C}">
                          <a14:useLocalDpi xmlns:a14="http://schemas.microsoft.com/office/drawing/2010/main" val="0"/>
                        </a:ext>
                      </a:extLst>
                    </a:blip>
                    <a:srcRect l="16511" t="17145" r="35452" b="16000"/>
                    <a:stretch/>
                  </pic:blipFill>
                  <pic:spPr bwMode="auto">
                    <a:xfrm>
                      <a:off x="0" y="0"/>
                      <a:ext cx="648335"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C0AE1" w:rsidRDefault="000C0AE1"/>
    <w:p w:rsidR="000C0AE1" w:rsidRDefault="000C0AE1"/>
    <w:p w:rsidR="000C0AE1" w:rsidRDefault="000C0AE1"/>
    <w:p w:rsidR="000C0AE1" w:rsidRDefault="000C0AE1" w:rsidP="000C0AE1">
      <w:pPr>
        <w:jc w:val="center"/>
        <w:rPr>
          <w:b/>
          <w:bCs/>
          <w:u w:val="single"/>
        </w:rPr>
      </w:pPr>
      <w:r w:rsidRPr="00C91AE1">
        <w:rPr>
          <w:b/>
          <w:bCs/>
          <w:u w:val="single"/>
        </w:rPr>
        <w:t xml:space="preserve">Prevent </w:t>
      </w:r>
      <w:r>
        <w:rPr>
          <w:b/>
          <w:bCs/>
          <w:u w:val="single"/>
        </w:rPr>
        <w:t>Statement</w:t>
      </w:r>
    </w:p>
    <w:p w:rsidR="000C0AE1" w:rsidRDefault="000C0AE1" w:rsidP="000C0AE1">
      <w:pPr>
        <w:jc w:val="center"/>
        <w:rPr>
          <w:b/>
          <w:bCs/>
          <w:u w:val="single"/>
        </w:rPr>
      </w:pPr>
      <w:r>
        <w:rPr>
          <w:b/>
          <w:bCs/>
          <w:u w:val="single"/>
        </w:rPr>
        <w:t>Flixton Primary School</w:t>
      </w:r>
    </w:p>
    <w:p w:rsidR="000C0AE1" w:rsidRDefault="000C0AE1"/>
    <w:p w:rsidR="000C0AE1" w:rsidRDefault="000C0AE1">
      <w:r w:rsidRPr="000C0AE1">
        <w:rPr>
          <w:b/>
          <w:bCs/>
          <w:u w:val="single"/>
        </w:rPr>
        <w:t>Prevent Duty</w:t>
      </w:r>
    </w:p>
    <w:p w:rsidR="000C0AE1" w:rsidRDefault="000C0AE1">
      <w:r w:rsidRPr="000C0AE1">
        <w:rPr>
          <w:b/>
          <w:bCs/>
        </w:rPr>
        <w:t>Preven</w:t>
      </w:r>
      <w:r w:rsidRPr="000C0AE1">
        <w:rPr>
          <w:b/>
          <w:bCs/>
        </w:rPr>
        <w:t>ti</w:t>
      </w:r>
      <w:r w:rsidRPr="000C0AE1">
        <w:rPr>
          <w:b/>
          <w:bCs/>
        </w:rPr>
        <w:t>ng Radicalisa</w:t>
      </w:r>
      <w:r w:rsidRPr="000C0AE1">
        <w:rPr>
          <w:b/>
          <w:bCs/>
        </w:rPr>
        <w:t>ti</w:t>
      </w:r>
      <w:r w:rsidRPr="000C0AE1">
        <w:rPr>
          <w:b/>
          <w:bCs/>
        </w:rPr>
        <w:t>on in school</w:t>
      </w:r>
      <w:r>
        <w:t xml:space="preserve"> </w:t>
      </w:r>
      <w:r>
        <w:br/>
      </w:r>
      <w:r>
        <w:t>Building resilience in our young people and the promo</w:t>
      </w:r>
      <w:r>
        <w:t>ti</w:t>
      </w:r>
      <w:r>
        <w:t>on of fundamental Bri</w:t>
      </w:r>
      <w:r>
        <w:t>ti</w:t>
      </w:r>
      <w:r>
        <w:t>sh values is at the heart of preven</w:t>
      </w:r>
      <w:r>
        <w:t>ti</w:t>
      </w:r>
      <w:r>
        <w:t>ng radicalisa</w:t>
      </w:r>
      <w:r>
        <w:t>ti</w:t>
      </w:r>
      <w:r>
        <w:t>on. We do this by providing a safe place in which children can discuss issues, and we aim to give them the knowledge and co</w:t>
      </w:r>
      <w:r>
        <w:t>nfi</w:t>
      </w:r>
      <w:r>
        <w:t xml:space="preserve">dence to challenge extremist beliefs and ideologies. </w:t>
      </w:r>
    </w:p>
    <w:p w:rsidR="000C0AE1" w:rsidRDefault="000C0AE1"/>
    <w:p w:rsidR="000C0AE1" w:rsidRDefault="000C0AE1">
      <w:r>
        <w:t>Our new prevent duty, is carried out under the Counter-Terrorism and Security Act 2015, which legally requires us to take steps to prevent pupils from being drawn into terrorism. We take this duty seriously and carry out the four main ac</w:t>
      </w:r>
      <w:r>
        <w:t>ti</w:t>
      </w:r>
      <w:r>
        <w:t>ons responsibly, namely: risk assessment, working in partnership, sta</w:t>
      </w:r>
      <w:r>
        <w:t xml:space="preserve">ff </w:t>
      </w:r>
      <w:r>
        <w:t>training and IT policies. If we assess a child as at risk, we will refer to the Channel Programme, which focuses on providing support at an early stage to people who are iden</w:t>
      </w:r>
      <w:r w:rsidR="00B11F76">
        <w:t>tifie</w:t>
      </w:r>
      <w:r>
        <w:t xml:space="preserve">d as being vulnerable to being drawn into terrorism. </w:t>
      </w:r>
    </w:p>
    <w:p w:rsidR="000C0AE1" w:rsidRDefault="000C0AE1"/>
    <w:p w:rsidR="000C7589" w:rsidRDefault="000C0AE1">
      <w:r>
        <w:t xml:space="preserve">We recognise that we play a vital role in keeping children safe from harm, including from the risks of extremism and </w:t>
      </w:r>
      <w:r w:rsidR="00B11F76">
        <w:t>radicalisation</w:t>
      </w:r>
      <w:r>
        <w:t>, and in promo</w:t>
      </w:r>
      <w:r w:rsidR="00B11F76">
        <w:t>ti</w:t>
      </w:r>
      <w:r>
        <w:t xml:space="preserve">ng the welfare of children in our care. </w:t>
      </w:r>
    </w:p>
    <w:p w:rsidR="000C7589" w:rsidRDefault="000C7589"/>
    <w:p w:rsidR="000C0AE1" w:rsidRPr="000C7589" w:rsidRDefault="000C0AE1">
      <w:pPr>
        <w:rPr>
          <w:b/>
          <w:bCs/>
        </w:rPr>
      </w:pPr>
      <w:r w:rsidRPr="000C7589">
        <w:rPr>
          <w:b/>
          <w:bCs/>
        </w:rPr>
        <w:t>What we do if there is a concern</w:t>
      </w:r>
      <w:r w:rsidR="000C7589">
        <w:rPr>
          <w:b/>
          <w:bCs/>
        </w:rPr>
        <w:br/>
      </w:r>
      <w:r>
        <w:t>If we have a concern about a par</w:t>
      </w:r>
      <w:r w:rsidR="00B11F76">
        <w:t>ti</w:t>
      </w:r>
      <w:r>
        <w:t xml:space="preserve">cular pupil we will follow the school’s normal safeguarding procedures, including discussing with the school’s designated safeguarding lead, and </w:t>
      </w:r>
      <w:proofErr w:type="gramStart"/>
      <w:r>
        <w:t>where</w:t>
      </w:r>
      <w:proofErr w:type="gramEnd"/>
      <w:r>
        <w:t xml:space="preserve"> deemed necessary, with children’s social care. </w:t>
      </w:r>
      <w:r w:rsidR="00970927">
        <w:br/>
      </w:r>
      <w:r w:rsidR="00970927">
        <w:br/>
      </w:r>
      <w:r>
        <w:t>We may also contact the local police force or dial 101 (the non-emergency number). They can talk to us in con</w:t>
      </w:r>
      <w:r w:rsidR="00B11F76">
        <w:t>fi</w:t>
      </w:r>
      <w:r>
        <w:t>dence about concerns and help us gain access to support and advice. The Department for Educa</w:t>
      </w:r>
      <w:r w:rsidR="00B11F76">
        <w:t>ti</w:t>
      </w:r>
      <w:r>
        <w:t>on has dedicated a telephone helpline (020 7340 7264) to enable sta</w:t>
      </w:r>
      <w:r w:rsidR="00B11F76">
        <w:t>ff</w:t>
      </w:r>
      <w:r>
        <w:t xml:space="preserve"> and governors to raise concerns rela</w:t>
      </w:r>
      <w:r w:rsidR="00B11F76">
        <w:t>ti</w:t>
      </w:r>
      <w:r>
        <w:t xml:space="preserve">ng to extremism directly. Concerns can also be raised by email to </w:t>
      </w:r>
      <w:r w:rsidRPr="00B11F76">
        <w:rPr>
          <w:color w:val="4472C4" w:themeColor="accent1"/>
        </w:rPr>
        <w:t>counter.extremism@educa</w:t>
      </w:r>
      <w:r w:rsidR="00B11F76" w:rsidRPr="00B11F76">
        <w:rPr>
          <w:color w:val="4472C4" w:themeColor="accent1"/>
        </w:rPr>
        <w:t>ti</w:t>
      </w:r>
      <w:r w:rsidRPr="00B11F76">
        <w:rPr>
          <w:color w:val="4472C4" w:themeColor="accent1"/>
        </w:rPr>
        <w:t>on.gsi.gov.uk</w:t>
      </w:r>
      <w:r>
        <w:t>. Please note that the helpline is not intended for use in emergency situa</w:t>
      </w:r>
      <w:r w:rsidR="00B11F76">
        <w:t>ti</w:t>
      </w:r>
      <w:r>
        <w:t xml:space="preserve">ons, such as a child being at immediate risk of harm or a security incident </w:t>
      </w:r>
      <w:proofErr w:type="gramStart"/>
      <w:r>
        <w:t>In</w:t>
      </w:r>
      <w:proofErr w:type="gramEnd"/>
      <w:r>
        <w:t xml:space="preserve"> an emergency situa</w:t>
      </w:r>
      <w:r w:rsidR="00B11F76">
        <w:t>ti</w:t>
      </w:r>
      <w:r>
        <w:t>on we will follow the recommended emergency procedures</w:t>
      </w:r>
    </w:p>
    <w:p w:rsidR="00B11F76" w:rsidRDefault="00B11F76" w:rsidP="00B11F76">
      <w:pPr>
        <w:rPr>
          <w:b/>
          <w:bCs/>
        </w:rPr>
      </w:pPr>
    </w:p>
    <w:p w:rsidR="00C91AE1" w:rsidRDefault="00C91AE1">
      <w:r>
        <w:rPr>
          <w:noProof/>
        </w:rPr>
        <w:drawing>
          <wp:anchor distT="0" distB="0" distL="114300" distR="114300" simplePos="0" relativeHeight="251658240" behindDoc="1" locked="0" layoutInCell="1" allowOverlap="1" wp14:anchorId="7115BE31">
            <wp:simplePos x="0" y="0"/>
            <wp:positionH relativeFrom="column">
              <wp:posOffset>3934460</wp:posOffset>
            </wp:positionH>
            <wp:positionV relativeFrom="paragraph">
              <wp:posOffset>0</wp:posOffset>
            </wp:positionV>
            <wp:extent cx="886460" cy="913765"/>
            <wp:effectExtent l="0" t="0" r="2540" b="635"/>
            <wp:wrapTight wrapText="bothSides">
              <wp:wrapPolygon edited="0">
                <wp:start x="0" y="0"/>
                <wp:lineTo x="0" y="21315"/>
                <wp:lineTo x="21352" y="21315"/>
                <wp:lineTo x="21352" y="0"/>
                <wp:lineTo x="0" y="0"/>
              </wp:wrapPolygon>
            </wp:wrapTight>
            <wp:docPr id="193569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0360" name="Picture 1935690360"/>
                    <pic:cNvPicPr/>
                  </pic:nvPicPr>
                  <pic:blipFill rotWithShape="1">
                    <a:blip r:embed="rId7">
                      <a:extLst>
                        <a:ext uri="{28A0092B-C50C-407E-A947-70E740481C1C}">
                          <a14:useLocalDpi xmlns:a14="http://schemas.microsoft.com/office/drawing/2010/main" val="0"/>
                        </a:ext>
                      </a:extLst>
                    </a:blip>
                    <a:srcRect l="16511" t="17145" r="35452" b="16000"/>
                    <a:stretch/>
                  </pic:blipFill>
                  <pic:spPr bwMode="auto">
                    <a:xfrm>
                      <a:off x="0" y="0"/>
                      <a:ext cx="886460" cy="913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91AE1" w:rsidRDefault="00C91AE1">
      <w:pPr>
        <w:rPr>
          <w:b/>
          <w:bCs/>
          <w:u w:val="single"/>
        </w:rPr>
      </w:pPr>
    </w:p>
    <w:p w:rsidR="00C91AE1" w:rsidRDefault="00C91AE1">
      <w:pPr>
        <w:rPr>
          <w:b/>
          <w:bCs/>
          <w:u w:val="single"/>
        </w:rPr>
      </w:pPr>
    </w:p>
    <w:p w:rsidR="00C91AE1" w:rsidRDefault="00C91AE1">
      <w:pPr>
        <w:rPr>
          <w:b/>
          <w:bCs/>
          <w:u w:val="single"/>
        </w:rPr>
      </w:pPr>
    </w:p>
    <w:p w:rsidR="00C91AE1" w:rsidRDefault="00C91AE1">
      <w:pPr>
        <w:rPr>
          <w:b/>
          <w:bCs/>
          <w:u w:val="single"/>
        </w:rPr>
      </w:pPr>
    </w:p>
    <w:p w:rsidR="00C91AE1" w:rsidRDefault="00C91AE1" w:rsidP="00C91AE1">
      <w:pPr>
        <w:jc w:val="center"/>
        <w:rPr>
          <w:b/>
          <w:bCs/>
          <w:u w:val="single"/>
        </w:rPr>
      </w:pPr>
      <w:r w:rsidRPr="00C91AE1">
        <w:rPr>
          <w:b/>
          <w:bCs/>
          <w:u w:val="single"/>
        </w:rPr>
        <w:t>Prevent Risk Assessment</w:t>
      </w:r>
    </w:p>
    <w:p w:rsidR="00C91AE1" w:rsidRDefault="00C91AE1" w:rsidP="00AB2953">
      <w:pPr>
        <w:jc w:val="center"/>
        <w:rPr>
          <w:b/>
          <w:bCs/>
          <w:u w:val="single"/>
        </w:rPr>
      </w:pPr>
      <w:r>
        <w:rPr>
          <w:b/>
          <w:bCs/>
          <w:u w:val="single"/>
        </w:rPr>
        <w:t>Flixton Primary School</w:t>
      </w:r>
    </w:p>
    <w:p w:rsidR="00C91AE1" w:rsidRPr="00C91AE1" w:rsidRDefault="00C91AE1">
      <w:pPr>
        <w:rPr>
          <w:b/>
          <w:bCs/>
          <w:u w:val="single"/>
        </w:rPr>
      </w:pPr>
    </w:p>
    <w:p w:rsidR="00C56F88" w:rsidRDefault="00C91AE1">
      <w:r w:rsidRPr="00C56F88">
        <w:rPr>
          <w:b/>
          <w:bCs/>
          <w:u w:val="single"/>
        </w:rPr>
        <w:t>Introduc</w:t>
      </w:r>
      <w:r w:rsidR="00C56F88" w:rsidRPr="00C56F88">
        <w:rPr>
          <w:b/>
          <w:bCs/>
          <w:u w:val="single"/>
        </w:rPr>
        <w:t>ti</w:t>
      </w:r>
      <w:r w:rsidRPr="00C56F88">
        <w:rPr>
          <w:b/>
          <w:bCs/>
          <w:u w:val="single"/>
        </w:rPr>
        <w:t>on</w:t>
      </w:r>
      <w:r>
        <w:t xml:space="preserve"> </w:t>
      </w:r>
    </w:p>
    <w:p w:rsidR="00C56F88" w:rsidRDefault="00C56F88"/>
    <w:p w:rsidR="00C56F88" w:rsidRDefault="00C56F88" w:rsidP="00C56F88">
      <w:r>
        <w:t>Flixton Primary School recognises that it has a duty under section 26 of the Counter-Terrorism and Security Act, 2015, in the exercise of its functions, to have due regard to the need to prevent people from being drawn into terrorism.</w:t>
      </w:r>
    </w:p>
    <w:p w:rsidR="00C56F88" w:rsidRDefault="00C56F88">
      <w:r>
        <w:br/>
      </w:r>
      <w:r w:rsidR="00C91AE1">
        <w:t>Everyone who comes into contact with children and their families has a role to play in safeguarding children. Schools have a duty of care to their pupils and staff which includes safeguarding them from the risk of being drawn into terrorism - this includes not just violent extremism but also non-violent extremism, which can create an atmosphere conducive to terrorism and can popularise views which terrorists exploit. Schools should be safe spaces in which children and young people can understand and discuss sensi</w:t>
      </w:r>
      <w:r>
        <w:t>ti</w:t>
      </w:r>
      <w:r w:rsidR="00C91AE1">
        <w:t>ve topics, including terrorism and the extremist ideas that are part of the terrorist ideology and learn how to challenge these ideas. School staff are par</w:t>
      </w:r>
      <w:r>
        <w:t>ti</w:t>
      </w:r>
      <w:r w:rsidR="00C91AE1">
        <w:t>cularly important as they are in a posi</w:t>
      </w:r>
      <w:r>
        <w:t>ti</w:t>
      </w:r>
      <w:r w:rsidR="00C91AE1">
        <w:t>on to iden</w:t>
      </w:r>
      <w:r>
        <w:t>ti</w:t>
      </w:r>
      <w:r w:rsidR="00C91AE1">
        <w:t>fy concerns early and provide help for children, to prevent concerns from escala</w:t>
      </w:r>
      <w:r>
        <w:t>ti</w:t>
      </w:r>
      <w:r w:rsidR="00C91AE1">
        <w:t>ng. Schools and colleges and their staff form part of the wider safeguarding system for children. This system is described in statutory guidance Working Together to Safeguard Children (2018) and Keeping Children Safe in Educa</w:t>
      </w:r>
      <w:r>
        <w:t>tion</w:t>
      </w:r>
      <w:r w:rsidR="00C91AE1">
        <w:t>. Schools and colleges should work with social care, the police, health services and other services to promote the welfare of children and protect them from harm. Radicalisa</w:t>
      </w:r>
      <w:r>
        <w:t>ti</w:t>
      </w:r>
      <w:r w:rsidR="00C91AE1">
        <w:t>on is listed as a specific safeguarding issue within this statutory guidance and is addressed within the Government Prevent Strategy. The Counter-Terrorism and Security Act 2015 places a duty on Schools to ‘have “due regard to the need to prevent people from being drawn into terrorism”. The Prevent Strategy has three main objec</w:t>
      </w:r>
      <w:r>
        <w:t>ti</w:t>
      </w:r>
      <w:r w:rsidR="00C91AE1">
        <w:t xml:space="preserve">ves: </w:t>
      </w:r>
      <w:r>
        <w:br/>
      </w:r>
      <w:r w:rsidR="00C91AE1">
        <w:t xml:space="preserve">• Respond to the ideological challenge of terrorism &amp; the threat we face from those who promote it; </w:t>
      </w:r>
      <w:r>
        <w:br/>
      </w:r>
      <w:r w:rsidR="00C91AE1">
        <w:t xml:space="preserve">• Prevent people from being drawn into terrorism and ensure that they are given appropriate advice and support; </w:t>
      </w:r>
      <w:r>
        <w:br/>
      </w:r>
      <w:r w:rsidR="00C91AE1">
        <w:t>• Work with sectors and ins</w:t>
      </w:r>
      <w:r>
        <w:t>ti</w:t>
      </w:r>
      <w:r w:rsidR="00C91AE1">
        <w:t>tu</w:t>
      </w:r>
      <w:r>
        <w:t>ti</w:t>
      </w:r>
      <w:r w:rsidR="00C91AE1">
        <w:t>ons where there are risks of radicalisa</w:t>
      </w:r>
      <w:r>
        <w:t>ti</w:t>
      </w:r>
      <w:r w:rsidR="00C91AE1">
        <w:t>on which we need to address.</w:t>
      </w:r>
    </w:p>
    <w:p w:rsidR="00C56F88" w:rsidRDefault="00C56F88">
      <w:pPr>
        <w:rPr>
          <w:b/>
          <w:bCs/>
        </w:rPr>
      </w:pPr>
    </w:p>
    <w:p w:rsidR="00913B98" w:rsidRDefault="00913B98"/>
    <w:tbl>
      <w:tblPr>
        <w:tblStyle w:val="TableGrid"/>
        <w:tblW w:w="14879" w:type="dxa"/>
        <w:tblLook w:val="04A0" w:firstRow="1" w:lastRow="0" w:firstColumn="1" w:lastColumn="0" w:noHBand="0" w:noVBand="1"/>
      </w:tblPr>
      <w:tblGrid>
        <w:gridCol w:w="2378"/>
        <w:gridCol w:w="3938"/>
        <w:gridCol w:w="5787"/>
        <w:gridCol w:w="2776"/>
      </w:tblGrid>
      <w:tr w:rsidR="00913B98" w:rsidTr="00913B98">
        <w:tc>
          <w:tcPr>
            <w:tcW w:w="2547" w:type="dxa"/>
          </w:tcPr>
          <w:p w:rsidR="00913B98" w:rsidRPr="00913B98" w:rsidRDefault="00913B98">
            <w:pPr>
              <w:rPr>
                <w:b/>
                <w:bCs/>
              </w:rPr>
            </w:pPr>
            <w:r>
              <w:rPr>
                <w:b/>
                <w:bCs/>
              </w:rPr>
              <w:lastRenderedPageBreak/>
              <w:t>DUTY</w:t>
            </w:r>
          </w:p>
        </w:tc>
        <w:tc>
          <w:tcPr>
            <w:tcW w:w="4427" w:type="dxa"/>
          </w:tcPr>
          <w:p w:rsidR="00913B98" w:rsidRPr="00913B98" w:rsidRDefault="00913B98">
            <w:pPr>
              <w:rPr>
                <w:b/>
                <w:bCs/>
              </w:rPr>
            </w:pPr>
            <w:r>
              <w:rPr>
                <w:b/>
                <w:bCs/>
              </w:rPr>
              <w:t>WHAT THIS MEANS</w:t>
            </w:r>
          </w:p>
        </w:tc>
        <w:tc>
          <w:tcPr>
            <w:tcW w:w="4787" w:type="dxa"/>
          </w:tcPr>
          <w:p w:rsidR="00913B98" w:rsidRPr="00913B98" w:rsidRDefault="00913B98">
            <w:pPr>
              <w:rPr>
                <w:b/>
                <w:bCs/>
              </w:rPr>
            </w:pPr>
            <w:r>
              <w:rPr>
                <w:b/>
                <w:bCs/>
              </w:rPr>
              <w:t>ACTION</w:t>
            </w:r>
          </w:p>
        </w:tc>
        <w:tc>
          <w:tcPr>
            <w:tcW w:w="3118" w:type="dxa"/>
          </w:tcPr>
          <w:p w:rsidR="00913B98" w:rsidRPr="00913B98" w:rsidRDefault="00913B98">
            <w:pPr>
              <w:rPr>
                <w:b/>
                <w:bCs/>
              </w:rPr>
            </w:pPr>
            <w:r>
              <w:rPr>
                <w:b/>
                <w:bCs/>
              </w:rPr>
              <w:t>BY WHOM</w:t>
            </w:r>
          </w:p>
        </w:tc>
      </w:tr>
      <w:tr w:rsidR="00913B98" w:rsidTr="00913B98">
        <w:tc>
          <w:tcPr>
            <w:tcW w:w="14879" w:type="dxa"/>
            <w:gridSpan w:val="4"/>
            <w:shd w:val="clear" w:color="auto" w:fill="D5DCE4" w:themeFill="text2" w:themeFillTint="33"/>
          </w:tcPr>
          <w:p w:rsidR="00913B98" w:rsidRPr="00EB6B3B" w:rsidRDefault="00913B98">
            <w:pPr>
              <w:rPr>
                <w:b/>
                <w:bCs/>
              </w:rPr>
            </w:pPr>
            <w:r w:rsidRPr="00EB6B3B">
              <w:rPr>
                <w:b/>
                <w:bCs/>
              </w:rPr>
              <w:t xml:space="preserve">Risk Assessment </w:t>
            </w:r>
          </w:p>
        </w:tc>
      </w:tr>
      <w:tr w:rsidR="001B0A0A" w:rsidTr="003074B5">
        <w:trPr>
          <w:trHeight w:val="2376"/>
        </w:trPr>
        <w:tc>
          <w:tcPr>
            <w:tcW w:w="2547" w:type="dxa"/>
            <w:vMerge w:val="restart"/>
          </w:tcPr>
          <w:p w:rsidR="001B0A0A" w:rsidRDefault="001B0A0A">
            <w:r>
              <w:t>Assess the risk of children being drawn into terrorism or extremism</w:t>
            </w:r>
          </w:p>
        </w:tc>
        <w:tc>
          <w:tcPr>
            <w:tcW w:w="4427" w:type="dxa"/>
          </w:tcPr>
          <w:p w:rsidR="001B0A0A" w:rsidRDefault="001B0A0A">
            <w:r>
              <w:t>The school has identified a Prevent Lead.</w:t>
            </w:r>
          </w:p>
          <w:p w:rsidR="001B0A0A" w:rsidRDefault="001B0A0A"/>
          <w:p w:rsidR="001B0A0A" w:rsidRDefault="001B0A0A">
            <w:r>
              <w:t>Staff can demonstrate a general understanding of the risks affecting children and young people.</w:t>
            </w:r>
          </w:p>
          <w:p w:rsidR="001B0A0A" w:rsidRDefault="001B0A0A"/>
        </w:tc>
        <w:tc>
          <w:tcPr>
            <w:tcW w:w="4787" w:type="dxa"/>
          </w:tcPr>
          <w:p w:rsidR="001B0A0A" w:rsidRDefault="001B0A0A" w:rsidP="001B0A0A">
            <w:pPr>
              <w:pStyle w:val="ListParagraph"/>
              <w:numPr>
                <w:ilvl w:val="0"/>
                <w:numId w:val="1"/>
              </w:numPr>
            </w:pPr>
            <w:r>
              <w:t>All staff have read at least part one of ‘Keeping Children Safe in Education’.</w:t>
            </w:r>
          </w:p>
          <w:p w:rsidR="001B0A0A" w:rsidRDefault="001B0A0A" w:rsidP="001B0A0A">
            <w:pPr>
              <w:pStyle w:val="ListParagraph"/>
              <w:numPr>
                <w:ilvl w:val="0"/>
                <w:numId w:val="1"/>
              </w:numPr>
            </w:pPr>
            <w:r>
              <w:t xml:space="preserve">The Prevent Lead has informed staff of their </w:t>
            </w:r>
            <w:r w:rsidR="00081555">
              <w:t>duties</w:t>
            </w:r>
            <w:r>
              <w:t xml:space="preserve"> as set out in ‘The Prevent Duty’ (DFE, June, 2023)</w:t>
            </w:r>
          </w:p>
        </w:tc>
        <w:tc>
          <w:tcPr>
            <w:tcW w:w="3118" w:type="dxa"/>
          </w:tcPr>
          <w:p w:rsidR="001B0A0A" w:rsidRPr="00081555" w:rsidRDefault="001B0A0A">
            <w:pPr>
              <w:rPr>
                <w:b/>
                <w:bCs/>
              </w:rPr>
            </w:pPr>
            <w:r w:rsidRPr="00081555">
              <w:rPr>
                <w:b/>
                <w:bCs/>
              </w:rPr>
              <w:t>All staff</w:t>
            </w:r>
          </w:p>
          <w:p w:rsidR="001B0A0A" w:rsidRPr="00081555" w:rsidRDefault="001B0A0A">
            <w:pPr>
              <w:rPr>
                <w:b/>
                <w:bCs/>
              </w:rPr>
            </w:pPr>
          </w:p>
          <w:p w:rsidR="001B0A0A" w:rsidRPr="00081555" w:rsidRDefault="001B0A0A">
            <w:pPr>
              <w:rPr>
                <w:b/>
                <w:bCs/>
              </w:rPr>
            </w:pPr>
            <w:r w:rsidRPr="00081555">
              <w:rPr>
                <w:b/>
                <w:bCs/>
              </w:rPr>
              <w:t>Prevent Lead</w:t>
            </w:r>
          </w:p>
        </w:tc>
      </w:tr>
      <w:tr w:rsidR="00913B98" w:rsidTr="00913B98">
        <w:tc>
          <w:tcPr>
            <w:tcW w:w="2547" w:type="dxa"/>
            <w:vMerge/>
          </w:tcPr>
          <w:p w:rsidR="00913B98" w:rsidRDefault="00913B98"/>
        </w:tc>
        <w:tc>
          <w:tcPr>
            <w:tcW w:w="4427" w:type="dxa"/>
          </w:tcPr>
          <w:p w:rsidR="00913B98" w:rsidRDefault="00913B98">
            <w:r>
              <w:t>Staff can identify individual children who may be at risk of radicalisation and how to support them.</w:t>
            </w:r>
          </w:p>
          <w:p w:rsidR="00913B98" w:rsidRDefault="00913B98"/>
          <w:p w:rsidR="00913B98" w:rsidRDefault="00913B98">
            <w:r>
              <w:t xml:space="preserve">There is a clear procedure in place for protecting children at risk of radicalisation </w:t>
            </w:r>
          </w:p>
        </w:tc>
        <w:tc>
          <w:tcPr>
            <w:tcW w:w="4787" w:type="dxa"/>
          </w:tcPr>
          <w:p w:rsidR="00913B98" w:rsidRDefault="001B0A0A" w:rsidP="001B0A0A">
            <w:pPr>
              <w:pStyle w:val="ListParagraph"/>
              <w:numPr>
                <w:ilvl w:val="0"/>
                <w:numId w:val="2"/>
              </w:numPr>
            </w:pPr>
            <w:r>
              <w:t xml:space="preserve">The Prevent Lead has informed staff about signs and indicators of radicalisation. </w:t>
            </w:r>
          </w:p>
        </w:tc>
        <w:tc>
          <w:tcPr>
            <w:tcW w:w="3118" w:type="dxa"/>
          </w:tcPr>
          <w:p w:rsidR="006C4320" w:rsidRPr="00081555" w:rsidRDefault="001B0A0A">
            <w:pPr>
              <w:rPr>
                <w:b/>
                <w:bCs/>
              </w:rPr>
            </w:pPr>
            <w:r w:rsidRPr="00081555">
              <w:rPr>
                <w:b/>
                <w:bCs/>
              </w:rPr>
              <w:t>Prevent Lead</w:t>
            </w:r>
          </w:p>
        </w:tc>
      </w:tr>
      <w:tr w:rsidR="00913B98" w:rsidTr="00913B98">
        <w:tc>
          <w:tcPr>
            <w:tcW w:w="2547" w:type="dxa"/>
          </w:tcPr>
          <w:p w:rsidR="00913B98" w:rsidRDefault="00913B98"/>
        </w:tc>
        <w:tc>
          <w:tcPr>
            <w:tcW w:w="4427" w:type="dxa"/>
          </w:tcPr>
          <w:p w:rsidR="00913B98" w:rsidRDefault="00081555">
            <w:r>
              <w:t xml:space="preserve">There is a clear procedure in place for protecting children at risk of radicalisation. </w:t>
            </w:r>
            <w:r w:rsidR="00913B98">
              <w:t xml:space="preserve"> </w:t>
            </w:r>
          </w:p>
        </w:tc>
        <w:tc>
          <w:tcPr>
            <w:tcW w:w="4787" w:type="dxa"/>
          </w:tcPr>
          <w:p w:rsidR="006C4320" w:rsidRDefault="00081555" w:rsidP="00081555">
            <w:pPr>
              <w:pStyle w:val="ListParagraph"/>
              <w:numPr>
                <w:ilvl w:val="0"/>
                <w:numId w:val="2"/>
              </w:numPr>
            </w:pPr>
            <w:r>
              <w:t xml:space="preserve">All staff have read the schools safeguarding policy which includes a statement regarding the school’s Prevent Duty </w:t>
            </w:r>
          </w:p>
          <w:p w:rsidR="00081555" w:rsidRDefault="00081555" w:rsidP="00081555">
            <w:pPr>
              <w:pStyle w:val="ListParagraph"/>
              <w:numPr>
                <w:ilvl w:val="0"/>
                <w:numId w:val="2"/>
              </w:numPr>
            </w:pPr>
            <w:r>
              <w:t>All staff understand how to record and report concerns regarding the risk of radicalisation</w:t>
            </w:r>
          </w:p>
        </w:tc>
        <w:tc>
          <w:tcPr>
            <w:tcW w:w="3118" w:type="dxa"/>
          </w:tcPr>
          <w:p w:rsidR="00913B98" w:rsidRPr="00081555" w:rsidRDefault="00081555">
            <w:pPr>
              <w:rPr>
                <w:b/>
                <w:bCs/>
              </w:rPr>
            </w:pPr>
            <w:r w:rsidRPr="00081555">
              <w:rPr>
                <w:b/>
                <w:bCs/>
              </w:rPr>
              <w:t>All staff</w:t>
            </w:r>
          </w:p>
        </w:tc>
      </w:tr>
      <w:tr w:rsidR="00081555" w:rsidTr="00913B98">
        <w:tc>
          <w:tcPr>
            <w:tcW w:w="2547" w:type="dxa"/>
          </w:tcPr>
          <w:p w:rsidR="00081555" w:rsidRDefault="00081555"/>
        </w:tc>
        <w:tc>
          <w:tcPr>
            <w:tcW w:w="4427" w:type="dxa"/>
          </w:tcPr>
          <w:p w:rsidR="00081555" w:rsidRDefault="00081555">
            <w:r>
              <w:t xml:space="preserve">The school has identified a Prevent Lead </w:t>
            </w:r>
          </w:p>
        </w:tc>
        <w:tc>
          <w:tcPr>
            <w:tcW w:w="4787" w:type="dxa"/>
          </w:tcPr>
          <w:p w:rsidR="00081555" w:rsidRDefault="00081555" w:rsidP="00081555">
            <w:pPr>
              <w:pStyle w:val="ListParagraph"/>
              <w:numPr>
                <w:ilvl w:val="0"/>
                <w:numId w:val="2"/>
              </w:numPr>
            </w:pPr>
            <w:r>
              <w:t>All staff know who the Prevent Lead is and that this person acts as a source of advice and support. The Head Teacher, Mr Jason Redmond, is the Prevent Lead</w:t>
            </w:r>
          </w:p>
        </w:tc>
        <w:tc>
          <w:tcPr>
            <w:tcW w:w="3118" w:type="dxa"/>
          </w:tcPr>
          <w:p w:rsidR="00081555" w:rsidRPr="00081555" w:rsidRDefault="00081555">
            <w:pPr>
              <w:rPr>
                <w:b/>
                <w:bCs/>
              </w:rPr>
            </w:pPr>
            <w:r>
              <w:rPr>
                <w:b/>
                <w:bCs/>
              </w:rPr>
              <w:t>All staff</w:t>
            </w:r>
          </w:p>
        </w:tc>
      </w:tr>
      <w:tr w:rsidR="00081555" w:rsidTr="00913B98">
        <w:tc>
          <w:tcPr>
            <w:tcW w:w="2547" w:type="dxa"/>
          </w:tcPr>
          <w:p w:rsidR="00081555" w:rsidRDefault="000B69FD">
            <w:r>
              <w:t xml:space="preserve">Prohibit extremist speakers and events in the school </w:t>
            </w:r>
          </w:p>
        </w:tc>
        <w:tc>
          <w:tcPr>
            <w:tcW w:w="4427" w:type="dxa"/>
          </w:tcPr>
          <w:p w:rsidR="00081555" w:rsidRDefault="000B69FD">
            <w:r>
              <w:t xml:space="preserve">The school exercises due diligence in relation to requests from external speakers and organisations using </w:t>
            </w:r>
            <w:proofErr w:type="gramStart"/>
            <w:r>
              <w:t>schools</w:t>
            </w:r>
            <w:proofErr w:type="gramEnd"/>
            <w:r>
              <w:t xml:space="preserve"> premises </w:t>
            </w:r>
          </w:p>
        </w:tc>
        <w:tc>
          <w:tcPr>
            <w:tcW w:w="4787" w:type="dxa"/>
          </w:tcPr>
          <w:p w:rsidR="00081555" w:rsidRDefault="000B69FD" w:rsidP="000B69FD">
            <w:pPr>
              <w:pStyle w:val="ListParagraph"/>
              <w:numPr>
                <w:ilvl w:val="0"/>
                <w:numId w:val="2"/>
              </w:numPr>
            </w:pPr>
            <w:r>
              <w:t>Request an outline of what the speaker intends to cover.</w:t>
            </w:r>
          </w:p>
          <w:p w:rsidR="000B69FD" w:rsidRDefault="000B69FD" w:rsidP="000B69FD">
            <w:pPr>
              <w:pStyle w:val="ListParagraph"/>
              <w:numPr>
                <w:ilvl w:val="0"/>
                <w:numId w:val="2"/>
              </w:numPr>
            </w:pPr>
            <w:r>
              <w:lastRenderedPageBreak/>
              <w:t>Research the person/organisation to establish whether they have demonstrated extreme views/actions.</w:t>
            </w:r>
          </w:p>
          <w:p w:rsidR="000B69FD" w:rsidRDefault="000B69FD" w:rsidP="000B69FD">
            <w:pPr>
              <w:pStyle w:val="ListParagraph"/>
              <w:numPr>
                <w:ilvl w:val="0"/>
                <w:numId w:val="2"/>
              </w:numPr>
            </w:pPr>
            <w:r>
              <w:t>Deny permission for people/organisations to use school premises if they have links to extreme groups or movements.</w:t>
            </w:r>
          </w:p>
          <w:p w:rsidR="000B69FD" w:rsidRDefault="000B69FD" w:rsidP="000B69FD">
            <w:pPr>
              <w:pStyle w:val="ListParagraph"/>
              <w:numPr>
                <w:ilvl w:val="0"/>
                <w:numId w:val="2"/>
              </w:numPr>
            </w:pPr>
            <w:r>
              <w:t xml:space="preserve">Provide justification for their decision in writing. </w:t>
            </w:r>
          </w:p>
        </w:tc>
        <w:tc>
          <w:tcPr>
            <w:tcW w:w="3118" w:type="dxa"/>
          </w:tcPr>
          <w:p w:rsidR="00081555" w:rsidRPr="000B69FD" w:rsidRDefault="000B69FD">
            <w:pPr>
              <w:rPr>
                <w:b/>
                <w:bCs/>
              </w:rPr>
            </w:pPr>
            <w:r>
              <w:rPr>
                <w:b/>
                <w:bCs/>
              </w:rPr>
              <w:lastRenderedPageBreak/>
              <w:t>Prevent Lead</w:t>
            </w:r>
          </w:p>
        </w:tc>
      </w:tr>
      <w:tr w:rsidR="006C4320" w:rsidTr="00662F1F">
        <w:tc>
          <w:tcPr>
            <w:tcW w:w="14879" w:type="dxa"/>
            <w:gridSpan w:val="4"/>
            <w:shd w:val="clear" w:color="auto" w:fill="D5DCE4" w:themeFill="text2" w:themeFillTint="33"/>
          </w:tcPr>
          <w:p w:rsidR="006C4320" w:rsidRPr="00EB6B3B" w:rsidRDefault="006C4320">
            <w:pPr>
              <w:rPr>
                <w:b/>
                <w:bCs/>
              </w:rPr>
            </w:pPr>
            <w:r w:rsidRPr="00EB6B3B">
              <w:rPr>
                <w:b/>
                <w:bCs/>
              </w:rPr>
              <w:t xml:space="preserve">Working in Partnership </w:t>
            </w:r>
          </w:p>
        </w:tc>
      </w:tr>
      <w:tr w:rsidR="00913B98" w:rsidTr="00913B98">
        <w:tc>
          <w:tcPr>
            <w:tcW w:w="2547" w:type="dxa"/>
          </w:tcPr>
          <w:p w:rsidR="00913B98" w:rsidRDefault="006C4320">
            <w:r>
              <w:t xml:space="preserve">The school is using existing </w:t>
            </w:r>
            <w:r w:rsidR="00EB6B3B">
              <w:t xml:space="preserve">local partnership arrangements in exercising its Prevent Duty </w:t>
            </w:r>
          </w:p>
        </w:tc>
        <w:tc>
          <w:tcPr>
            <w:tcW w:w="4427" w:type="dxa"/>
          </w:tcPr>
          <w:p w:rsidR="00913B98" w:rsidRDefault="00EB6B3B">
            <w:r>
              <w:t xml:space="preserve">Staff record and report concerns in line with existing policies and procedures. </w:t>
            </w:r>
          </w:p>
        </w:tc>
        <w:tc>
          <w:tcPr>
            <w:tcW w:w="4787" w:type="dxa"/>
          </w:tcPr>
          <w:p w:rsidR="00913B98" w:rsidRDefault="00EB6B3B" w:rsidP="00EB6B3B">
            <w:pPr>
              <w:pStyle w:val="ListParagraph"/>
              <w:numPr>
                <w:ilvl w:val="0"/>
                <w:numId w:val="4"/>
              </w:numPr>
            </w:pPr>
            <w:r>
              <w:t>All staff record and report concerns on the using Record of Concerns Form/Safeguarding Concerns/on CPOMS.</w:t>
            </w:r>
          </w:p>
        </w:tc>
        <w:tc>
          <w:tcPr>
            <w:tcW w:w="3118" w:type="dxa"/>
          </w:tcPr>
          <w:p w:rsidR="00913B98" w:rsidRPr="00EB6B3B" w:rsidRDefault="00EB6B3B">
            <w:pPr>
              <w:rPr>
                <w:b/>
                <w:bCs/>
              </w:rPr>
            </w:pPr>
            <w:r>
              <w:rPr>
                <w:b/>
                <w:bCs/>
              </w:rPr>
              <w:t>All staff</w:t>
            </w:r>
          </w:p>
        </w:tc>
      </w:tr>
      <w:tr w:rsidR="00913B98" w:rsidTr="00913B98">
        <w:tc>
          <w:tcPr>
            <w:tcW w:w="2547" w:type="dxa"/>
          </w:tcPr>
          <w:p w:rsidR="00913B98" w:rsidRDefault="00913B98"/>
        </w:tc>
        <w:tc>
          <w:tcPr>
            <w:tcW w:w="4427" w:type="dxa"/>
          </w:tcPr>
          <w:p w:rsidR="00913B98" w:rsidRDefault="00EB6B3B">
            <w:r>
              <w:t xml:space="preserve">The Prevent Lead makes appropriate referral to other agencies including the Multi-Agency Safeguarding Hub (MASH), The Police, and Channel and Prevent Multi-Agency Panel. </w:t>
            </w:r>
          </w:p>
        </w:tc>
        <w:tc>
          <w:tcPr>
            <w:tcW w:w="4787" w:type="dxa"/>
          </w:tcPr>
          <w:p w:rsidR="00913B98" w:rsidRDefault="00EB6B3B" w:rsidP="00EB6B3B">
            <w:pPr>
              <w:pStyle w:val="ListParagraph"/>
              <w:numPr>
                <w:ilvl w:val="0"/>
                <w:numId w:val="4"/>
              </w:numPr>
            </w:pPr>
            <w:r>
              <w:t>Records of concern are logged on CPOMS.</w:t>
            </w:r>
          </w:p>
          <w:p w:rsidR="00EB6B3B" w:rsidRDefault="00EB6B3B" w:rsidP="00EB6B3B">
            <w:pPr>
              <w:pStyle w:val="ListParagraph"/>
              <w:numPr>
                <w:ilvl w:val="0"/>
                <w:numId w:val="4"/>
              </w:numPr>
            </w:pPr>
            <w:r>
              <w:t xml:space="preserve">Referrals are made and followed up as appropriate. </w:t>
            </w:r>
          </w:p>
        </w:tc>
        <w:tc>
          <w:tcPr>
            <w:tcW w:w="3118" w:type="dxa"/>
          </w:tcPr>
          <w:p w:rsidR="00913B98" w:rsidRPr="00EB6B3B" w:rsidRDefault="00EB6B3B">
            <w:pPr>
              <w:rPr>
                <w:b/>
                <w:bCs/>
              </w:rPr>
            </w:pPr>
            <w:r>
              <w:rPr>
                <w:b/>
                <w:bCs/>
              </w:rPr>
              <w:t>All staff</w:t>
            </w:r>
          </w:p>
        </w:tc>
      </w:tr>
      <w:tr w:rsidR="00EB6B3B" w:rsidTr="00EB6B3B">
        <w:tc>
          <w:tcPr>
            <w:tcW w:w="14879" w:type="dxa"/>
            <w:gridSpan w:val="4"/>
            <w:shd w:val="clear" w:color="auto" w:fill="D5DCE4" w:themeFill="text2" w:themeFillTint="33"/>
          </w:tcPr>
          <w:p w:rsidR="00EB6B3B" w:rsidRPr="00EB6B3B" w:rsidRDefault="00EB6B3B">
            <w:pPr>
              <w:rPr>
                <w:b/>
                <w:bCs/>
              </w:rPr>
            </w:pPr>
            <w:r>
              <w:rPr>
                <w:b/>
                <w:bCs/>
              </w:rPr>
              <w:t xml:space="preserve">Staff Training </w:t>
            </w:r>
          </w:p>
        </w:tc>
      </w:tr>
      <w:tr w:rsidR="00EB6B3B" w:rsidTr="00913B98">
        <w:tc>
          <w:tcPr>
            <w:tcW w:w="2547" w:type="dxa"/>
          </w:tcPr>
          <w:p w:rsidR="00EB6B3B" w:rsidRDefault="00EB6B3B">
            <w:r>
              <w:t xml:space="preserve">Equip staff to identify children at risk of being drawn into terrorism and to challenge extremist ideas. </w:t>
            </w:r>
          </w:p>
        </w:tc>
        <w:tc>
          <w:tcPr>
            <w:tcW w:w="4427" w:type="dxa"/>
          </w:tcPr>
          <w:p w:rsidR="00EB6B3B" w:rsidRDefault="00EB6B3B">
            <w:r>
              <w:t xml:space="preserve">Assess the training needs of staff in light of the school’s assessment of the risk to pupils at the school of being drawn into terrorism. </w:t>
            </w:r>
          </w:p>
        </w:tc>
        <w:tc>
          <w:tcPr>
            <w:tcW w:w="4787" w:type="dxa"/>
          </w:tcPr>
          <w:p w:rsidR="00EB6B3B" w:rsidRDefault="00EB6B3B" w:rsidP="00EB6B3B">
            <w:r>
              <w:rPr>
                <w:b/>
                <w:bCs/>
              </w:rPr>
              <w:t>We</w:t>
            </w:r>
          </w:p>
          <w:p w:rsidR="00EB6B3B" w:rsidRDefault="00EB6B3B" w:rsidP="00EB6B3B">
            <w:pPr>
              <w:pStyle w:val="ListParagraph"/>
              <w:numPr>
                <w:ilvl w:val="0"/>
                <w:numId w:val="5"/>
              </w:numPr>
            </w:pPr>
            <w:r>
              <w:t>Ensure the Designated Safeguarding Lead/s undertakes Prevent Awareness Training.</w:t>
            </w:r>
          </w:p>
          <w:p w:rsidR="00EB6B3B" w:rsidRDefault="00EB6B3B" w:rsidP="00EB6B3B">
            <w:pPr>
              <w:pStyle w:val="ListParagraph"/>
              <w:numPr>
                <w:ilvl w:val="0"/>
                <w:numId w:val="5"/>
              </w:numPr>
            </w:pPr>
            <w:r>
              <w:t xml:space="preserve">Ensure that the Designated Safeguarding Lead is able to provide advice and support to other members of staff on protecting children from the risk of radicalisation. </w:t>
            </w:r>
          </w:p>
          <w:p w:rsidR="00EB6B3B" w:rsidRPr="00EB6B3B" w:rsidRDefault="00EB6B3B" w:rsidP="00EB6B3B">
            <w:pPr>
              <w:pStyle w:val="ListParagraph"/>
              <w:numPr>
                <w:ilvl w:val="0"/>
                <w:numId w:val="5"/>
              </w:numPr>
            </w:pPr>
            <w:r>
              <w:t xml:space="preserve">All staff have completed the General Awareness Training on Channel </w:t>
            </w:r>
          </w:p>
        </w:tc>
        <w:tc>
          <w:tcPr>
            <w:tcW w:w="3118" w:type="dxa"/>
          </w:tcPr>
          <w:p w:rsidR="00EB6B3B" w:rsidRDefault="00EB6B3B">
            <w:pPr>
              <w:rPr>
                <w:b/>
                <w:bCs/>
              </w:rPr>
            </w:pPr>
            <w:r>
              <w:rPr>
                <w:b/>
                <w:bCs/>
              </w:rPr>
              <w:t>Prevent Lead/DSL</w:t>
            </w:r>
          </w:p>
          <w:p w:rsidR="00EB6B3B" w:rsidRDefault="00EB6B3B">
            <w:pPr>
              <w:rPr>
                <w:b/>
                <w:bCs/>
              </w:rPr>
            </w:pPr>
          </w:p>
          <w:p w:rsidR="00EB6B3B" w:rsidRDefault="00EB6B3B">
            <w:pPr>
              <w:rPr>
                <w:b/>
                <w:bCs/>
              </w:rPr>
            </w:pPr>
          </w:p>
          <w:p w:rsidR="00EB6B3B" w:rsidRDefault="00EB6B3B">
            <w:pPr>
              <w:rPr>
                <w:b/>
                <w:bCs/>
              </w:rPr>
            </w:pPr>
          </w:p>
          <w:p w:rsidR="00EB6B3B" w:rsidRDefault="00EB6B3B">
            <w:pPr>
              <w:rPr>
                <w:b/>
                <w:bCs/>
              </w:rPr>
            </w:pPr>
          </w:p>
          <w:p w:rsidR="00EB6B3B" w:rsidRDefault="00EB6B3B">
            <w:pPr>
              <w:rPr>
                <w:b/>
                <w:bCs/>
              </w:rPr>
            </w:pPr>
          </w:p>
          <w:p w:rsidR="00EB6B3B" w:rsidRDefault="00EB6B3B">
            <w:pPr>
              <w:rPr>
                <w:b/>
                <w:bCs/>
              </w:rPr>
            </w:pPr>
          </w:p>
          <w:p w:rsidR="00EB6B3B" w:rsidRDefault="00EB6B3B">
            <w:pPr>
              <w:rPr>
                <w:b/>
                <w:bCs/>
              </w:rPr>
            </w:pPr>
          </w:p>
          <w:p w:rsidR="00EB6B3B" w:rsidRDefault="00EB6B3B">
            <w:pPr>
              <w:rPr>
                <w:b/>
                <w:bCs/>
              </w:rPr>
            </w:pPr>
          </w:p>
          <w:p w:rsidR="00EB6B3B" w:rsidRPr="00EB6B3B" w:rsidRDefault="00EB6B3B">
            <w:pPr>
              <w:rPr>
                <w:b/>
                <w:bCs/>
              </w:rPr>
            </w:pPr>
            <w:r>
              <w:rPr>
                <w:b/>
                <w:bCs/>
              </w:rPr>
              <w:t>All staff</w:t>
            </w:r>
          </w:p>
        </w:tc>
      </w:tr>
      <w:tr w:rsidR="00EB6B3B" w:rsidTr="00EB6B3B">
        <w:tc>
          <w:tcPr>
            <w:tcW w:w="2547" w:type="dxa"/>
            <w:shd w:val="clear" w:color="auto" w:fill="D5DCE4" w:themeFill="text2" w:themeFillTint="33"/>
          </w:tcPr>
          <w:p w:rsidR="00EB6B3B" w:rsidRPr="00EB6B3B" w:rsidRDefault="00EB6B3B">
            <w:pPr>
              <w:rPr>
                <w:b/>
                <w:bCs/>
              </w:rPr>
            </w:pPr>
            <w:r>
              <w:rPr>
                <w:b/>
                <w:bCs/>
              </w:rPr>
              <w:lastRenderedPageBreak/>
              <w:t xml:space="preserve">IT Policies </w:t>
            </w:r>
          </w:p>
        </w:tc>
        <w:tc>
          <w:tcPr>
            <w:tcW w:w="4427" w:type="dxa"/>
            <w:shd w:val="clear" w:color="auto" w:fill="D5DCE4" w:themeFill="text2" w:themeFillTint="33"/>
          </w:tcPr>
          <w:p w:rsidR="00EB6B3B" w:rsidRPr="00EB6B3B" w:rsidRDefault="00EB6B3B">
            <w:pPr>
              <w:rPr>
                <w:b/>
                <w:bCs/>
              </w:rPr>
            </w:pPr>
            <w:r>
              <w:rPr>
                <w:b/>
                <w:bCs/>
              </w:rPr>
              <w:t xml:space="preserve">What This Means </w:t>
            </w:r>
          </w:p>
        </w:tc>
        <w:tc>
          <w:tcPr>
            <w:tcW w:w="4787" w:type="dxa"/>
            <w:shd w:val="clear" w:color="auto" w:fill="D5DCE4" w:themeFill="text2" w:themeFillTint="33"/>
          </w:tcPr>
          <w:p w:rsidR="00EB6B3B" w:rsidRPr="00EB6B3B" w:rsidRDefault="00EB6B3B" w:rsidP="00EB6B3B">
            <w:pPr>
              <w:rPr>
                <w:b/>
                <w:bCs/>
              </w:rPr>
            </w:pPr>
            <w:r>
              <w:rPr>
                <w:b/>
                <w:bCs/>
              </w:rPr>
              <w:t xml:space="preserve">Action </w:t>
            </w:r>
          </w:p>
        </w:tc>
        <w:tc>
          <w:tcPr>
            <w:tcW w:w="3118" w:type="dxa"/>
            <w:shd w:val="clear" w:color="auto" w:fill="D5DCE4" w:themeFill="text2" w:themeFillTint="33"/>
          </w:tcPr>
          <w:p w:rsidR="00EB6B3B" w:rsidRPr="00EB6B3B" w:rsidRDefault="00EB6B3B">
            <w:pPr>
              <w:rPr>
                <w:b/>
                <w:bCs/>
              </w:rPr>
            </w:pPr>
            <w:r>
              <w:rPr>
                <w:b/>
                <w:bCs/>
              </w:rPr>
              <w:t>By whom</w:t>
            </w:r>
          </w:p>
        </w:tc>
      </w:tr>
      <w:tr w:rsidR="00EB6B3B" w:rsidTr="00EB6B3B">
        <w:tc>
          <w:tcPr>
            <w:tcW w:w="2547" w:type="dxa"/>
            <w:shd w:val="clear" w:color="auto" w:fill="auto"/>
          </w:tcPr>
          <w:p w:rsidR="00EB6B3B" w:rsidRDefault="00EB6B3B">
            <w:r>
              <w:t xml:space="preserve">Ensure that children are safe from terrorist and extremist material when accessing the internet in schools </w:t>
            </w:r>
          </w:p>
        </w:tc>
        <w:tc>
          <w:tcPr>
            <w:tcW w:w="4427" w:type="dxa"/>
            <w:shd w:val="clear" w:color="auto" w:fill="auto"/>
          </w:tcPr>
          <w:p w:rsidR="00EB6B3B" w:rsidRDefault="00EB6B3B">
            <w:r>
              <w:t>The school has policies in place which make reference to the ‘Prevent Duty’.</w:t>
            </w:r>
          </w:p>
        </w:tc>
        <w:tc>
          <w:tcPr>
            <w:tcW w:w="4787" w:type="dxa"/>
            <w:shd w:val="clear" w:color="auto" w:fill="auto"/>
          </w:tcPr>
          <w:p w:rsidR="00EB6B3B" w:rsidRPr="00EB6B3B" w:rsidRDefault="00EB6B3B" w:rsidP="00EB6B3B">
            <w:pPr>
              <w:pStyle w:val="ListParagraph"/>
              <w:numPr>
                <w:ilvl w:val="0"/>
                <w:numId w:val="6"/>
              </w:numPr>
              <w:rPr>
                <w:b/>
                <w:bCs/>
              </w:rPr>
            </w:pPr>
            <w:r>
              <w:t xml:space="preserve">A range of school policies linked to the Prevent Duty are available on the school website for </w:t>
            </w:r>
            <w:r w:rsidR="0083133F">
              <w:t>parents</w:t>
            </w:r>
            <w:r>
              <w:t>/carers</w:t>
            </w:r>
          </w:p>
        </w:tc>
        <w:tc>
          <w:tcPr>
            <w:tcW w:w="3118" w:type="dxa"/>
            <w:shd w:val="clear" w:color="auto" w:fill="auto"/>
          </w:tcPr>
          <w:p w:rsidR="00EB6B3B" w:rsidRPr="00EB6B3B" w:rsidRDefault="00EB6B3B">
            <w:pPr>
              <w:rPr>
                <w:b/>
                <w:bCs/>
              </w:rPr>
            </w:pPr>
            <w:r>
              <w:rPr>
                <w:b/>
                <w:bCs/>
              </w:rPr>
              <w:t>Prevent Lead</w:t>
            </w:r>
          </w:p>
        </w:tc>
      </w:tr>
      <w:tr w:rsidR="00EB6B3B" w:rsidTr="00EB6B3B">
        <w:tc>
          <w:tcPr>
            <w:tcW w:w="2547" w:type="dxa"/>
            <w:shd w:val="clear" w:color="auto" w:fill="auto"/>
          </w:tcPr>
          <w:p w:rsidR="00EB6B3B" w:rsidRDefault="00EB6B3B"/>
        </w:tc>
        <w:tc>
          <w:tcPr>
            <w:tcW w:w="4427" w:type="dxa"/>
            <w:shd w:val="clear" w:color="auto" w:fill="auto"/>
          </w:tcPr>
          <w:p w:rsidR="00EB6B3B" w:rsidRDefault="00EB6B3B">
            <w:r>
              <w:t xml:space="preserve">Children are taught about online safety with specific reference to the risk of radicalisation </w:t>
            </w:r>
          </w:p>
        </w:tc>
        <w:tc>
          <w:tcPr>
            <w:tcW w:w="4787" w:type="dxa"/>
            <w:shd w:val="clear" w:color="auto" w:fill="auto"/>
          </w:tcPr>
          <w:p w:rsidR="00EB6B3B" w:rsidRPr="00EB6B3B" w:rsidRDefault="00EB6B3B" w:rsidP="00EB6B3B">
            <w:pPr>
              <w:pStyle w:val="ListParagraph"/>
              <w:numPr>
                <w:ilvl w:val="0"/>
                <w:numId w:val="6"/>
              </w:numPr>
              <w:rPr>
                <w:b/>
                <w:bCs/>
              </w:rPr>
            </w:pPr>
            <w:r>
              <w:t xml:space="preserve">The curriculum </w:t>
            </w:r>
            <w:r w:rsidR="0083133F">
              <w:t>reflects</w:t>
            </w:r>
            <w:r>
              <w:t xml:space="preserve"> this duty </w:t>
            </w:r>
          </w:p>
        </w:tc>
        <w:tc>
          <w:tcPr>
            <w:tcW w:w="3118" w:type="dxa"/>
            <w:shd w:val="clear" w:color="auto" w:fill="auto"/>
          </w:tcPr>
          <w:p w:rsidR="00EB6B3B" w:rsidRDefault="00EB6B3B">
            <w:pPr>
              <w:rPr>
                <w:b/>
                <w:bCs/>
              </w:rPr>
            </w:pPr>
            <w:r>
              <w:rPr>
                <w:b/>
                <w:bCs/>
              </w:rPr>
              <w:t>Prevent Lead</w:t>
            </w:r>
          </w:p>
          <w:p w:rsidR="00EB6B3B" w:rsidRDefault="00EB6B3B">
            <w:pPr>
              <w:rPr>
                <w:b/>
                <w:bCs/>
              </w:rPr>
            </w:pPr>
            <w:r>
              <w:rPr>
                <w:b/>
                <w:bCs/>
              </w:rPr>
              <w:t>Subject Leads</w:t>
            </w:r>
          </w:p>
          <w:p w:rsidR="00EB6B3B" w:rsidRPr="00EB6B3B" w:rsidRDefault="00EB6B3B">
            <w:pPr>
              <w:rPr>
                <w:b/>
                <w:bCs/>
              </w:rPr>
            </w:pPr>
            <w:r>
              <w:rPr>
                <w:b/>
                <w:bCs/>
              </w:rPr>
              <w:t xml:space="preserve">All staff </w:t>
            </w:r>
          </w:p>
        </w:tc>
      </w:tr>
      <w:tr w:rsidR="0083133F" w:rsidTr="0083133F">
        <w:tc>
          <w:tcPr>
            <w:tcW w:w="2547" w:type="dxa"/>
            <w:shd w:val="clear" w:color="auto" w:fill="D5DCE4" w:themeFill="text2" w:themeFillTint="33"/>
          </w:tcPr>
          <w:p w:rsidR="0083133F" w:rsidRPr="0083133F" w:rsidRDefault="0083133F">
            <w:pPr>
              <w:rPr>
                <w:b/>
                <w:bCs/>
              </w:rPr>
            </w:pPr>
            <w:r>
              <w:rPr>
                <w:b/>
                <w:bCs/>
              </w:rPr>
              <w:t xml:space="preserve">Building children’s resilience to radicalisation </w:t>
            </w:r>
          </w:p>
        </w:tc>
        <w:tc>
          <w:tcPr>
            <w:tcW w:w="4427" w:type="dxa"/>
            <w:shd w:val="clear" w:color="auto" w:fill="D5DCE4" w:themeFill="text2" w:themeFillTint="33"/>
          </w:tcPr>
          <w:p w:rsidR="0083133F" w:rsidRPr="0083133F" w:rsidRDefault="0083133F">
            <w:pPr>
              <w:rPr>
                <w:b/>
                <w:bCs/>
              </w:rPr>
            </w:pPr>
          </w:p>
        </w:tc>
        <w:tc>
          <w:tcPr>
            <w:tcW w:w="4787" w:type="dxa"/>
            <w:shd w:val="clear" w:color="auto" w:fill="D5DCE4" w:themeFill="text2" w:themeFillTint="33"/>
          </w:tcPr>
          <w:p w:rsidR="0083133F" w:rsidRDefault="0083133F" w:rsidP="0083133F"/>
        </w:tc>
        <w:tc>
          <w:tcPr>
            <w:tcW w:w="3118" w:type="dxa"/>
            <w:shd w:val="clear" w:color="auto" w:fill="D5DCE4" w:themeFill="text2" w:themeFillTint="33"/>
          </w:tcPr>
          <w:p w:rsidR="0083133F" w:rsidRDefault="0083133F">
            <w:pPr>
              <w:rPr>
                <w:b/>
                <w:bCs/>
              </w:rPr>
            </w:pPr>
          </w:p>
        </w:tc>
      </w:tr>
      <w:tr w:rsidR="0083133F" w:rsidTr="00EB6B3B">
        <w:tc>
          <w:tcPr>
            <w:tcW w:w="2547" w:type="dxa"/>
            <w:shd w:val="clear" w:color="auto" w:fill="auto"/>
          </w:tcPr>
          <w:p w:rsidR="0083133F" w:rsidRDefault="0083133F">
            <w:r>
              <w:t xml:space="preserve">Ensure that pupils have a “safe environment” in which to discuss “controversial issues” </w:t>
            </w:r>
          </w:p>
        </w:tc>
        <w:tc>
          <w:tcPr>
            <w:tcW w:w="4427" w:type="dxa"/>
            <w:shd w:val="clear" w:color="auto" w:fill="auto"/>
          </w:tcPr>
          <w:p w:rsidR="0083133F" w:rsidRDefault="0083133F">
            <w:r>
              <w:t>Pupils develop the “knowledge, skills and understanding to prepare them to play a full and active part in society.”</w:t>
            </w:r>
          </w:p>
        </w:tc>
        <w:tc>
          <w:tcPr>
            <w:tcW w:w="4787" w:type="dxa"/>
            <w:shd w:val="clear" w:color="auto" w:fill="auto"/>
          </w:tcPr>
          <w:p w:rsidR="0083133F" w:rsidRDefault="0083133F" w:rsidP="0083133F">
            <w:pPr>
              <w:pStyle w:val="ListParagraph"/>
              <w:numPr>
                <w:ilvl w:val="0"/>
                <w:numId w:val="6"/>
              </w:numPr>
            </w:pPr>
            <w:r>
              <w:t xml:space="preserve">Through PSHCE and other curriculum activities, pupils are able to explore political, religious and social issues. </w:t>
            </w:r>
          </w:p>
          <w:p w:rsidR="0083133F" w:rsidRDefault="0083133F" w:rsidP="0083133F">
            <w:pPr>
              <w:pStyle w:val="ListParagraph"/>
              <w:numPr>
                <w:ilvl w:val="0"/>
                <w:numId w:val="6"/>
              </w:numPr>
            </w:pPr>
            <w:r>
              <w:t>Pupils are taught about the diverse national, regional and ethnic identities in the UK and the need for mutual respect.</w:t>
            </w:r>
          </w:p>
          <w:p w:rsidR="0083133F" w:rsidRDefault="0083133F" w:rsidP="0083133F">
            <w:pPr>
              <w:pStyle w:val="ListParagraph"/>
              <w:numPr>
                <w:ilvl w:val="0"/>
                <w:numId w:val="6"/>
              </w:numPr>
            </w:pPr>
            <w:r>
              <w:t>Relevant staff are aware of the government guidance</w:t>
            </w:r>
          </w:p>
          <w:p w:rsidR="0083133F" w:rsidRDefault="00000000" w:rsidP="0083133F">
            <w:pPr>
              <w:pStyle w:val="ListParagraph"/>
              <w:numPr>
                <w:ilvl w:val="0"/>
                <w:numId w:val="6"/>
              </w:numPr>
            </w:pPr>
            <w:hyperlink r:id="rId8" w:history="1">
              <w:r w:rsidR="0083133F" w:rsidRPr="00374F2E">
                <w:rPr>
                  <w:rStyle w:val="Hyperlink"/>
                </w:rPr>
                <w:t>https://www.gov.uk/government/news/guidance-on-promoting-british-values-in-schools-published</w:t>
              </w:r>
            </w:hyperlink>
            <w:r w:rsidR="0083133F">
              <w:t xml:space="preserve"> </w:t>
            </w:r>
          </w:p>
        </w:tc>
        <w:tc>
          <w:tcPr>
            <w:tcW w:w="3118" w:type="dxa"/>
            <w:shd w:val="clear" w:color="auto" w:fill="auto"/>
          </w:tcPr>
          <w:p w:rsidR="0083133F" w:rsidRDefault="0083133F">
            <w:pPr>
              <w:rPr>
                <w:b/>
                <w:bCs/>
              </w:rPr>
            </w:pPr>
            <w:r>
              <w:rPr>
                <w:b/>
                <w:bCs/>
              </w:rPr>
              <w:t>PSHCE Lead</w:t>
            </w:r>
          </w:p>
          <w:p w:rsidR="0083133F" w:rsidRDefault="0083133F">
            <w:pPr>
              <w:rPr>
                <w:b/>
                <w:bCs/>
              </w:rPr>
            </w:pPr>
            <w:r>
              <w:rPr>
                <w:b/>
                <w:bCs/>
              </w:rPr>
              <w:t>Subject Leads</w:t>
            </w:r>
          </w:p>
          <w:p w:rsidR="0083133F" w:rsidRDefault="0083133F">
            <w:pPr>
              <w:rPr>
                <w:b/>
                <w:bCs/>
              </w:rPr>
            </w:pPr>
            <w:r>
              <w:rPr>
                <w:b/>
                <w:bCs/>
              </w:rPr>
              <w:t>Prevent Lead</w:t>
            </w:r>
          </w:p>
          <w:p w:rsidR="0083133F" w:rsidRPr="0083133F" w:rsidRDefault="0083133F">
            <w:pPr>
              <w:rPr>
                <w:b/>
                <w:bCs/>
              </w:rPr>
            </w:pPr>
            <w:r>
              <w:rPr>
                <w:b/>
                <w:bCs/>
              </w:rPr>
              <w:t>Other relevant staff</w:t>
            </w:r>
          </w:p>
        </w:tc>
      </w:tr>
    </w:tbl>
    <w:p w:rsidR="005A2274" w:rsidRPr="005A2274" w:rsidRDefault="005A2274" w:rsidP="005A2274"/>
    <w:p w:rsidR="005A2274" w:rsidRPr="005A2274" w:rsidRDefault="005A2274" w:rsidP="005A2274"/>
    <w:p w:rsidR="005A2274" w:rsidRPr="005A2274" w:rsidRDefault="005A2274" w:rsidP="005A2274"/>
    <w:p w:rsidR="005A2274" w:rsidRPr="005A2274" w:rsidRDefault="005A2274" w:rsidP="005A2274"/>
    <w:p w:rsidR="005A2274" w:rsidRPr="005A2274" w:rsidRDefault="005A2274" w:rsidP="005A2274"/>
    <w:p w:rsidR="005A2274" w:rsidRPr="005A2274" w:rsidRDefault="005A2274" w:rsidP="005A2274"/>
    <w:p w:rsidR="005A2274" w:rsidRPr="005A2274" w:rsidRDefault="005A2274" w:rsidP="005A2274">
      <w:pPr>
        <w:tabs>
          <w:tab w:val="left" w:pos="11829"/>
        </w:tabs>
      </w:pPr>
    </w:p>
    <w:sectPr w:rsidR="005A2274" w:rsidRPr="005A2274" w:rsidSect="000C0AE1">
      <w:headerReference w:type="default" r:id="rId9"/>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5830" w:rsidRDefault="004D5830" w:rsidP="001C5556">
      <w:r>
        <w:separator/>
      </w:r>
    </w:p>
  </w:endnote>
  <w:endnote w:type="continuationSeparator" w:id="0">
    <w:p w:rsidR="004D5830" w:rsidRDefault="004D5830" w:rsidP="001C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5830" w:rsidRDefault="004D5830" w:rsidP="001C5556">
      <w:r>
        <w:separator/>
      </w:r>
    </w:p>
  </w:footnote>
  <w:footnote w:type="continuationSeparator" w:id="0">
    <w:p w:rsidR="004D5830" w:rsidRDefault="004D5830" w:rsidP="001C5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89" w:rsidRDefault="000C7589" w:rsidP="000C7589">
    <w:r w:rsidRPr="00C56F88">
      <w:rPr>
        <w:b/>
        <w:bCs/>
      </w:rPr>
      <w:t>Written and reviewed</w:t>
    </w:r>
    <w:r>
      <w:t>: October 2025</w:t>
    </w:r>
  </w:p>
  <w:p w:rsidR="000C7589" w:rsidRDefault="000C7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C76"/>
    <w:multiLevelType w:val="hybridMultilevel"/>
    <w:tmpl w:val="DF48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25C23"/>
    <w:multiLevelType w:val="hybridMultilevel"/>
    <w:tmpl w:val="0884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0DC"/>
    <w:multiLevelType w:val="hybridMultilevel"/>
    <w:tmpl w:val="7CD8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479B9"/>
    <w:multiLevelType w:val="hybridMultilevel"/>
    <w:tmpl w:val="02B2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920DF"/>
    <w:multiLevelType w:val="hybridMultilevel"/>
    <w:tmpl w:val="9402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5657E"/>
    <w:multiLevelType w:val="hybridMultilevel"/>
    <w:tmpl w:val="0F9E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718634">
    <w:abstractNumId w:val="4"/>
  </w:num>
  <w:num w:numId="2" w16cid:durableId="688070424">
    <w:abstractNumId w:val="2"/>
  </w:num>
  <w:num w:numId="3" w16cid:durableId="2038462569">
    <w:abstractNumId w:val="3"/>
  </w:num>
  <w:num w:numId="4" w16cid:durableId="924144433">
    <w:abstractNumId w:val="5"/>
  </w:num>
  <w:num w:numId="5" w16cid:durableId="382558094">
    <w:abstractNumId w:val="1"/>
  </w:num>
  <w:num w:numId="6" w16cid:durableId="175211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98"/>
    <w:rsid w:val="0003505F"/>
    <w:rsid w:val="00081555"/>
    <w:rsid w:val="000B69FD"/>
    <w:rsid w:val="000C0AE1"/>
    <w:rsid w:val="000C7589"/>
    <w:rsid w:val="00127144"/>
    <w:rsid w:val="00183FD6"/>
    <w:rsid w:val="001B0A0A"/>
    <w:rsid w:val="001C5556"/>
    <w:rsid w:val="002A7DC8"/>
    <w:rsid w:val="004D5830"/>
    <w:rsid w:val="005A2274"/>
    <w:rsid w:val="006C4320"/>
    <w:rsid w:val="007E3439"/>
    <w:rsid w:val="0083133F"/>
    <w:rsid w:val="00913B98"/>
    <w:rsid w:val="00970927"/>
    <w:rsid w:val="00AB2953"/>
    <w:rsid w:val="00B11F76"/>
    <w:rsid w:val="00C56F88"/>
    <w:rsid w:val="00C91AE1"/>
    <w:rsid w:val="00D56963"/>
    <w:rsid w:val="00EB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6D2F"/>
  <w15:chartTrackingRefBased/>
  <w15:docId w15:val="{449DB86E-506E-D741-AC3B-C719AAAC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A0A"/>
    <w:pPr>
      <w:ind w:left="720"/>
      <w:contextualSpacing/>
    </w:pPr>
  </w:style>
  <w:style w:type="character" w:styleId="Hyperlink">
    <w:name w:val="Hyperlink"/>
    <w:basedOn w:val="DefaultParagraphFont"/>
    <w:uiPriority w:val="99"/>
    <w:unhideWhenUsed/>
    <w:rsid w:val="0083133F"/>
    <w:rPr>
      <w:color w:val="0563C1" w:themeColor="hyperlink"/>
      <w:u w:val="single"/>
    </w:rPr>
  </w:style>
  <w:style w:type="character" w:styleId="UnresolvedMention">
    <w:name w:val="Unresolved Mention"/>
    <w:basedOn w:val="DefaultParagraphFont"/>
    <w:uiPriority w:val="99"/>
    <w:semiHidden/>
    <w:unhideWhenUsed/>
    <w:rsid w:val="0083133F"/>
    <w:rPr>
      <w:color w:val="605E5C"/>
      <w:shd w:val="clear" w:color="auto" w:fill="E1DFDD"/>
    </w:rPr>
  </w:style>
  <w:style w:type="paragraph" w:styleId="Header">
    <w:name w:val="header"/>
    <w:basedOn w:val="Normal"/>
    <w:link w:val="HeaderChar"/>
    <w:uiPriority w:val="99"/>
    <w:unhideWhenUsed/>
    <w:rsid w:val="001C5556"/>
    <w:pPr>
      <w:tabs>
        <w:tab w:val="center" w:pos="4680"/>
        <w:tab w:val="right" w:pos="9360"/>
      </w:tabs>
    </w:pPr>
  </w:style>
  <w:style w:type="character" w:customStyle="1" w:styleId="HeaderChar">
    <w:name w:val="Header Char"/>
    <w:basedOn w:val="DefaultParagraphFont"/>
    <w:link w:val="Header"/>
    <w:uiPriority w:val="99"/>
    <w:rsid w:val="001C5556"/>
  </w:style>
  <w:style w:type="paragraph" w:styleId="Footer">
    <w:name w:val="footer"/>
    <w:basedOn w:val="Normal"/>
    <w:link w:val="FooterChar"/>
    <w:uiPriority w:val="99"/>
    <w:unhideWhenUsed/>
    <w:rsid w:val="001C5556"/>
    <w:pPr>
      <w:tabs>
        <w:tab w:val="center" w:pos="4680"/>
        <w:tab w:val="right" w:pos="9360"/>
      </w:tabs>
    </w:pPr>
  </w:style>
  <w:style w:type="character" w:customStyle="1" w:styleId="FooterChar">
    <w:name w:val="Footer Char"/>
    <w:basedOn w:val="DefaultParagraphFont"/>
    <w:link w:val="Footer"/>
    <w:uiPriority w:val="99"/>
    <w:rsid w:val="001C5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guidance-on-promoting-british-values-in-schools-publishe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2025-10-13T12:02:00Z</dcterms:created>
  <dcterms:modified xsi:type="dcterms:W3CDTF">2025-10-14T15:12:00Z</dcterms:modified>
</cp:coreProperties>
</file>