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Year 6 Maths Summer Week 3 (w/c 04.05.20)</w:t>
      </w:r>
    </w:p>
    <w:p>
      <w:pPr>
        <w:pStyle w:val="Body"/>
        <w:jc w:val="center"/>
        <w:rPr>
          <w:sz w:val="30"/>
          <w:szCs w:val="30"/>
        </w:rPr>
      </w:pPr>
    </w:p>
    <w:p>
      <w:pPr>
        <w:pStyle w:val="Body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White Rose Home Learning</w:t>
      </w: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The lessons are available on the following website: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"https://whiterosemaths.com/homelearning/year-6/"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https://whiterosemaths.com/homelearning/year-6/</w:t>
      </w:r>
      <w:r>
        <w:rPr>
          <w:sz w:val="26"/>
          <w:szCs w:val="26"/>
        </w:rPr>
        <w:fldChar w:fldCharType="end" w:fldLock="0"/>
      </w:r>
    </w:p>
    <w:p>
      <w:pPr>
        <w:pStyle w:val="Body"/>
        <w:rPr>
          <w:sz w:val="26"/>
          <w:szCs w:val="26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00"/>
        <w:gridCol w:w="3755"/>
        <w:gridCol w:w="4077"/>
      </w:tblGrid>
      <w:tr>
        <w:tblPrEx>
          <w:shd w:val="clear" w:color="auto" w:fill="auto"/>
        </w:tblPrEx>
        <w:trPr>
          <w:trHeight w:val="325" w:hRule="atLeast"/>
        </w:trPr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Days</w:t>
            </w:r>
          </w:p>
        </w:tc>
        <w:tc>
          <w:tcPr>
            <w:tcW w:type="dxa" w:w="3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Lesson Objectives</w:t>
            </w:r>
          </w:p>
        </w:tc>
        <w:tc>
          <w:tcPr>
            <w:tcW w:type="dxa" w:w="40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 xml:space="preserve">Remember to </w:t>
            </w:r>
            <w:r>
              <w:rPr>
                <w:rFonts w:ascii="Helvetica" w:hAnsi="Helvetica" w:hint="default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…</w:t>
            </w:r>
          </w:p>
        </w:tc>
      </w:tr>
      <w:tr>
        <w:tblPrEx>
          <w:shd w:val="clear" w:color="auto" w:fill="auto"/>
        </w:tblPrEx>
        <w:trPr>
          <w:trHeight w:val="1605" w:hRule="atLeast"/>
        </w:trPr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Monday</w:t>
            </w:r>
          </w:p>
        </w:tc>
        <w:tc>
          <w:tcPr>
            <w:tcW w:type="dxa" w:w="3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Lesson 1 - Simplify fractions</w:t>
            </w:r>
          </w:p>
        </w:tc>
        <w:tc>
          <w:tcPr>
            <w:tcW w:type="dxa" w:w="40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:lang w:val="en-US"/>
                <w14:textFill>
                  <w14:solidFill>
                    <w14:srgbClr w14:val="1E3755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:lang w:val="en-US"/>
                <w14:textFill>
                  <w14:solidFill>
                    <w14:srgbClr w14:val="1E3755"/>
                  </w14:solidFill>
                </w14:textFill>
              </w:rPr>
              <w:t xml:space="preserve">Use </w:t>
            </w: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:lang w:val="en-US"/>
                <w14:textFill>
                  <w14:solidFill>
                    <w14:srgbClr w14:val="1E3755"/>
                  </w14:solidFill>
                </w14:textFill>
              </w:rPr>
              <w:t>the greatest common FACTOR</w:t>
            </w:r>
          </w:p>
          <w:p>
            <w:pPr>
              <w:pStyle w:val="Table Style 2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:lang w:val="en-US"/>
                <w14:textFill>
                  <w14:solidFill>
                    <w14:srgbClr w14:val="1E3755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:lang w:val="en-US"/>
                <w14:textFill>
                  <w14:solidFill>
                    <w14:srgbClr w14:val="1E3755"/>
                  </w14:solidFill>
                </w14:textFill>
              </w:rPr>
              <w:t>Use your times tables or a multiplication square</w:t>
            </w:r>
          </w:p>
          <w:p>
            <w:pPr>
              <w:pStyle w:val="Table Style 2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:lang w:val="en-US"/>
                <w14:textFill>
                  <w14:solidFill>
                    <w14:srgbClr w14:val="1E3755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:lang w:val="en-US"/>
                <w14:textFill>
                  <w14:solidFill>
                    <w14:srgbClr w14:val="1E3755"/>
                  </w14:solidFill>
                </w14:textFill>
              </w:rPr>
              <w:t>Use a fraction wall</w:t>
            </w:r>
          </w:p>
        </w:tc>
      </w:tr>
      <w:tr>
        <w:tblPrEx>
          <w:shd w:val="clear" w:color="auto" w:fill="auto"/>
        </w:tblPrEx>
        <w:trPr>
          <w:trHeight w:val="645" w:hRule="atLeast"/>
        </w:trPr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Tuesday</w:t>
            </w:r>
          </w:p>
        </w:tc>
        <w:tc>
          <w:tcPr>
            <w:tcW w:type="dxa" w:w="3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Lesson 2 - Compare and order fractions</w:t>
            </w:r>
          </w:p>
        </w:tc>
        <w:tc>
          <w:tcPr>
            <w:tcW w:type="dxa" w:w="40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- find the common denominator in order to compare the fraction</w:t>
            </w:r>
          </w:p>
        </w:tc>
      </w:tr>
      <w:tr>
        <w:tblPrEx>
          <w:shd w:val="clear" w:color="auto" w:fill="auto"/>
        </w:tblPrEx>
        <w:trPr>
          <w:trHeight w:val="645" w:hRule="atLeast"/>
        </w:trPr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Wednesday</w:t>
            </w:r>
          </w:p>
        </w:tc>
        <w:tc>
          <w:tcPr>
            <w:tcW w:type="dxa" w:w="3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Lesson 3 - Add and subtract fractions</w:t>
            </w:r>
          </w:p>
        </w:tc>
        <w:tc>
          <w:tcPr>
            <w:tcW w:type="dxa" w:w="40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- find the common denominator before carrying out the operation</w:t>
            </w:r>
          </w:p>
        </w:tc>
      </w:tr>
      <w:tr>
        <w:tblPrEx>
          <w:shd w:val="clear" w:color="auto" w:fill="auto"/>
        </w:tblPrEx>
        <w:trPr>
          <w:trHeight w:val="645" w:hRule="atLeast"/>
        </w:trPr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Thursday</w:t>
            </w:r>
          </w:p>
        </w:tc>
        <w:tc>
          <w:tcPr>
            <w:tcW w:type="dxa" w:w="3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Lesson 4 - Mixed addition and subtraction</w:t>
            </w:r>
          </w:p>
        </w:tc>
        <w:tc>
          <w:tcPr>
            <w:tcW w:type="dxa" w:w="40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e3754"/>
                <w:sz w:val="26"/>
                <w:szCs w:val="26"/>
                <w:shd w:val="clear" w:color="auto" w:fill="ffffff"/>
                <w:rtl w:val="0"/>
                <w14:textFill>
                  <w14:solidFill>
                    <w14:srgbClr w14:val="1E3755"/>
                  </w14:solidFill>
                </w14:textFill>
              </w:rPr>
              <w:t>- find the common denominator before carrying out the operation</w:t>
            </w:r>
          </w:p>
        </w:tc>
      </w:tr>
      <w:tr>
        <w:tblPrEx>
          <w:shd w:val="clear" w:color="auto" w:fill="auto"/>
        </w:tblPrEx>
        <w:trPr>
          <w:trHeight w:val="898" w:hRule="atLeast"/>
        </w:trPr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Friday</w:t>
            </w:r>
          </w:p>
        </w:tc>
        <w:tc>
          <w:tcPr>
            <w:tcW w:type="dxa" w:w="3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Challenge - Friday challenge on the White Rose Home learning website</w:t>
            </w:r>
          </w:p>
        </w:tc>
        <w:tc>
          <w:tcPr>
            <w:tcW w:type="dxa" w:w="40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If you are not feeling confident enough start with Challenge 1 and 2.</w:t>
            </w:r>
          </w:p>
        </w:tc>
      </w:tr>
    </w:tbl>
    <w:p>
      <w:pPr>
        <w:pStyle w:val="Body"/>
        <w:rPr>
          <w:sz w:val="26"/>
          <w:szCs w:val="26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For simplified videos, interactive tasks and extra activities please visit the BBC Bitesize website on the following link: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"https://www.bbc.co.uk/bitesize/tags/zncsscw/year-6-and-p7-lessons/1"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https://www.bbc.co.uk/bitesize/tags/zncsscw/year-6-and-p7-lessons/1</w:t>
      </w:r>
      <w:r>
        <w:rPr>
          <w:sz w:val="26"/>
          <w:szCs w:val="26"/>
        </w:rPr>
        <w:fldChar w:fldCharType="end" w:fldLock="0"/>
      </w:r>
    </w:p>
    <w:p>
      <w:pPr>
        <w:pStyle w:val="Body"/>
        <w:bidi w:val="0"/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Friday Challenge: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As a rough guide of difficulty levels: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Challenge 1 and 2</w:t>
      </w:r>
      <w:r>
        <w:rPr>
          <w:sz w:val="26"/>
          <w:szCs w:val="26"/>
          <w:rtl w:val="0"/>
          <w:lang w:val="en-US"/>
        </w:rPr>
        <w:t xml:space="preserve"> - are most suitable for ages 5 - 7.</w:t>
      </w:r>
    </w:p>
    <w:p>
      <w:pPr>
        <w:pStyle w:val="Body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Challenge 3 - 6 </w:t>
        <w:tab/>
        <w:t xml:space="preserve">  </w:t>
      </w:r>
      <w:r>
        <w:rPr>
          <w:sz w:val="26"/>
          <w:szCs w:val="26"/>
          <w:rtl w:val="0"/>
          <w:lang w:val="en-US"/>
        </w:rPr>
        <w:t>- are most suitable for ages 7 - 11.</w:t>
      </w:r>
    </w:p>
    <w:p>
      <w:pPr>
        <w:pStyle w:val="Body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Challenge 7 - 9 </w:t>
        <w:tab/>
        <w:t xml:space="preserve">  </w:t>
      </w:r>
      <w:r>
        <w:rPr>
          <w:sz w:val="26"/>
          <w:szCs w:val="26"/>
          <w:rtl w:val="0"/>
          <w:lang w:val="en-US"/>
        </w:rPr>
        <w:t>- are most suitable for ages 11-15.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Remember, it is so much fun working on a challenge with your family. Get them involved too!</w:t>
      </w:r>
    </w:p>
    <w:p>
      <w:pPr>
        <w:pStyle w:val="Body"/>
      </w:pPr>
      <w:r>
        <w:rPr>
          <w:sz w:val="26"/>
          <w:szCs w:val="26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