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6DD9E0F8"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2AE0A3FF" w:rsidR="00E66558" w:rsidRDefault="009D71E8">
      <w:pPr>
        <w:pStyle w:val="Heading2"/>
        <w:rPr>
          <w:b w:val="0"/>
          <w:bCs/>
          <w:color w:val="auto"/>
          <w:sz w:val="24"/>
          <w:szCs w:val="24"/>
        </w:rPr>
      </w:pPr>
      <w:r>
        <w:rPr>
          <w:b w:val="0"/>
          <w:bCs/>
          <w:color w:val="auto"/>
          <w:sz w:val="24"/>
          <w:szCs w:val="24"/>
        </w:rPr>
        <w:t>This statement details our school’s use of pupil premium</w:t>
      </w:r>
      <w:r w:rsidR="0037163F">
        <w:rPr>
          <w:b w:val="0"/>
          <w:bCs/>
          <w:color w:val="auto"/>
          <w:sz w:val="24"/>
          <w:szCs w:val="24"/>
        </w:rPr>
        <w:t xml:space="preserve"> for </w:t>
      </w:r>
      <w:r>
        <w:rPr>
          <w:b w:val="0"/>
          <w:bCs/>
          <w:color w:val="auto"/>
          <w:sz w:val="24"/>
          <w:szCs w:val="24"/>
        </w:rPr>
        <w:t>funding</w:t>
      </w:r>
      <w:r w:rsidR="0037163F">
        <w:rPr>
          <w:b w:val="0"/>
          <w:bCs/>
          <w:color w:val="auto"/>
          <w:sz w:val="24"/>
          <w:szCs w:val="24"/>
        </w:rPr>
        <w:t xml:space="preserve"> for the academic year 202</w:t>
      </w:r>
      <w:r w:rsidR="00FC713F">
        <w:rPr>
          <w:b w:val="0"/>
          <w:bCs/>
          <w:color w:val="auto"/>
          <w:sz w:val="24"/>
          <w:szCs w:val="24"/>
        </w:rPr>
        <w:t>5</w:t>
      </w:r>
      <w:r w:rsidR="0037163F">
        <w:rPr>
          <w:b w:val="0"/>
          <w:bCs/>
          <w:color w:val="auto"/>
          <w:sz w:val="24"/>
          <w:szCs w:val="24"/>
        </w:rPr>
        <w:t>/2</w:t>
      </w:r>
      <w:r w:rsidR="00FC713F">
        <w:rPr>
          <w:b w:val="0"/>
          <w:bCs/>
          <w:color w:val="auto"/>
          <w:sz w:val="24"/>
          <w:szCs w:val="24"/>
        </w:rPr>
        <w:t>6</w:t>
      </w:r>
      <w:r>
        <w:rPr>
          <w:b w:val="0"/>
          <w:bCs/>
          <w:color w:val="auto"/>
          <w:sz w:val="24"/>
          <w:szCs w:val="24"/>
        </w:rPr>
        <w:t xml:space="preserve">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9" w14:textId="7854721F" w:rsidR="00E66558" w:rsidRDefault="00C446BB">
            <w:pPr>
              <w:pStyle w:val="TableRow"/>
            </w:pPr>
            <w:r>
              <w:t>Cambridge Road C P &amp; N School</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C" w14:textId="79DDECD5" w:rsidR="00E66558" w:rsidRDefault="00C446BB">
            <w:pPr>
              <w:pStyle w:val="TableRow"/>
            </w:pPr>
            <w:r>
              <w:t>2</w:t>
            </w:r>
            <w:r w:rsidR="00FC713F">
              <w:t>49</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F" w14:textId="0D2E176C" w:rsidR="00E66558" w:rsidRDefault="00FC713F">
            <w:pPr>
              <w:pStyle w:val="TableRow"/>
            </w:pPr>
            <w:r>
              <w:t>29</w:t>
            </w:r>
            <w:r w:rsidR="002405CE">
              <w:t>%</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(3 year plans are recommended)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2" w14:textId="0D257066" w:rsidR="00E66558" w:rsidRDefault="00C446BB">
            <w:pPr>
              <w:pStyle w:val="TableRow"/>
            </w:pPr>
            <w:r>
              <w:t>September 202</w:t>
            </w:r>
            <w:r w:rsidR="00FC713F">
              <w:t>5</w:t>
            </w:r>
            <w:r>
              <w:t xml:space="preserve"> to September 202</w:t>
            </w:r>
            <w:r w:rsidR="00FC713F">
              <w:t>8</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5" w14:textId="05DAF1E8" w:rsidR="00E66558" w:rsidRPr="002E5F2F" w:rsidRDefault="00BA51F5">
            <w:pPr>
              <w:pStyle w:val="TableRow"/>
            </w:pPr>
            <w:r>
              <w:t>12/12/25</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8" w14:textId="21FF4CA0" w:rsidR="00E66558" w:rsidRPr="002E5F2F" w:rsidRDefault="00625250">
            <w:pPr>
              <w:pStyle w:val="TableRow"/>
            </w:pPr>
            <w:r w:rsidRPr="002E5F2F">
              <w:t>21</w:t>
            </w:r>
            <w:r w:rsidR="00C446BB" w:rsidRPr="002E5F2F">
              <w:t>/</w:t>
            </w:r>
            <w:r w:rsidR="004A3135" w:rsidRPr="002E5F2F">
              <w:t>11</w:t>
            </w:r>
            <w:r w:rsidR="00C446BB" w:rsidRPr="002E5F2F">
              <w:t>/2</w:t>
            </w:r>
            <w:r w:rsidR="00FC713F">
              <w:t>6</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B" w14:textId="43223768" w:rsidR="00E66558" w:rsidRDefault="00C446BB">
            <w:pPr>
              <w:pStyle w:val="TableRow"/>
            </w:pPr>
            <w:r>
              <w:t>MR</w:t>
            </w:r>
            <w:r w:rsidR="002405CE">
              <w:t>S</w:t>
            </w:r>
            <w:r>
              <w:t xml:space="preserve"> D </w:t>
            </w:r>
            <w:r w:rsidR="002405CE">
              <w:t>WELLINGS</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E" w14:textId="01403E8E" w:rsidR="00E66558" w:rsidRDefault="00C446BB">
            <w:pPr>
              <w:pStyle w:val="TableRow"/>
            </w:pPr>
            <w:r>
              <w:t>MR</w:t>
            </w:r>
            <w:r w:rsidR="002405CE">
              <w:t>S</w:t>
            </w:r>
            <w:r>
              <w:t xml:space="preserve"> D </w:t>
            </w:r>
            <w:r w:rsidR="002405CE">
              <w:t>WELLINGS</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1" w14:textId="02F8B141" w:rsidR="00E66558" w:rsidRDefault="00C446BB">
            <w:pPr>
              <w:pStyle w:val="TableRow"/>
            </w:pPr>
            <w:r>
              <w:t>MR</w:t>
            </w:r>
            <w:r w:rsidR="004A3135">
              <w:t>S A SASS</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D7" w14:textId="77777777" w:rsidR="00E66558" w:rsidRPr="00BE5136" w:rsidRDefault="009D71E8">
            <w:pPr>
              <w:pStyle w:val="TableRow"/>
            </w:pPr>
            <w:r w:rsidRPr="00BE5136">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8" w14:textId="67A7857E" w:rsidR="00E66558" w:rsidRDefault="009D71E8">
            <w:pPr>
              <w:pStyle w:val="TableRow"/>
            </w:pPr>
            <w:r>
              <w:t>£</w:t>
            </w:r>
            <w:r w:rsidR="00BE5136">
              <w:t>1</w:t>
            </w:r>
            <w:r w:rsidR="00FC713F">
              <w:t>10,725</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DD" w14:textId="77777777" w:rsidR="00E66558" w:rsidRPr="00BE5136" w:rsidRDefault="009D71E8">
            <w:pPr>
              <w:pStyle w:val="TableRow"/>
            </w:pPr>
            <w:r w:rsidRPr="00BE5136">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E" w14:textId="4ACECADA" w:rsidR="00E66558" w:rsidRDefault="009D71E8">
            <w:pPr>
              <w:pStyle w:val="TableRow"/>
            </w:pPr>
            <w:r>
              <w:t>£</w:t>
            </w:r>
            <w:r w:rsidR="00BE5136">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E0" w14:textId="77777777" w:rsidR="00E66558" w:rsidRPr="00BE5136" w:rsidRDefault="009D71E8">
            <w:pPr>
              <w:pStyle w:val="TableRow"/>
              <w:rPr>
                <w:b/>
              </w:rPr>
            </w:pPr>
            <w:r w:rsidRPr="00BE5136">
              <w:rPr>
                <w:b/>
              </w:rPr>
              <w:t>Total budget for this academic year</w:t>
            </w:r>
          </w:p>
          <w:p w14:paraId="2A7D54E1" w14:textId="77777777" w:rsidR="00E66558" w:rsidRPr="00BE5136" w:rsidRDefault="009D71E8">
            <w:pPr>
              <w:pStyle w:val="TableRow"/>
            </w:pPr>
            <w:r w:rsidRPr="00BE5136">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E2" w14:textId="3E0308DF" w:rsidR="00E66558" w:rsidRDefault="009D71E8">
            <w:pPr>
              <w:pStyle w:val="TableRow"/>
            </w:pPr>
            <w:r>
              <w:t>£</w:t>
            </w:r>
            <w:r w:rsidR="00BE5136">
              <w:t>1</w:t>
            </w:r>
            <w:r w:rsidR="00FC713F">
              <w:t>10,725</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6EDFD" w14:textId="220C1CAF" w:rsidR="00C446BB" w:rsidRDefault="00C446BB">
            <w:pPr>
              <w:spacing w:before="120"/>
            </w:pPr>
            <w:r>
              <w:t xml:space="preserve">The Pupil premium will be used to remove as far as possible the barriers faced by our disadvantaged pupils. These barriers include a poverty of expectations and a poverty of experiences. We are determined that the children in our school will not be disadvantaged when compared to their better off peers. Obstacles such as poor punctuality and poor attendance will </w:t>
            </w:r>
            <w:r w:rsidR="00FC713F">
              <w:t xml:space="preserve">continue to </w:t>
            </w:r>
            <w:r>
              <w:t xml:space="preserve">be addressed. Barriers concerning lack of equipment or resources will be overcome. Speech and language difficulties, issues around reading and writing and mathematical difficulties will all be tackled as vigorously as possible.  </w:t>
            </w:r>
          </w:p>
          <w:p w14:paraId="1AF9B655" w14:textId="6B22EA98" w:rsidR="00C446BB" w:rsidRDefault="00C446BB">
            <w:pPr>
              <w:spacing w:before="120"/>
              <w:rPr>
                <w:i/>
                <w:iCs/>
              </w:rPr>
            </w:pPr>
            <w:r>
              <w:t xml:space="preserve">The Pupil Premium will be used to provide additional educational support to improve the progress and to raise the standard of achievement for these pupils. The funding will be used to narrow and close the gap between the achievement of these pupils and their peers. As far as its powers allow the school will use the additional funding to address any underlying inequalities between children eligible for Pupil Premium and others. We will ensure that the additional funding reaches the pupils who need it most and that it makes a significant impact on their education and lives. </w:t>
            </w:r>
          </w:p>
          <w:p w14:paraId="558C5BFD" w14:textId="518EBF3A" w:rsidR="00E57C36" w:rsidRDefault="00E57C36">
            <w:pPr>
              <w:spacing w:before="120"/>
            </w:pPr>
            <w:r>
              <w:t xml:space="preserve">The school has looked carefully at the needs of each </w:t>
            </w:r>
            <w:r w:rsidR="00201FCC">
              <w:t>pupil,</w:t>
            </w:r>
            <w:r>
              <w:t xml:space="preserve"> and we have decided to use a range of intervention strategies which include:</w:t>
            </w:r>
          </w:p>
          <w:p w14:paraId="35731B79" w14:textId="77777777" w:rsidR="00E57C36" w:rsidRDefault="00E57C36">
            <w:pPr>
              <w:spacing w:before="120"/>
            </w:pPr>
            <w:r>
              <w:t xml:space="preserve"> • providing small group work for pupils entitled to PP funding with an experienced teacher focussed on overcoming gaps in learning to help them make improved progress and to raise their standards of achievement. </w:t>
            </w:r>
          </w:p>
          <w:p w14:paraId="3DECDE1A" w14:textId="745B23F1" w:rsidR="002405CE" w:rsidRDefault="002405CE" w:rsidP="002405CE">
            <w:pPr>
              <w:spacing w:before="120"/>
            </w:pPr>
            <w:r>
              <w:t xml:space="preserve">• </w:t>
            </w:r>
            <w:r w:rsidR="002E5F2F">
              <w:t>t</w:t>
            </w:r>
            <w:r>
              <w:t>he employment of a family intervention worker who is highly trained and experienced in emotional literacy and who works tirelessly to provide vital pastoral support to children in order that they can overcome the barriers to learning which may prevent or inhibit their academic performance.</w:t>
            </w:r>
          </w:p>
          <w:p w14:paraId="2642C2AE" w14:textId="04BB1B23" w:rsidR="00E57C36" w:rsidRDefault="00E57C36">
            <w:pPr>
              <w:spacing w:before="120"/>
            </w:pPr>
            <w:r>
              <w:t xml:space="preserve">• </w:t>
            </w:r>
            <w:r w:rsidR="002E5F2F">
              <w:t>t</w:t>
            </w:r>
            <w:r w:rsidR="002405CE">
              <w:t xml:space="preserve">argeted </w:t>
            </w:r>
            <w:r>
              <w:t xml:space="preserve">1:1 tuition for pupils to help them make improved progress and to raise their standards of achievement. </w:t>
            </w:r>
          </w:p>
          <w:p w14:paraId="4DA11673" w14:textId="6C4AF7CC" w:rsidR="00E57C36" w:rsidRDefault="00E57C36">
            <w:pPr>
              <w:spacing w:before="120"/>
            </w:pPr>
            <w:r>
              <w:t>• additional teaching</w:t>
            </w:r>
            <w:r w:rsidR="002405CE">
              <w:t>,</w:t>
            </w:r>
            <w:r>
              <w:t xml:space="preserve"> </w:t>
            </w:r>
            <w:r w:rsidR="002405CE">
              <w:t>l</w:t>
            </w:r>
            <w:r>
              <w:t xml:space="preserve">earning </w:t>
            </w:r>
            <w:r w:rsidR="002405CE">
              <w:t xml:space="preserve">and enrichment </w:t>
            </w:r>
            <w:r>
              <w:t>opportunities for pupils entitled to PP funding provided through trained T</w:t>
            </w:r>
            <w:r w:rsidR="00FC713F">
              <w:t>eaching Assistants</w:t>
            </w:r>
            <w:r w:rsidR="00201FCC">
              <w:t xml:space="preserve"> </w:t>
            </w:r>
            <w:r>
              <w:t xml:space="preserve">to help them make improved progress and to raise their standards of achievement. </w:t>
            </w:r>
          </w:p>
          <w:p w14:paraId="3960C99F" w14:textId="73501DA0" w:rsidR="00E57C36" w:rsidRDefault="00E57C36">
            <w:pPr>
              <w:spacing w:before="120"/>
            </w:pPr>
            <w:r>
              <w:t xml:space="preserve">• </w:t>
            </w:r>
            <w:r w:rsidR="00201FCC">
              <w:t>enriching the pupils’ lunch and playtime experiences with play equipment and teaching assistant intervention and teacher supervision for children who may require help in regulating their emotions.</w:t>
            </w:r>
          </w:p>
          <w:p w14:paraId="1873F789" w14:textId="371FE0C1" w:rsidR="00201FCC" w:rsidRDefault="00201FCC" w:rsidP="00201FCC">
            <w:pPr>
              <w:spacing w:before="120"/>
            </w:pPr>
          </w:p>
          <w:p w14:paraId="5DD2FA4B" w14:textId="1A49306D" w:rsidR="00E57C36" w:rsidRDefault="00E57C36">
            <w:pPr>
              <w:spacing w:before="120"/>
            </w:pPr>
            <w:r>
              <w:t xml:space="preserve"> • all our work through the pupil premium will be aimed at accelerating progress moving pupils entitled to PP funding to at least age related expectations. Initially this will be in </w:t>
            </w:r>
            <w:r w:rsidR="00201FCC">
              <w:t>maths and English</w:t>
            </w:r>
            <w:r>
              <w:t xml:space="preserve">. </w:t>
            </w:r>
          </w:p>
          <w:p w14:paraId="2A7D54E9" w14:textId="77038FDA" w:rsidR="00E66558" w:rsidRPr="00E57C36" w:rsidRDefault="00E57C36" w:rsidP="00201FCC">
            <w:pPr>
              <w:spacing w:before="120"/>
            </w:pPr>
            <w:r>
              <w:t xml:space="preserve">• </w:t>
            </w:r>
            <w:r w:rsidR="002E5F2F">
              <w:t>p</w:t>
            </w:r>
            <w:r>
              <w:t>upil premium resources may also be used to target able pupils entitled to PP funding to achieve GDS at the end of KS1/KS2.</w:t>
            </w:r>
          </w:p>
        </w:tc>
      </w:tr>
    </w:tbl>
    <w:p w14:paraId="2A7D54EB" w14:textId="77777777" w:rsidR="00E66558" w:rsidRDefault="009D71E8">
      <w:pPr>
        <w:pStyle w:val="Heading2"/>
        <w:spacing w:before="600"/>
      </w:pPr>
      <w:r>
        <w:lastRenderedPageBreak/>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1" w14:textId="13F0054A" w:rsidR="00E66558" w:rsidRPr="00E57C36" w:rsidRDefault="00E57C36">
            <w:pPr>
              <w:pStyle w:val="TableRowCentered"/>
              <w:jc w:val="left"/>
            </w:pPr>
            <w:r w:rsidRPr="00E57C36">
              <w:rPr>
                <w:iCs/>
                <w:sz w:val="22"/>
                <w:szCs w:val="22"/>
              </w:rPr>
              <w:t>Poverty of expectations</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4" w14:textId="3BBA34FA" w:rsidR="00E66558" w:rsidRDefault="00E57C36">
            <w:pPr>
              <w:pStyle w:val="TableRowCentered"/>
              <w:jc w:val="left"/>
              <w:rPr>
                <w:sz w:val="22"/>
                <w:szCs w:val="22"/>
              </w:rPr>
            </w:pPr>
            <w:r>
              <w:rPr>
                <w:sz w:val="22"/>
                <w:szCs w:val="22"/>
              </w:rPr>
              <w:t>Poverty of experiences</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7" w14:textId="1BCA8141" w:rsidR="00E66558" w:rsidRDefault="00E57C36">
            <w:pPr>
              <w:pStyle w:val="TableRowCentered"/>
              <w:jc w:val="left"/>
              <w:rPr>
                <w:sz w:val="22"/>
                <w:szCs w:val="22"/>
              </w:rPr>
            </w:pPr>
            <w:r>
              <w:rPr>
                <w:sz w:val="22"/>
                <w:szCs w:val="22"/>
              </w:rPr>
              <w:t>Poor attendance</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A" w14:textId="59AC94DA" w:rsidR="00E66558" w:rsidRDefault="00E57C36">
            <w:pPr>
              <w:pStyle w:val="TableRowCentered"/>
              <w:jc w:val="left"/>
              <w:rPr>
                <w:iCs/>
                <w:sz w:val="22"/>
              </w:rPr>
            </w:pPr>
            <w:r>
              <w:rPr>
                <w:iCs/>
                <w:sz w:val="22"/>
              </w:rPr>
              <w:t>Lack of resources</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C" w14:textId="77777777" w:rsidR="00E66558" w:rsidRDefault="009D71E8">
            <w:pPr>
              <w:pStyle w:val="TableRow"/>
              <w:rPr>
                <w:sz w:val="22"/>
                <w:szCs w:val="22"/>
              </w:rPr>
            </w:pPr>
            <w:bookmarkStart w:id="16"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D" w14:textId="7E134228" w:rsidR="00E66558" w:rsidRDefault="00E57C36">
            <w:pPr>
              <w:pStyle w:val="TableRowCentered"/>
              <w:jc w:val="left"/>
              <w:rPr>
                <w:iCs/>
                <w:sz w:val="22"/>
              </w:rPr>
            </w:pPr>
            <w:r>
              <w:rPr>
                <w:iCs/>
                <w:sz w:val="22"/>
              </w:rPr>
              <w:t>Speech and language delay</w:t>
            </w:r>
          </w:p>
        </w:tc>
      </w:tr>
      <w:tr w:rsidR="00E57C36" w14:paraId="6BDB8101"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63E8B" w14:textId="5EF0E84A" w:rsidR="00E57C36" w:rsidRDefault="00E57C36">
            <w:pPr>
              <w:pStyle w:val="TableRow"/>
              <w:rPr>
                <w:sz w:val="22"/>
                <w:szCs w:val="22"/>
              </w:rPr>
            </w:pPr>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1A1D1C" w14:textId="75F2F583" w:rsidR="00E57C36" w:rsidRDefault="00E57C36">
            <w:pPr>
              <w:pStyle w:val="TableRowCentered"/>
              <w:jc w:val="left"/>
              <w:rPr>
                <w:iCs/>
                <w:sz w:val="22"/>
              </w:rPr>
            </w:pPr>
            <w:r>
              <w:rPr>
                <w:iCs/>
                <w:sz w:val="22"/>
              </w:rPr>
              <w:t>Reading difficulties</w:t>
            </w:r>
          </w:p>
        </w:tc>
      </w:tr>
      <w:tr w:rsidR="00491EED" w14:paraId="6C75C50F"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AE490" w14:textId="7D15BA78" w:rsidR="00491EED" w:rsidRDefault="00491EED">
            <w:pPr>
              <w:pStyle w:val="TableRow"/>
              <w:rPr>
                <w:sz w:val="22"/>
                <w:szCs w:val="22"/>
              </w:rPr>
            </w:pPr>
            <w:r>
              <w:rPr>
                <w:sz w:val="22"/>
                <w:szCs w:val="22"/>
              </w:rPr>
              <w:t>7</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F53FD" w14:textId="15321B4F" w:rsidR="00491EED" w:rsidRDefault="00491EED">
            <w:pPr>
              <w:pStyle w:val="TableRowCentered"/>
              <w:jc w:val="left"/>
              <w:rPr>
                <w:iCs/>
                <w:sz w:val="22"/>
              </w:rPr>
            </w:pPr>
            <w:r>
              <w:rPr>
                <w:iCs/>
                <w:sz w:val="22"/>
              </w:rPr>
              <w:t>Mathematical difficulties</w:t>
            </w:r>
          </w:p>
        </w:tc>
      </w:tr>
    </w:tbl>
    <w:p w14:paraId="2A7D54FF" w14:textId="77777777"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4" w14:textId="49236B7E" w:rsidR="00E66558" w:rsidRPr="00E57C36" w:rsidRDefault="00E57C36">
            <w:pPr>
              <w:pStyle w:val="TableRow"/>
            </w:pPr>
            <w:r w:rsidRPr="00E57C36">
              <w:rPr>
                <w:iCs/>
                <w:sz w:val="22"/>
                <w:szCs w:val="22"/>
              </w:rPr>
              <w:t>Our ultimate intended outcome is that every child will fulfil their potential.</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5" w14:textId="7736EE7F" w:rsidR="00E66558" w:rsidRDefault="00E57C36">
            <w:pPr>
              <w:pStyle w:val="TableRowCentered"/>
              <w:jc w:val="left"/>
              <w:rPr>
                <w:sz w:val="22"/>
                <w:szCs w:val="22"/>
              </w:rPr>
            </w:pPr>
            <w:r>
              <w:rPr>
                <w:sz w:val="22"/>
                <w:szCs w:val="22"/>
              </w:rPr>
              <w:t>Every child will achieve their FFT targets in Reading, Writing, GPAS and Mathematics.</w:t>
            </w: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37C06123" w:rsidR="00E66558" w:rsidRDefault="009D71E8">
      <w:pPr>
        <w:spacing w:after="480"/>
      </w:pPr>
      <w:r>
        <w:t xml:space="preserve">This details how we intend to spend our pupil premium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22FF4AE3" w:rsidR="00E66558" w:rsidRDefault="00BE5136">
      <w:r>
        <w:t>Budgeted cost: £</w:t>
      </w:r>
      <w:r w:rsidR="00FC713F">
        <w:t>30,538</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84B99" w14:textId="77777777" w:rsidR="00E66558" w:rsidRDefault="002405CE">
            <w:pPr>
              <w:pStyle w:val="TableRow"/>
              <w:rPr>
                <w:iCs/>
                <w:sz w:val="22"/>
                <w:szCs w:val="22"/>
              </w:rPr>
            </w:pPr>
            <w:r>
              <w:rPr>
                <w:iCs/>
                <w:sz w:val="22"/>
                <w:szCs w:val="22"/>
              </w:rPr>
              <w:t>A</w:t>
            </w:r>
            <w:r w:rsidR="00625250">
              <w:rPr>
                <w:iCs/>
                <w:sz w:val="22"/>
                <w:szCs w:val="22"/>
              </w:rPr>
              <w:t>dditional KS2 teacher to further support Year 6 children in small groups.</w:t>
            </w:r>
          </w:p>
          <w:p w14:paraId="0A9C7FAA" w14:textId="77777777" w:rsidR="002405CE" w:rsidRPr="00C6131B" w:rsidRDefault="002405CE">
            <w:pPr>
              <w:pStyle w:val="TableRow"/>
              <w:rPr>
                <w:iCs/>
                <w:sz w:val="22"/>
                <w:szCs w:val="22"/>
              </w:rPr>
            </w:pPr>
          </w:p>
          <w:p w14:paraId="2A7D551A" w14:textId="423B5FC4" w:rsidR="002405CE" w:rsidRPr="00C6131B" w:rsidRDefault="00201FCC">
            <w:pPr>
              <w:pStyle w:val="TableRow"/>
              <w:rPr>
                <w:iCs/>
                <w:sz w:val="22"/>
                <w:szCs w:val="22"/>
              </w:rPr>
            </w:pPr>
            <w:r>
              <w:rPr>
                <w:iCs/>
                <w:sz w:val="22"/>
                <w:szCs w:val="22"/>
              </w:rPr>
              <w:t>Additional teacher support for targeted children in Year 5 to identify and narrow any gaps in learning in readiness and to prepare them for Year 6 and subsequent high school transition.</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B" w14:textId="5F5C80DC" w:rsidR="00E66558" w:rsidRDefault="0019760A">
            <w:pPr>
              <w:pStyle w:val="TableRowCentered"/>
              <w:jc w:val="left"/>
              <w:rPr>
                <w:sz w:val="22"/>
              </w:rPr>
            </w:pPr>
            <w:r>
              <w:rPr>
                <w:sz w:val="22"/>
              </w:rPr>
              <w:t>Education Endowment Foundation’s toolkit ( + 4 months)</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C" w14:textId="434741F0" w:rsidR="00E66558" w:rsidRDefault="00491EED">
            <w:pPr>
              <w:pStyle w:val="TableRowCentered"/>
              <w:jc w:val="left"/>
              <w:rPr>
                <w:sz w:val="22"/>
              </w:rPr>
            </w:pPr>
            <w:r>
              <w:rPr>
                <w:sz w:val="22"/>
              </w:rPr>
              <w:t>1, 6, 7</w:t>
            </w:r>
          </w:p>
        </w:tc>
      </w:tr>
      <w:tr w:rsidR="00BA51F5" w14:paraId="093CCCD0"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C9B43" w14:textId="43AADD08" w:rsidR="00BA51F5" w:rsidRPr="002A7731" w:rsidRDefault="00BA51F5">
            <w:pPr>
              <w:pStyle w:val="TableRow"/>
              <w:rPr>
                <w:iCs/>
                <w:sz w:val="22"/>
                <w:szCs w:val="22"/>
              </w:rPr>
            </w:pPr>
            <w:r w:rsidRPr="002A7731">
              <w:rPr>
                <w:iCs/>
                <w:sz w:val="22"/>
                <w:szCs w:val="22"/>
              </w:rPr>
              <w:t>Purchase of reading assessments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B54C3" w14:textId="3DF31DB6" w:rsidR="00BA51F5" w:rsidRPr="002A7731" w:rsidRDefault="00BA51F5">
            <w:pPr>
              <w:pStyle w:val="TableRowCentered"/>
              <w:jc w:val="left"/>
              <w:rPr>
                <w:sz w:val="22"/>
              </w:rPr>
            </w:pPr>
            <w:r w:rsidRPr="002A7731">
              <w:rPr>
                <w:sz w:val="22"/>
              </w:rPr>
              <w:t>Assessments can show any areas on need for individual pupil or year groups</w:t>
            </w:r>
          </w:p>
          <w:p w14:paraId="626D222B" w14:textId="14D03589" w:rsidR="00BA51F5" w:rsidRPr="002A7731" w:rsidRDefault="00BA51F5">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C4BABE" w14:textId="58A4CC5A" w:rsidR="00BA51F5" w:rsidRPr="002A7731" w:rsidRDefault="00BA51F5">
            <w:pPr>
              <w:pStyle w:val="TableRowCentered"/>
              <w:jc w:val="left"/>
              <w:rPr>
                <w:sz w:val="22"/>
              </w:rPr>
            </w:pPr>
            <w:r w:rsidRPr="002A7731">
              <w:rPr>
                <w:sz w:val="22"/>
              </w:rPr>
              <w:t>1, 2, 3</w:t>
            </w:r>
          </w:p>
        </w:tc>
      </w:tr>
      <w:tr w:rsidR="00BA51F5" w14:paraId="1F885070"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2F800" w14:textId="77777777" w:rsidR="00BA51F5" w:rsidRPr="002A7731" w:rsidRDefault="00BA51F5">
            <w:pPr>
              <w:pStyle w:val="TableRow"/>
              <w:rPr>
                <w:iCs/>
                <w:sz w:val="22"/>
                <w:szCs w:val="22"/>
              </w:rPr>
            </w:pPr>
            <w:r w:rsidRPr="002A7731">
              <w:rPr>
                <w:iCs/>
                <w:sz w:val="22"/>
                <w:szCs w:val="22"/>
              </w:rPr>
              <w:t xml:space="preserve">Enhancement of </w:t>
            </w:r>
            <w:r w:rsidR="00AD36BB" w:rsidRPr="002A7731">
              <w:rPr>
                <w:iCs/>
                <w:sz w:val="22"/>
                <w:szCs w:val="22"/>
              </w:rPr>
              <w:t xml:space="preserve">our </w:t>
            </w:r>
            <w:r w:rsidRPr="002A7731">
              <w:rPr>
                <w:iCs/>
                <w:sz w:val="22"/>
                <w:szCs w:val="22"/>
              </w:rPr>
              <w:t>Maths teach</w:t>
            </w:r>
            <w:r w:rsidR="00AD36BB" w:rsidRPr="002A7731">
              <w:rPr>
                <w:iCs/>
                <w:sz w:val="22"/>
                <w:szCs w:val="22"/>
              </w:rPr>
              <w:t>ing and curriculum planning.</w:t>
            </w:r>
          </w:p>
          <w:p w14:paraId="70146F76" w14:textId="77777777" w:rsidR="00AD36BB" w:rsidRPr="002A7731" w:rsidRDefault="00AD36BB">
            <w:pPr>
              <w:pStyle w:val="TableRow"/>
              <w:rPr>
                <w:iCs/>
                <w:sz w:val="22"/>
                <w:szCs w:val="22"/>
              </w:rPr>
            </w:pPr>
          </w:p>
          <w:p w14:paraId="575CCBA0" w14:textId="00B6151B" w:rsidR="00AD36BB" w:rsidRPr="002A7731" w:rsidRDefault="00AD36BB">
            <w:pPr>
              <w:pStyle w:val="TableRow"/>
              <w:rPr>
                <w:iCs/>
                <w:sz w:val="22"/>
                <w:szCs w:val="22"/>
              </w:rPr>
            </w:pPr>
            <w:r w:rsidRPr="002A7731">
              <w:rPr>
                <w:iCs/>
                <w:sz w:val="22"/>
                <w:szCs w:val="22"/>
              </w:rPr>
              <w:t xml:space="preserve">The Maths lead is working with the Maths Hub plus other staff CPD. </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5F2A8" w14:textId="31FB3F85" w:rsidR="00BA51F5" w:rsidRPr="002A7731" w:rsidRDefault="00AD36BB">
            <w:pPr>
              <w:pStyle w:val="TableRowCentered"/>
              <w:jc w:val="left"/>
              <w:rPr>
                <w:sz w:val="22"/>
              </w:rPr>
            </w:pPr>
            <w:r w:rsidRPr="002A7731">
              <w:rPr>
                <w:sz w:val="22"/>
              </w:rPr>
              <w:t>The DFE non-statutory guidance has been produced in conjunction with the National Centre of Excellence in the Teaching of Mathematics, drawing on evidence-based approaches.</w:t>
            </w:r>
          </w:p>
          <w:p w14:paraId="37CB9C55" w14:textId="77777777" w:rsidR="00AD36BB" w:rsidRPr="002A7731" w:rsidRDefault="00AD36BB">
            <w:pPr>
              <w:pStyle w:val="TableRowCentered"/>
              <w:jc w:val="left"/>
              <w:rPr>
                <w:sz w:val="22"/>
              </w:rPr>
            </w:pPr>
          </w:p>
          <w:p w14:paraId="1DFC9AC2" w14:textId="1D1E0F2C" w:rsidR="00AD36BB" w:rsidRPr="002A7731" w:rsidRDefault="00AD36BB">
            <w:pPr>
              <w:pStyle w:val="TableRowCentered"/>
              <w:jc w:val="left"/>
              <w:rPr>
                <w:sz w:val="22"/>
              </w:rPr>
            </w:pPr>
            <w:r w:rsidRPr="002A7731">
              <w:rPr>
                <w:sz w:val="22"/>
              </w:rPr>
              <w:t xml:space="preserve">The EEF guidance is based on a range of the best available evidence. </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C9D1F3" w14:textId="2538D47E" w:rsidR="00BA51F5" w:rsidRPr="002A7731" w:rsidRDefault="00AD36BB">
            <w:pPr>
              <w:pStyle w:val="TableRowCentered"/>
              <w:jc w:val="left"/>
              <w:rPr>
                <w:sz w:val="22"/>
              </w:rPr>
            </w:pPr>
            <w:r w:rsidRPr="002A7731">
              <w:rPr>
                <w:sz w:val="22"/>
              </w:rPr>
              <w:t>3</w:t>
            </w:r>
          </w:p>
        </w:tc>
      </w:tr>
    </w:tbl>
    <w:p w14:paraId="21213468" w14:textId="77777777" w:rsidR="00C6131B" w:rsidRDefault="00C6131B">
      <w:pPr>
        <w:rPr>
          <w:b/>
          <w:bCs/>
          <w:color w:val="104F75"/>
          <w:sz w:val="28"/>
          <w:szCs w:val="28"/>
        </w:rPr>
      </w:pPr>
    </w:p>
    <w:p w14:paraId="2A7D5523" w14:textId="02FF8F18"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60C48EC5" w:rsidR="00E66558" w:rsidRDefault="00BE5136">
      <w:r>
        <w:t>Budgeted cost: £</w:t>
      </w:r>
      <w:r w:rsidR="00FC713F">
        <w:t>3</w:t>
      </w:r>
      <w:r w:rsidR="002A7731">
        <w:t>5</w:t>
      </w:r>
      <w:r w:rsidR="00FC713F">
        <w:t>,</w:t>
      </w:r>
      <w:r w:rsidR="002A7731">
        <w:t>980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9" w14:textId="19D468E8" w:rsidR="00E66558" w:rsidRPr="000C7175" w:rsidRDefault="00491EED">
            <w:pPr>
              <w:pStyle w:val="TableRow"/>
              <w:rPr>
                <w:sz w:val="22"/>
              </w:rPr>
            </w:pPr>
            <w:r w:rsidRPr="000C7175">
              <w:rPr>
                <w:sz w:val="22"/>
              </w:rPr>
              <w:lastRenderedPageBreak/>
              <w:t>Tuition outside the school day for children not on track to fulfil their potential.</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A" w14:textId="72DB6D2A" w:rsidR="00E66558" w:rsidRPr="000C7175" w:rsidRDefault="0019760A">
            <w:pPr>
              <w:pStyle w:val="TableRowCentered"/>
              <w:jc w:val="left"/>
              <w:rPr>
                <w:sz w:val="22"/>
                <w:szCs w:val="24"/>
              </w:rPr>
            </w:pPr>
            <w:r w:rsidRPr="000C7175">
              <w:rPr>
                <w:sz w:val="22"/>
                <w:szCs w:val="24"/>
              </w:rPr>
              <w:t>Education Endowment Foundation’s toolkit ( + 5 months)</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B" w14:textId="78F1EDA8" w:rsidR="00E66558" w:rsidRDefault="00491EED">
            <w:pPr>
              <w:pStyle w:val="TableRowCentered"/>
              <w:jc w:val="left"/>
              <w:rPr>
                <w:sz w:val="22"/>
              </w:rPr>
            </w:pPr>
            <w:r>
              <w:rPr>
                <w:sz w:val="22"/>
              </w:rPr>
              <w:t>1,</w:t>
            </w:r>
            <w:r w:rsidR="00A6040F">
              <w:rPr>
                <w:sz w:val="22"/>
              </w:rPr>
              <w:t xml:space="preserve"> </w:t>
            </w:r>
            <w:r>
              <w:rPr>
                <w:sz w:val="22"/>
              </w:rPr>
              <w:t>4,</w:t>
            </w:r>
            <w:r w:rsidR="00A6040F">
              <w:rPr>
                <w:sz w:val="22"/>
              </w:rPr>
              <w:t xml:space="preserve"> </w:t>
            </w:r>
            <w:r>
              <w:rPr>
                <w:sz w:val="22"/>
              </w:rPr>
              <w:t>6,</w:t>
            </w:r>
            <w:r w:rsidR="00A6040F">
              <w:rPr>
                <w:sz w:val="22"/>
              </w:rPr>
              <w:t xml:space="preserve"> </w:t>
            </w:r>
            <w:r>
              <w:rPr>
                <w:sz w:val="22"/>
              </w:rPr>
              <w:t>7</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D" w14:textId="060C6113" w:rsidR="00E66558" w:rsidRPr="00491EED" w:rsidRDefault="00491EED">
            <w:pPr>
              <w:pStyle w:val="TableRow"/>
              <w:rPr>
                <w:sz w:val="22"/>
              </w:rPr>
            </w:pPr>
            <w:r w:rsidRPr="00491EED">
              <w:rPr>
                <w:sz w:val="22"/>
              </w:rPr>
              <w:t>Structured interventions</w:t>
            </w:r>
            <w:r w:rsidR="00C6131B">
              <w:rPr>
                <w:sz w:val="22"/>
              </w:rPr>
              <w:t>, in particular</w:t>
            </w:r>
            <w:r w:rsidR="00E456B9">
              <w:rPr>
                <w:sz w:val="22"/>
              </w:rPr>
              <w:t>,</w:t>
            </w:r>
            <w:r w:rsidR="00C6131B">
              <w:rPr>
                <w:sz w:val="22"/>
              </w:rPr>
              <w:t xml:space="preserve"> </w:t>
            </w:r>
            <w:r w:rsidR="000C7175">
              <w:rPr>
                <w:sz w:val="22"/>
              </w:rPr>
              <w:t>English,</w:t>
            </w:r>
            <w:r w:rsidR="00C6131B">
              <w:rPr>
                <w:sz w:val="22"/>
              </w:rPr>
              <w:t xml:space="preserve"> every morning for targeted children</w:t>
            </w:r>
            <w:r w:rsidR="00E716D4">
              <w:rPr>
                <w:sz w:val="22"/>
              </w:rPr>
              <w:t>.</w:t>
            </w:r>
            <w:r>
              <w:rPr>
                <w:sz w:val="22"/>
              </w:rPr>
              <w:t xml:space="preserve"> </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E" w14:textId="66F7CD61" w:rsidR="00E66558" w:rsidRDefault="0019760A">
            <w:pPr>
              <w:pStyle w:val="TableRowCentered"/>
              <w:jc w:val="left"/>
              <w:rPr>
                <w:sz w:val="22"/>
              </w:rPr>
            </w:pPr>
            <w:r>
              <w:rPr>
                <w:sz w:val="22"/>
              </w:rPr>
              <w:t>Education Endowment Foundation’s toolkit ( + 6 months)</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F" w14:textId="507512B2" w:rsidR="00E66558" w:rsidRDefault="00491EED">
            <w:pPr>
              <w:pStyle w:val="TableRowCentered"/>
              <w:jc w:val="left"/>
              <w:rPr>
                <w:sz w:val="22"/>
              </w:rPr>
            </w:pPr>
            <w:r>
              <w:rPr>
                <w:sz w:val="22"/>
              </w:rPr>
              <w:t>1, 6</w:t>
            </w:r>
          </w:p>
        </w:tc>
      </w:tr>
      <w:tr w:rsidR="00AD36BB" w14:paraId="24E98C50"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974CB1" w14:textId="3694854B" w:rsidR="00AD36BB" w:rsidRPr="002A7731" w:rsidRDefault="00AD36BB">
            <w:pPr>
              <w:pStyle w:val="TableRow"/>
              <w:rPr>
                <w:sz w:val="22"/>
              </w:rPr>
            </w:pPr>
            <w:r w:rsidRPr="002A7731">
              <w:rPr>
                <w:sz w:val="22"/>
              </w:rPr>
              <w:t>Additional phonics sessions targeted at disadvantaged pupils who require further phonics support.</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661C48" w14:textId="243FF1A0" w:rsidR="00AD36BB" w:rsidRPr="002A7731" w:rsidRDefault="00AD36BB">
            <w:pPr>
              <w:pStyle w:val="TableRowCentered"/>
              <w:jc w:val="left"/>
              <w:rPr>
                <w:sz w:val="22"/>
              </w:rPr>
            </w:pPr>
            <w:r w:rsidRPr="002A7731">
              <w:rPr>
                <w:sz w:val="22"/>
              </w:rPr>
              <w:t xml:space="preserve">Phonics approaches have a strong evidence base indicating a positive impact on pupils, especially from a disadvantage background. </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57EB46" w14:textId="2892A3C8" w:rsidR="00AD36BB" w:rsidRPr="002A7731" w:rsidRDefault="00AD36BB">
            <w:pPr>
              <w:pStyle w:val="TableRowCentered"/>
              <w:jc w:val="left"/>
              <w:rPr>
                <w:sz w:val="22"/>
              </w:rPr>
            </w:pPr>
            <w:r w:rsidRPr="002A7731">
              <w:rPr>
                <w:sz w:val="22"/>
              </w:rPr>
              <w:t>2</w:t>
            </w:r>
          </w:p>
        </w:tc>
      </w:tr>
    </w:tbl>
    <w:p w14:paraId="2B430030" w14:textId="446B03C9" w:rsidR="001117F9" w:rsidRDefault="001117F9">
      <w:pPr>
        <w:spacing w:after="0"/>
        <w:rPr>
          <w:b/>
          <w:color w:val="104F75"/>
          <w:sz w:val="28"/>
          <w:szCs w:val="28"/>
        </w:rPr>
      </w:pPr>
    </w:p>
    <w:p w14:paraId="587D0165" w14:textId="77777777" w:rsidR="001117F9" w:rsidRDefault="001117F9">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159D13ED" w:rsidR="00E66558" w:rsidRDefault="00BE5136">
      <w:pPr>
        <w:spacing w:before="240" w:after="120"/>
      </w:pPr>
      <w:r>
        <w:t>Budgeted cost: £</w:t>
      </w:r>
      <w:r w:rsidR="00201FCC">
        <w:t>49,377</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8" w14:textId="04010FAB" w:rsidR="00E66558" w:rsidRDefault="00491EED">
            <w:pPr>
              <w:pStyle w:val="TableRow"/>
            </w:pPr>
            <w:r>
              <w:t>Provision of a fully enriched curriculum offer before, during and after the school day. This includes the provision of breakfast club, extra-curricular clubs, after school care provision, visits, visitors and residential visits.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9" w14:textId="512A7F96" w:rsidR="00E66558" w:rsidRDefault="0019760A">
            <w:pPr>
              <w:pStyle w:val="TableRowCentered"/>
              <w:jc w:val="left"/>
              <w:rPr>
                <w:sz w:val="22"/>
              </w:rPr>
            </w:pPr>
            <w:r>
              <w:rPr>
                <w:sz w:val="22"/>
              </w:rPr>
              <w:t>Education Endowment Foundation’s toolkit ( + 4 months)</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A" w14:textId="37C2B9A3" w:rsidR="00E66558" w:rsidRDefault="00491EED">
            <w:pPr>
              <w:pStyle w:val="TableRowCentered"/>
              <w:jc w:val="left"/>
              <w:rPr>
                <w:sz w:val="22"/>
              </w:rPr>
            </w:pPr>
            <w:r>
              <w:rPr>
                <w:sz w:val="22"/>
              </w:rPr>
              <w:t>1, 2, 3</w:t>
            </w:r>
          </w:p>
        </w:tc>
      </w:tr>
      <w:tr w:rsidR="00A6040F" w14:paraId="63B802FB"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4EDF51" w14:textId="21002908" w:rsidR="00A6040F" w:rsidRDefault="000C7175">
            <w:pPr>
              <w:pStyle w:val="TableRow"/>
            </w:pPr>
            <w:r>
              <w:t xml:space="preserve">Deployment of a Family Intervention Worker </w:t>
            </w:r>
            <w:r w:rsidR="00E456B9">
              <w:t>to address the social and emotional barriers to learning to enable children to access learning.</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DA19D0" w14:textId="666D766E" w:rsidR="00A6040F" w:rsidRDefault="0019760A">
            <w:pPr>
              <w:pStyle w:val="TableRowCentered"/>
              <w:jc w:val="left"/>
              <w:rPr>
                <w:sz w:val="22"/>
              </w:rPr>
            </w:pPr>
            <w:r>
              <w:rPr>
                <w:sz w:val="22"/>
              </w:rPr>
              <w:t>Education Endowment Foundation’s toolkit ( + 4 months)</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D3647" w14:textId="15683A5F" w:rsidR="00A6040F" w:rsidRDefault="00A6040F">
            <w:pPr>
              <w:pStyle w:val="TableRowCentered"/>
              <w:jc w:val="left"/>
              <w:rPr>
                <w:sz w:val="22"/>
              </w:rPr>
            </w:pPr>
            <w:r>
              <w:rPr>
                <w:sz w:val="22"/>
              </w:rPr>
              <w:t>1, 3, 5</w:t>
            </w:r>
          </w:p>
        </w:tc>
      </w:tr>
      <w:tr w:rsidR="0027707F" w14:paraId="04D9C8A1"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EBB9E5" w14:textId="7931B0C0" w:rsidR="0027707F" w:rsidRDefault="0027707F">
            <w:pPr>
              <w:pStyle w:val="TableRow"/>
            </w:pPr>
            <w:r>
              <w:t xml:space="preserve">Provision of a range of </w:t>
            </w:r>
            <w:r w:rsidR="00F41AC7">
              <w:t xml:space="preserve">sensory and play activities, particularly during break times to give children a more </w:t>
            </w:r>
            <w:r w:rsidR="00F41AC7">
              <w:lastRenderedPageBreak/>
              <w:t>structured break from their learning.</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47724F" w14:textId="4B5FE198" w:rsidR="0027707F" w:rsidRDefault="0027707F">
            <w:pPr>
              <w:pStyle w:val="TableRowCentered"/>
              <w:jc w:val="left"/>
              <w:rPr>
                <w:sz w:val="22"/>
              </w:rPr>
            </w:pPr>
            <w:r>
              <w:rPr>
                <w:sz w:val="22"/>
              </w:rPr>
              <w:lastRenderedPageBreak/>
              <w:t>Education Endowment Foundation’s toolkit ( + 4 months)</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94505" w14:textId="385E6A32" w:rsidR="0027707F" w:rsidRDefault="0027707F">
            <w:pPr>
              <w:pStyle w:val="TableRowCentered"/>
              <w:jc w:val="left"/>
              <w:rPr>
                <w:sz w:val="22"/>
              </w:rPr>
            </w:pPr>
            <w:r>
              <w:rPr>
                <w:sz w:val="22"/>
              </w:rPr>
              <w:t>1, 3</w:t>
            </w:r>
          </w:p>
        </w:tc>
      </w:tr>
    </w:tbl>
    <w:p w14:paraId="2A7D5540" w14:textId="77777777" w:rsidR="00E66558" w:rsidRDefault="00E66558">
      <w:pPr>
        <w:spacing w:before="240" w:after="0"/>
        <w:rPr>
          <w:b/>
          <w:bCs/>
          <w:color w:val="104F75"/>
          <w:sz w:val="28"/>
          <w:szCs w:val="28"/>
        </w:rPr>
      </w:pPr>
    </w:p>
    <w:p w14:paraId="2A7D5541" w14:textId="35FB6F28" w:rsidR="00B21F42" w:rsidRDefault="00BE5136" w:rsidP="00120AB1">
      <w:pPr>
        <w:rPr>
          <w:b/>
          <w:bCs/>
          <w:color w:val="104F75"/>
          <w:sz w:val="28"/>
          <w:szCs w:val="28"/>
        </w:rPr>
      </w:pPr>
      <w:r>
        <w:rPr>
          <w:b/>
          <w:bCs/>
          <w:color w:val="104F75"/>
          <w:sz w:val="28"/>
          <w:szCs w:val="28"/>
        </w:rPr>
        <w:t>Total budgeted cost: £1</w:t>
      </w:r>
      <w:r w:rsidR="00201FCC">
        <w:rPr>
          <w:b/>
          <w:bCs/>
          <w:color w:val="104F75"/>
          <w:sz w:val="28"/>
          <w:szCs w:val="28"/>
        </w:rPr>
        <w:t>1</w:t>
      </w:r>
      <w:r w:rsidR="002A7731">
        <w:rPr>
          <w:b/>
          <w:bCs/>
          <w:color w:val="104F75"/>
          <w:sz w:val="28"/>
          <w:szCs w:val="28"/>
        </w:rPr>
        <w:t>5</w:t>
      </w:r>
      <w:r w:rsidR="00201FCC">
        <w:rPr>
          <w:b/>
          <w:bCs/>
          <w:color w:val="104F75"/>
          <w:sz w:val="28"/>
          <w:szCs w:val="28"/>
        </w:rPr>
        <w:t>,</w:t>
      </w:r>
      <w:r w:rsidR="002A7731">
        <w:rPr>
          <w:b/>
          <w:bCs/>
          <w:color w:val="104F75"/>
          <w:sz w:val="28"/>
          <w:szCs w:val="28"/>
        </w:rPr>
        <w:t>895</w:t>
      </w:r>
    </w:p>
    <w:p w14:paraId="09E41173" w14:textId="77777777" w:rsidR="00B21F42" w:rsidRDefault="00B21F42">
      <w:pPr>
        <w:suppressAutoHyphens w:val="0"/>
        <w:spacing w:after="0" w:line="240" w:lineRule="auto"/>
        <w:rPr>
          <w:b/>
          <w:bCs/>
          <w:color w:val="104F75"/>
          <w:sz w:val="28"/>
          <w:szCs w:val="28"/>
        </w:rPr>
      </w:pPr>
      <w:r>
        <w:rPr>
          <w:b/>
          <w:bCs/>
          <w:color w:val="104F75"/>
          <w:sz w:val="28"/>
          <w:szCs w:val="28"/>
        </w:rPr>
        <w:br w:type="page"/>
      </w:r>
    </w:p>
    <w:p w14:paraId="3224CCF2" w14:textId="77777777" w:rsidR="00B21F42" w:rsidRPr="00B21F42" w:rsidRDefault="00B21F42" w:rsidP="00B21F42">
      <w:pPr>
        <w:rPr>
          <w:b/>
        </w:rPr>
      </w:pPr>
      <w:r w:rsidRPr="00B21F42">
        <w:rPr>
          <w:b/>
        </w:rPr>
        <w:lastRenderedPageBreak/>
        <w:t>Part B: Review of outcomes in the previous academic year</w:t>
      </w:r>
    </w:p>
    <w:p w14:paraId="48D73AF4" w14:textId="77777777" w:rsidR="00B21F42" w:rsidRPr="00B21F42" w:rsidRDefault="00B21F42" w:rsidP="00B21F42">
      <w:pPr>
        <w:rPr>
          <w:b/>
        </w:rPr>
      </w:pPr>
      <w:r w:rsidRPr="00B21F42">
        <w:rPr>
          <w:b/>
        </w:rPr>
        <w:t>Pupil premium strategy outcomes</w:t>
      </w:r>
    </w:p>
    <w:p w14:paraId="03FD70B8" w14:textId="77777777" w:rsidR="00B21F42" w:rsidRPr="00B21F42" w:rsidRDefault="00B21F42" w:rsidP="00B21F42">
      <w:r w:rsidRPr="00B21F42">
        <w:t>This details the impact that our pupil premium activity had on pupils in the 2024 to 2025 academic year. It also details the impact that our pupil premium activity had on pupils pre-pandemic.</w:t>
      </w:r>
    </w:p>
    <w:tbl>
      <w:tblPr>
        <w:tblW w:w="9493" w:type="dxa"/>
        <w:tblCellMar>
          <w:left w:w="10" w:type="dxa"/>
          <w:right w:w="10" w:type="dxa"/>
        </w:tblCellMar>
        <w:tblLook w:val="04A0" w:firstRow="1" w:lastRow="0" w:firstColumn="1" w:lastColumn="0" w:noHBand="0" w:noVBand="1"/>
      </w:tblPr>
      <w:tblGrid>
        <w:gridCol w:w="9726"/>
      </w:tblGrid>
      <w:tr w:rsidR="00B21F42" w:rsidRPr="00B21F42" w14:paraId="6A7478F9" w14:textId="77777777">
        <w:trPr>
          <w:trHeight w:val="1102"/>
        </w:trPr>
        <w:tc>
          <w:tcPr>
            <w:tcW w:w="9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DA00A9" w14:textId="77777777" w:rsidR="00B21F42" w:rsidRPr="00B21F42" w:rsidRDefault="00B21F42" w:rsidP="00B21F42">
            <w:r w:rsidRPr="00B21F42">
              <w:t>We have analysed the performance of our school’s disadvantaged pupils over the previous academic year, drawing on national assessment data as well as our own internal summative and formative assessments. To assess how well our disadvantaged pupils are achieving, we have compared their results with those of both disadvantaged and non-disadvantaged pupils nationally, as well as with the outcomes of our own non-disadvantaged pupils.</w:t>
            </w:r>
          </w:p>
          <w:p w14:paraId="4258279D" w14:textId="77777777" w:rsidR="00B21F42" w:rsidRPr="00B21F42" w:rsidRDefault="00B21F42" w:rsidP="00B21F42">
            <w:pPr>
              <w:rPr>
                <w:b/>
                <w:bCs/>
              </w:rPr>
            </w:pPr>
            <w:r w:rsidRPr="00B21F42">
              <w:rPr>
                <w:b/>
                <w:bCs/>
              </w:rPr>
              <w:t>Reading attainment:</w:t>
            </w:r>
          </w:p>
          <w:tbl>
            <w:tblPr>
              <w:tblStyle w:val="TableGrid"/>
              <w:tblW w:w="0" w:type="auto"/>
              <w:tblLook w:val="04A0" w:firstRow="1" w:lastRow="0" w:firstColumn="1" w:lastColumn="0" w:noHBand="0" w:noVBand="1"/>
            </w:tblPr>
            <w:tblGrid>
              <w:gridCol w:w="2316"/>
              <w:gridCol w:w="2317"/>
              <w:gridCol w:w="2317"/>
              <w:gridCol w:w="2317"/>
            </w:tblGrid>
            <w:tr w:rsidR="00B21F42" w:rsidRPr="00B21F42" w14:paraId="4F084B91" w14:textId="77777777">
              <w:tc>
                <w:tcPr>
                  <w:tcW w:w="2316" w:type="dxa"/>
                  <w:tcBorders>
                    <w:top w:val="single" w:sz="4" w:space="0" w:color="auto"/>
                    <w:left w:val="single" w:sz="4" w:space="0" w:color="auto"/>
                    <w:bottom w:val="single" w:sz="4" w:space="0" w:color="auto"/>
                    <w:right w:val="single" w:sz="4" w:space="0" w:color="auto"/>
                  </w:tcBorders>
                </w:tcPr>
                <w:p w14:paraId="4AF4922B" w14:textId="77777777" w:rsidR="00B21F42" w:rsidRPr="00B21F42" w:rsidRDefault="00B21F42" w:rsidP="00B21F42">
                  <w:pPr>
                    <w:autoSpaceDN w:val="0"/>
                  </w:pPr>
                </w:p>
              </w:tc>
              <w:tc>
                <w:tcPr>
                  <w:tcW w:w="2317" w:type="dxa"/>
                  <w:tcBorders>
                    <w:top w:val="single" w:sz="4" w:space="0" w:color="auto"/>
                    <w:left w:val="single" w:sz="4" w:space="0" w:color="auto"/>
                    <w:bottom w:val="single" w:sz="4" w:space="0" w:color="auto"/>
                    <w:right w:val="single" w:sz="4" w:space="0" w:color="auto"/>
                  </w:tcBorders>
                  <w:hideMark/>
                </w:tcPr>
                <w:p w14:paraId="2398572F" w14:textId="77777777" w:rsidR="00B21F42" w:rsidRPr="00B21F42" w:rsidRDefault="00B21F42" w:rsidP="00B21F42">
                  <w:pPr>
                    <w:autoSpaceDN w:val="0"/>
                  </w:pPr>
                  <w:r w:rsidRPr="00B21F42">
                    <w:t>22/23</w:t>
                  </w:r>
                </w:p>
              </w:tc>
              <w:tc>
                <w:tcPr>
                  <w:tcW w:w="2317" w:type="dxa"/>
                  <w:tcBorders>
                    <w:top w:val="single" w:sz="4" w:space="0" w:color="auto"/>
                    <w:left w:val="single" w:sz="4" w:space="0" w:color="auto"/>
                    <w:bottom w:val="single" w:sz="4" w:space="0" w:color="auto"/>
                    <w:right w:val="single" w:sz="4" w:space="0" w:color="auto"/>
                  </w:tcBorders>
                  <w:hideMark/>
                </w:tcPr>
                <w:p w14:paraId="26557E91" w14:textId="77777777" w:rsidR="00B21F42" w:rsidRPr="00B21F42" w:rsidRDefault="00B21F42" w:rsidP="00B21F42">
                  <w:pPr>
                    <w:autoSpaceDN w:val="0"/>
                  </w:pPr>
                  <w:r w:rsidRPr="00B21F42">
                    <w:t>23/24</w:t>
                  </w:r>
                </w:p>
              </w:tc>
              <w:tc>
                <w:tcPr>
                  <w:tcW w:w="2317" w:type="dxa"/>
                  <w:tcBorders>
                    <w:top w:val="single" w:sz="4" w:space="0" w:color="auto"/>
                    <w:left w:val="single" w:sz="4" w:space="0" w:color="auto"/>
                    <w:bottom w:val="single" w:sz="4" w:space="0" w:color="auto"/>
                    <w:right w:val="single" w:sz="4" w:space="0" w:color="auto"/>
                  </w:tcBorders>
                  <w:hideMark/>
                </w:tcPr>
                <w:p w14:paraId="38E54802" w14:textId="77777777" w:rsidR="00B21F42" w:rsidRPr="00B21F42" w:rsidRDefault="00B21F42" w:rsidP="00B21F42">
                  <w:pPr>
                    <w:autoSpaceDN w:val="0"/>
                  </w:pPr>
                  <w:r w:rsidRPr="00B21F42">
                    <w:t>24/25</w:t>
                  </w:r>
                </w:p>
              </w:tc>
            </w:tr>
            <w:tr w:rsidR="00B21F42" w:rsidRPr="00B21F42" w14:paraId="0952B8FD" w14:textId="77777777">
              <w:trPr>
                <w:trHeight w:val="785"/>
              </w:trPr>
              <w:tc>
                <w:tcPr>
                  <w:tcW w:w="2316" w:type="dxa"/>
                  <w:tcBorders>
                    <w:top w:val="single" w:sz="4" w:space="0" w:color="auto"/>
                    <w:left w:val="single" w:sz="4" w:space="0" w:color="auto"/>
                    <w:bottom w:val="single" w:sz="4" w:space="0" w:color="auto"/>
                    <w:right w:val="single" w:sz="4" w:space="0" w:color="auto"/>
                  </w:tcBorders>
                  <w:hideMark/>
                </w:tcPr>
                <w:p w14:paraId="0C47E786" w14:textId="77777777" w:rsidR="00B21F42" w:rsidRPr="00B21F42" w:rsidRDefault="00B21F42" w:rsidP="00B21F42">
                  <w:pPr>
                    <w:autoSpaceDN w:val="0"/>
                  </w:pPr>
                  <w:r w:rsidRPr="00B21F42">
                    <w:t>Pupil Premium children</w:t>
                  </w:r>
                </w:p>
              </w:tc>
              <w:tc>
                <w:tcPr>
                  <w:tcW w:w="2317" w:type="dxa"/>
                  <w:tcBorders>
                    <w:top w:val="single" w:sz="4" w:space="0" w:color="auto"/>
                    <w:left w:val="single" w:sz="4" w:space="0" w:color="auto"/>
                    <w:bottom w:val="single" w:sz="4" w:space="0" w:color="auto"/>
                    <w:right w:val="single" w:sz="4" w:space="0" w:color="auto"/>
                  </w:tcBorders>
                  <w:hideMark/>
                </w:tcPr>
                <w:p w14:paraId="3D89BE18" w14:textId="77777777" w:rsidR="00B21F42" w:rsidRPr="00B21F42" w:rsidRDefault="00B21F42" w:rsidP="00B21F42">
                  <w:pPr>
                    <w:autoSpaceDN w:val="0"/>
                  </w:pPr>
                  <w:r w:rsidRPr="00B21F42">
                    <w:t>63.6%</w:t>
                  </w:r>
                </w:p>
              </w:tc>
              <w:tc>
                <w:tcPr>
                  <w:tcW w:w="2317" w:type="dxa"/>
                  <w:tcBorders>
                    <w:top w:val="single" w:sz="4" w:space="0" w:color="auto"/>
                    <w:left w:val="single" w:sz="4" w:space="0" w:color="auto"/>
                    <w:bottom w:val="single" w:sz="4" w:space="0" w:color="auto"/>
                    <w:right w:val="single" w:sz="4" w:space="0" w:color="auto"/>
                  </w:tcBorders>
                  <w:hideMark/>
                </w:tcPr>
                <w:p w14:paraId="684E8452" w14:textId="77777777" w:rsidR="00B21F42" w:rsidRPr="00B21F42" w:rsidRDefault="00B21F42" w:rsidP="00B21F42">
                  <w:pPr>
                    <w:autoSpaceDN w:val="0"/>
                  </w:pPr>
                  <w:r w:rsidRPr="00B21F42">
                    <w:t>78.6%</w:t>
                  </w:r>
                </w:p>
              </w:tc>
              <w:tc>
                <w:tcPr>
                  <w:tcW w:w="2317" w:type="dxa"/>
                  <w:tcBorders>
                    <w:top w:val="single" w:sz="4" w:space="0" w:color="auto"/>
                    <w:left w:val="single" w:sz="4" w:space="0" w:color="auto"/>
                    <w:bottom w:val="single" w:sz="4" w:space="0" w:color="auto"/>
                    <w:right w:val="single" w:sz="4" w:space="0" w:color="auto"/>
                  </w:tcBorders>
                  <w:hideMark/>
                </w:tcPr>
                <w:p w14:paraId="27372352" w14:textId="77777777" w:rsidR="00B21F42" w:rsidRPr="00B21F42" w:rsidRDefault="00B21F42" w:rsidP="00B21F42">
                  <w:pPr>
                    <w:autoSpaceDN w:val="0"/>
                  </w:pPr>
                  <w:r w:rsidRPr="00B21F42">
                    <w:t>50%</w:t>
                  </w:r>
                </w:p>
              </w:tc>
            </w:tr>
            <w:tr w:rsidR="00B21F42" w:rsidRPr="00B21F42" w14:paraId="56B13F10" w14:textId="77777777">
              <w:tc>
                <w:tcPr>
                  <w:tcW w:w="2316" w:type="dxa"/>
                  <w:tcBorders>
                    <w:top w:val="single" w:sz="4" w:space="0" w:color="auto"/>
                    <w:left w:val="single" w:sz="4" w:space="0" w:color="auto"/>
                    <w:bottom w:val="single" w:sz="4" w:space="0" w:color="auto"/>
                    <w:right w:val="single" w:sz="4" w:space="0" w:color="auto"/>
                  </w:tcBorders>
                  <w:hideMark/>
                </w:tcPr>
                <w:p w14:paraId="458F7E3A" w14:textId="77777777" w:rsidR="00B21F42" w:rsidRPr="00B21F42" w:rsidRDefault="00B21F42" w:rsidP="00B21F42">
                  <w:pPr>
                    <w:autoSpaceDN w:val="0"/>
                  </w:pPr>
                  <w:r w:rsidRPr="00B21F42">
                    <w:t>Non Pupil Premium</w:t>
                  </w:r>
                </w:p>
              </w:tc>
              <w:tc>
                <w:tcPr>
                  <w:tcW w:w="2317" w:type="dxa"/>
                  <w:tcBorders>
                    <w:top w:val="single" w:sz="4" w:space="0" w:color="auto"/>
                    <w:left w:val="single" w:sz="4" w:space="0" w:color="auto"/>
                    <w:bottom w:val="single" w:sz="4" w:space="0" w:color="auto"/>
                    <w:right w:val="single" w:sz="4" w:space="0" w:color="auto"/>
                  </w:tcBorders>
                  <w:hideMark/>
                </w:tcPr>
                <w:p w14:paraId="2CEA5961" w14:textId="77777777" w:rsidR="00B21F42" w:rsidRPr="00B21F42" w:rsidRDefault="00B21F42" w:rsidP="00B21F42">
                  <w:pPr>
                    <w:autoSpaceDN w:val="0"/>
                  </w:pPr>
                  <w:r w:rsidRPr="00B21F42">
                    <w:t>50%</w:t>
                  </w:r>
                </w:p>
              </w:tc>
              <w:tc>
                <w:tcPr>
                  <w:tcW w:w="2317" w:type="dxa"/>
                  <w:tcBorders>
                    <w:top w:val="single" w:sz="4" w:space="0" w:color="auto"/>
                    <w:left w:val="single" w:sz="4" w:space="0" w:color="auto"/>
                    <w:bottom w:val="single" w:sz="4" w:space="0" w:color="auto"/>
                    <w:right w:val="single" w:sz="4" w:space="0" w:color="auto"/>
                  </w:tcBorders>
                  <w:hideMark/>
                </w:tcPr>
                <w:p w14:paraId="35739DB4" w14:textId="77777777" w:rsidR="00B21F42" w:rsidRPr="00B21F42" w:rsidRDefault="00B21F42" w:rsidP="00B21F42">
                  <w:pPr>
                    <w:autoSpaceDN w:val="0"/>
                  </w:pPr>
                  <w:r w:rsidRPr="00B21F42">
                    <w:t>64.7%</w:t>
                  </w:r>
                </w:p>
              </w:tc>
              <w:tc>
                <w:tcPr>
                  <w:tcW w:w="2317" w:type="dxa"/>
                  <w:tcBorders>
                    <w:top w:val="single" w:sz="4" w:space="0" w:color="auto"/>
                    <w:left w:val="single" w:sz="4" w:space="0" w:color="auto"/>
                    <w:bottom w:val="single" w:sz="4" w:space="0" w:color="auto"/>
                    <w:right w:val="single" w:sz="4" w:space="0" w:color="auto"/>
                  </w:tcBorders>
                  <w:hideMark/>
                </w:tcPr>
                <w:p w14:paraId="2F75D676" w14:textId="77777777" w:rsidR="00B21F42" w:rsidRPr="00B21F42" w:rsidRDefault="00B21F42" w:rsidP="00B21F42">
                  <w:pPr>
                    <w:autoSpaceDN w:val="0"/>
                  </w:pPr>
                  <w:r w:rsidRPr="00B21F42">
                    <w:t>77.8%</w:t>
                  </w:r>
                </w:p>
              </w:tc>
            </w:tr>
          </w:tbl>
          <w:p w14:paraId="68CD2C9D" w14:textId="77777777" w:rsidR="00B21F42" w:rsidRPr="00B21F42" w:rsidRDefault="00B21F42" w:rsidP="00B21F42"/>
          <w:p w14:paraId="22358124" w14:textId="77777777" w:rsidR="00B21F42" w:rsidRPr="00B21F42" w:rsidRDefault="00B21F42" w:rsidP="00B21F42">
            <w:r w:rsidRPr="00B21F42">
              <w:rPr>
                <w:b/>
                <w:bCs/>
              </w:rPr>
              <w:t>Reading progress:</w:t>
            </w:r>
            <w:r w:rsidRPr="00B21F42">
              <w:t xml:space="preserve"> In Year 5 (2023-2024), 15% of the pupil premium children met the expected standard in reading. An additional 35% made good progress and achieved the expected standard by the end of Year 6.</w:t>
            </w:r>
          </w:p>
          <w:p w14:paraId="79A81073" w14:textId="773B4F70" w:rsidR="00B21F42" w:rsidRPr="00B21F42" w:rsidRDefault="00B21F42" w:rsidP="00B21F42">
            <w:r w:rsidRPr="00B21F42">
              <w:rPr>
                <w:noProof/>
              </w:rPr>
              <w:drawing>
                <wp:inline distT="0" distB="0" distL="0" distR="0" wp14:anchorId="331958F9" wp14:editId="4F6BD79C">
                  <wp:extent cx="6029325" cy="333375"/>
                  <wp:effectExtent l="0" t="0" r="9525" b="9525"/>
                  <wp:docPr id="103227973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29325" cy="333375"/>
                          </a:xfrm>
                          <a:prstGeom prst="rect">
                            <a:avLst/>
                          </a:prstGeom>
                          <a:noFill/>
                          <a:ln>
                            <a:noFill/>
                          </a:ln>
                        </pic:spPr>
                      </pic:pic>
                    </a:graphicData>
                  </a:graphic>
                </wp:inline>
              </w:drawing>
            </w:r>
          </w:p>
          <w:p w14:paraId="3F8C0BD5" w14:textId="77777777" w:rsidR="00B21F42" w:rsidRPr="00B21F42" w:rsidRDefault="00B21F42" w:rsidP="00B21F42">
            <w:r w:rsidRPr="00B21F42">
              <w:t xml:space="preserve">Reading features on the SDP as a priority for this academic year (2025-2026) due to the decrease of Pupil Premium children not achieving the expected standard. Planned targeted intervention has been timetabled for the Pupil Premium children. </w:t>
            </w:r>
          </w:p>
          <w:p w14:paraId="7AAEAE30" w14:textId="77777777" w:rsidR="00B21F42" w:rsidRPr="00B21F42" w:rsidRDefault="00B21F42" w:rsidP="00B21F42">
            <w:pPr>
              <w:rPr>
                <w:b/>
                <w:bCs/>
              </w:rPr>
            </w:pPr>
            <w:r w:rsidRPr="00B21F42">
              <w:rPr>
                <w:b/>
                <w:bCs/>
              </w:rPr>
              <w:t>Maths attainment:</w:t>
            </w:r>
          </w:p>
          <w:tbl>
            <w:tblPr>
              <w:tblStyle w:val="TableGrid"/>
              <w:tblW w:w="0" w:type="auto"/>
              <w:tblLook w:val="04A0" w:firstRow="1" w:lastRow="0" w:firstColumn="1" w:lastColumn="0" w:noHBand="0" w:noVBand="1"/>
            </w:tblPr>
            <w:tblGrid>
              <w:gridCol w:w="2316"/>
              <w:gridCol w:w="2317"/>
              <w:gridCol w:w="2317"/>
              <w:gridCol w:w="2317"/>
            </w:tblGrid>
            <w:tr w:rsidR="00B21F42" w:rsidRPr="00B21F42" w14:paraId="39DFE65B" w14:textId="77777777">
              <w:tc>
                <w:tcPr>
                  <w:tcW w:w="2316" w:type="dxa"/>
                  <w:tcBorders>
                    <w:top w:val="single" w:sz="4" w:space="0" w:color="auto"/>
                    <w:left w:val="single" w:sz="4" w:space="0" w:color="auto"/>
                    <w:bottom w:val="single" w:sz="4" w:space="0" w:color="auto"/>
                    <w:right w:val="single" w:sz="4" w:space="0" w:color="auto"/>
                  </w:tcBorders>
                </w:tcPr>
                <w:p w14:paraId="1A5D500A" w14:textId="77777777" w:rsidR="00B21F42" w:rsidRPr="00B21F42" w:rsidRDefault="00B21F42" w:rsidP="00B21F42">
                  <w:pPr>
                    <w:autoSpaceDN w:val="0"/>
                  </w:pPr>
                </w:p>
              </w:tc>
              <w:tc>
                <w:tcPr>
                  <w:tcW w:w="2317" w:type="dxa"/>
                  <w:tcBorders>
                    <w:top w:val="single" w:sz="4" w:space="0" w:color="auto"/>
                    <w:left w:val="single" w:sz="4" w:space="0" w:color="auto"/>
                    <w:bottom w:val="single" w:sz="4" w:space="0" w:color="auto"/>
                    <w:right w:val="single" w:sz="4" w:space="0" w:color="auto"/>
                  </w:tcBorders>
                  <w:hideMark/>
                </w:tcPr>
                <w:p w14:paraId="08D458FE" w14:textId="77777777" w:rsidR="00B21F42" w:rsidRPr="00B21F42" w:rsidRDefault="00B21F42" w:rsidP="00B21F42">
                  <w:pPr>
                    <w:autoSpaceDN w:val="0"/>
                  </w:pPr>
                  <w:r w:rsidRPr="00B21F42">
                    <w:t>22/23</w:t>
                  </w:r>
                </w:p>
              </w:tc>
              <w:tc>
                <w:tcPr>
                  <w:tcW w:w="2317" w:type="dxa"/>
                  <w:tcBorders>
                    <w:top w:val="single" w:sz="4" w:space="0" w:color="auto"/>
                    <w:left w:val="single" w:sz="4" w:space="0" w:color="auto"/>
                    <w:bottom w:val="single" w:sz="4" w:space="0" w:color="auto"/>
                    <w:right w:val="single" w:sz="4" w:space="0" w:color="auto"/>
                  </w:tcBorders>
                  <w:hideMark/>
                </w:tcPr>
                <w:p w14:paraId="5566B514" w14:textId="77777777" w:rsidR="00B21F42" w:rsidRPr="00B21F42" w:rsidRDefault="00B21F42" w:rsidP="00B21F42">
                  <w:pPr>
                    <w:autoSpaceDN w:val="0"/>
                  </w:pPr>
                  <w:r w:rsidRPr="00B21F42">
                    <w:t>23/24</w:t>
                  </w:r>
                </w:p>
              </w:tc>
              <w:tc>
                <w:tcPr>
                  <w:tcW w:w="2317" w:type="dxa"/>
                  <w:tcBorders>
                    <w:top w:val="single" w:sz="4" w:space="0" w:color="auto"/>
                    <w:left w:val="single" w:sz="4" w:space="0" w:color="auto"/>
                    <w:bottom w:val="single" w:sz="4" w:space="0" w:color="auto"/>
                    <w:right w:val="single" w:sz="4" w:space="0" w:color="auto"/>
                  </w:tcBorders>
                  <w:hideMark/>
                </w:tcPr>
                <w:p w14:paraId="603DB1EE" w14:textId="77777777" w:rsidR="00B21F42" w:rsidRPr="00B21F42" w:rsidRDefault="00B21F42" w:rsidP="00B21F42">
                  <w:pPr>
                    <w:autoSpaceDN w:val="0"/>
                  </w:pPr>
                  <w:r w:rsidRPr="00B21F42">
                    <w:t>24/25</w:t>
                  </w:r>
                </w:p>
              </w:tc>
            </w:tr>
            <w:tr w:rsidR="00B21F42" w:rsidRPr="00B21F42" w14:paraId="16DAB601" w14:textId="77777777">
              <w:tc>
                <w:tcPr>
                  <w:tcW w:w="2316" w:type="dxa"/>
                  <w:tcBorders>
                    <w:top w:val="single" w:sz="4" w:space="0" w:color="auto"/>
                    <w:left w:val="single" w:sz="4" w:space="0" w:color="auto"/>
                    <w:bottom w:val="single" w:sz="4" w:space="0" w:color="auto"/>
                    <w:right w:val="single" w:sz="4" w:space="0" w:color="auto"/>
                  </w:tcBorders>
                  <w:hideMark/>
                </w:tcPr>
                <w:p w14:paraId="5D95044D" w14:textId="77777777" w:rsidR="00B21F42" w:rsidRPr="00B21F42" w:rsidRDefault="00B21F42" w:rsidP="00B21F42">
                  <w:pPr>
                    <w:autoSpaceDN w:val="0"/>
                  </w:pPr>
                  <w:r w:rsidRPr="00B21F42">
                    <w:t>Pupil Premium children</w:t>
                  </w:r>
                </w:p>
              </w:tc>
              <w:tc>
                <w:tcPr>
                  <w:tcW w:w="2317" w:type="dxa"/>
                  <w:tcBorders>
                    <w:top w:val="single" w:sz="4" w:space="0" w:color="auto"/>
                    <w:left w:val="single" w:sz="4" w:space="0" w:color="auto"/>
                    <w:bottom w:val="single" w:sz="4" w:space="0" w:color="auto"/>
                    <w:right w:val="single" w:sz="4" w:space="0" w:color="auto"/>
                  </w:tcBorders>
                  <w:hideMark/>
                </w:tcPr>
                <w:p w14:paraId="38D2F69C" w14:textId="77777777" w:rsidR="00B21F42" w:rsidRPr="00B21F42" w:rsidRDefault="00B21F42" w:rsidP="00B21F42">
                  <w:pPr>
                    <w:autoSpaceDN w:val="0"/>
                  </w:pPr>
                  <w:r w:rsidRPr="00B21F42">
                    <w:t>72.7%</w:t>
                  </w:r>
                </w:p>
              </w:tc>
              <w:tc>
                <w:tcPr>
                  <w:tcW w:w="2317" w:type="dxa"/>
                  <w:tcBorders>
                    <w:top w:val="single" w:sz="4" w:space="0" w:color="auto"/>
                    <w:left w:val="single" w:sz="4" w:space="0" w:color="auto"/>
                    <w:bottom w:val="single" w:sz="4" w:space="0" w:color="auto"/>
                    <w:right w:val="single" w:sz="4" w:space="0" w:color="auto"/>
                  </w:tcBorders>
                  <w:hideMark/>
                </w:tcPr>
                <w:p w14:paraId="104B8316" w14:textId="77777777" w:rsidR="00B21F42" w:rsidRPr="00B21F42" w:rsidRDefault="00B21F42" w:rsidP="00B21F42">
                  <w:pPr>
                    <w:autoSpaceDN w:val="0"/>
                  </w:pPr>
                  <w:r w:rsidRPr="00B21F42">
                    <w:t>57.1%</w:t>
                  </w:r>
                </w:p>
              </w:tc>
              <w:tc>
                <w:tcPr>
                  <w:tcW w:w="2317" w:type="dxa"/>
                  <w:tcBorders>
                    <w:top w:val="single" w:sz="4" w:space="0" w:color="auto"/>
                    <w:left w:val="single" w:sz="4" w:space="0" w:color="auto"/>
                    <w:bottom w:val="single" w:sz="4" w:space="0" w:color="auto"/>
                    <w:right w:val="single" w:sz="4" w:space="0" w:color="auto"/>
                  </w:tcBorders>
                  <w:hideMark/>
                </w:tcPr>
                <w:p w14:paraId="3BF09040" w14:textId="77777777" w:rsidR="00B21F42" w:rsidRPr="00B21F42" w:rsidRDefault="00B21F42" w:rsidP="00B21F42">
                  <w:pPr>
                    <w:autoSpaceDN w:val="0"/>
                  </w:pPr>
                  <w:r w:rsidRPr="00B21F42">
                    <w:t>78.6%</w:t>
                  </w:r>
                </w:p>
              </w:tc>
            </w:tr>
            <w:tr w:rsidR="00B21F42" w:rsidRPr="00B21F42" w14:paraId="6530ED25" w14:textId="77777777">
              <w:tc>
                <w:tcPr>
                  <w:tcW w:w="2316" w:type="dxa"/>
                  <w:tcBorders>
                    <w:top w:val="single" w:sz="4" w:space="0" w:color="auto"/>
                    <w:left w:val="single" w:sz="4" w:space="0" w:color="auto"/>
                    <w:bottom w:val="single" w:sz="4" w:space="0" w:color="auto"/>
                    <w:right w:val="single" w:sz="4" w:space="0" w:color="auto"/>
                  </w:tcBorders>
                  <w:hideMark/>
                </w:tcPr>
                <w:p w14:paraId="5F84F42A" w14:textId="77777777" w:rsidR="00B21F42" w:rsidRPr="00B21F42" w:rsidRDefault="00B21F42" w:rsidP="00B21F42">
                  <w:pPr>
                    <w:autoSpaceDN w:val="0"/>
                  </w:pPr>
                  <w:r w:rsidRPr="00B21F42">
                    <w:t>Non Pupil Premium</w:t>
                  </w:r>
                </w:p>
              </w:tc>
              <w:tc>
                <w:tcPr>
                  <w:tcW w:w="2317" w:type="dxa"/>
                  <w:tcBorders>
                    <w:top w:val="single" w:sz="4" w:space="0" w:color="auto"/>
                    <w:left w:val="single" w:sz="4" w:space="0" w:color="auto"/>
                    <w:bottom w:val="single" w:sz="4" w:space="0" w:color="auto"/>
                    <w:right w:val="single" w:sz="4" w:space="0" w:color="auto"/>
                  </w:tcBorders>
                  <w:hideMark/>
                </w:tcPr>
                <w:p w14:paraId="0A97EB1E" w14:textId="77777777" w:rsidR="00B21F42" w:rsidRPr="00B21F42" w:rsidRDefault="00B21F42" w:rsidP="00B21F42">
                  <w:pPr>
                    <w:autoSpaceDN w:val="0"/>
                  </w:pPr>
                  <w:r w:rsidRPr="00B21F42">
                    <w:t>85%</w:t>
                  </w:r>
                </w:p>
              </w:tc>
              <w:tc>
                <w:tcPr>
                  <w:tcW w:w="2317" w:type="dxa"/>
                  <w:tcBorders>
                    <w:top w:val="single" w:sz="4" w:space="0" w:color="auto"/>
                    <w:left w:val="single" w:sz="4" w:space="0" w:color="auto"/>
                    <w:bottom w:val="single" w:sz="4" w:space="0" w:color="auto"/>
                    <w:right w:val="single" w:sz="4" w:space="0" w:color="auto"/>
                  </w:tcBorders>
                  <w:hideMark/>
                </w:tcPr>
                <w:p w14:paraId="01239B0B" w14:textId="77777777" w:rsidR="00B21F42" w:rsidRPr="00B21F42" w:rsidRDefault="00B21F42" w:rsidP="00B21F42">
                  <w:pPr>
                    <w:autoSpaceDN w:val="0"/>
                  </w:pPr>
                  <w:r w:rsidRPr="00B21F42">
                    <w:t>82.4%</w:t>
                  </w:r>
                </w:p>
              </w:tc>
              <w:tc>
                <w:tcPr>
                  <w:tcW w:w="2317" w:type="dxa"/>
                  <w:tcBorders>
                    <w:top w:val="single" w:sz="4" w:space="0" w:color="auto"/>
                    <w:left w:val="single" w:sz="4" w:space="0" w:color="auto"/>
                    <w:bottom w:val="single" w:sz="4" w:space="0" w:color="auto"/>
                    <w:right w:val="single" w:sz="4" w:space="0" w:color="auto"/>
                  </w:tcBorders>
                  <w:hideMark/>
                </w:tcPr>
                <w:p w14:paraId="4DFFB0DD" w14:textId="77777777" w:rsidR="00B21F42" w:rsidRPr="00B21F42" w:rsidRDefault="00B21F42" w:rsidP="00B21F42">
                  <w:pPr>
                    <w:autoSpaceDN w:val="0"/>
                  </w:pPr>
                  <w:r w:rsidRPr="00B21F42">
                    <w:t>83.3%</w:t>
                  </w:r>
                </w:p>
              </w:tc>
            </w:tr>
          </w:tbl>
          <w:p w14:paraId="21068819" w14:textId="77777777" w:rsidR="00B21F42" w:rsidRPr="00B21F42" w:rsidRDefault="00B21F42" w:rsidP="00B21F42"/>
          <w:p w14:paraId="129FF0E4" w14:textId="77777777" w:rsidR="00B21F42" w:rsidRPr="00B21F42" w:rsidRDefault="00B21F42" w:rsidP="00B21F42">
            <w:r w:rsidRPr="00B21F42">
              <w:rPr>
                <w:b/>
                <w:bCs/>
              </w:rPr>
              <w:lastRenderedPageBreak/>
              <w:t>Maths progress</w:t>
            </w:r>
            <w:r w:rsidRPr="00B21F42">
              <w:t>: In Year 5 (2023-2024), 43% of the pupil premium children met the expected standard in mathematics. An additional 35% made good progress and achieved the expected standard by the end of Year 6.</w:t>
            </w:r>
          </w:p>
          <w:p w14:paraId="1CE90B16" w14:textId="669A69BB" w:rsidR="00B21F42" w:rsidRPr="00B21F42" w:rsidRDefault="00B21F42" w:rsidP="00B21F42">
            <w:r w:rsidRPr="00B21F42">
              <w:rPr>
                <w:noProof/>
              </w:rPr>
              <w:drawing>
                <wp:inline distT="0" distB="0" distL="0" distR="0" wp14:anchorId="6E7706F2" wp14:editId="02D5FEBE">
                  <wp:extent cx="6029325" cy="371475"/>
                  <wp:effectExtent l="0" t="0" r="9525" b="9525"/>
                  <wp:docPr id="33321050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9325" cy="371475"/>
                          </a:xfrm>
                          <a:prstGeom prst="rect">
                            <a:avLst/>
                          </a:prstGeom>
                          <a:noFill/>
                          <a:ln>
                            <a:noFill/>
                          </a:ln>
                        </pic:spPr>
                      </pic:pic>
                    </a:graphicData>
                  </a:graphic>
                </wp:inline>
              </w:drawing>
            </w:r>
          </w:p>
          <w:p w14:paraId="335AFD92" w14:textId="77777777" w:rsidR="00B21F42" w:rsidRPr="00B21F42" w:rsidRDefault="00B21F42" w:rsidP="00B21F42">
            <w:r w:rsidRPr="00B21F42">
              <w:t>Maths also features on the SDP as a priority with the Maths lead working with the Maths Hub. Pupil Premium children will again be targeted, even though the percentage of Pupil Premium children achieving the expected standard increased by 20%.</w:t>
            </w:r>
          </w:p>
          <w:p w14:paraId="44BE94D1" w14:textId="77777777" w:rsidR="00B21F42" w:rsidRPr="00B21F42" w:rsidRDefault="00B21F42" w:rsidP="00B21F42">
            <w:r w:rsidRPr="00B21F42">
              <w:t>Writing attainment:</w:t>
            </w:r>
          </w:p>
          <w:tbl>
            <w:tblPr>
              <w:tblStyle w:val="TableGrid"/>
              <w:tblW w:w="0" w:type="auto"/>
              <w:tblLook w:val="04A0" w:firstRow="1" w:lastRow="0" w:firstColumn="1" w:lastColumn="0" w:noHBand="0" w:noVBand="1"/>
            </w:tblPr>
            <w:tblGrid>
              <w:gridCol w:w="2316"/>
              <w:gridCol w:w="2317"/>
              <w:gridCol w:w="2317"/>
              <w:gridCol w:w="2317"/>
            </w:tblGrid>
            <w:tr w:rsidR="00B21F42" w:rsidRPr="00B21F42" w14:paraId="2DD6601D" w14:textId="77777777">
              <w:tc>
                <w:tcPr>
                  <w:tcW w:w="2316" w:type="dxa"/>
                  <w:tcBorders>
                    <w:top w:val="single" w:sz="4" w:space="0" w:color="auto"/>
                    <w:left w:val="single" w:sz="4" w:space="0" w:color="auto"/>
                    <w:bottom w:val="single" w:sz="4" w:space="0" w:color="auto"/>
                    <w:right w:val="single" w:sz="4" w:space="0" w:color="auto"/>
                  </w:tcBorders>
                </w:tcPr>
                <w:p w14:paraId="5E5FFA67" w14:textId="77777777" w:rsidR="00B21F42" w:rsidRPr="00B21F42" w:rsidRDefault="00B21F42" w:rsidP="00B21F42">
                  <w:pPr>
                    <w:autoSpaceDN w:val="0"/>
                  </w:pPr>
                </w:p>
              </w:tc>
              <w:tc>
                <w:tcPr>
                  <w:tcW w:w="2317" w:type="dxa"/>
                  <w:tcBorders>
                    <w:top w:val="single" w:sz="4" w:space="0" w:color="auto"/>
                    <w:left w:val="single" w:sz="4" w:space="0" w:color="auto"/>
                    <w:bottom w:val="single" w:sz="4" w:space="0" w:color="auto"/>
                    <w:right w:val="single" w:sz="4" w:space="0" w:color="auto"/>
                  </w:tcBorders>
                  <w:hideMark/>
                </w:tcPr>
                <w:p w14:paraId="23163183" w14:textId="77777777" w:rsidR="00B21F42" w:rsidRPr="00B21F42" w:rsidRDefault="00B21F42" w:rsidP="00B21F42">
                  <w:pPr>
                    <w:autoSpaceDN w:val="0"/>
                  </w:pPr>
                  <w:r w:rsidRPr="00B21F42">
                    <w:t>22/23</w:t>
                  </w:r>
                </w:p>
              </w:tc>
              <w:tc>
                <w:tcPr>
                  <w:tcW w:w="2317" w:type="dxa"/>
                  <w:tcBorders>
                    <w:top w:val="single" w:sz="4" w:space="0" w:color="auto"/>
                    <w:left w:val="single" w:sz="4" w:space="0" w:color="auto"/>
                    <w:bottom w:val="single" w:sz="4" w:space="0" w:color="auto"/>
                    <w:right w:val="single" w:sz="4" w:space="0" w:color="auto"/>
                  </w:tcBorders>
                  <w:hideMark/>
                </w:tcPr>
                <w:p w14:paraId="25763E3E" w14:textId="77777777" w:rsidR="00B21F42" w:rsidRPr="00B21F42" w:rsidRDefault="00B21F42" w:rsidP="00B21F42">
                  <w:pPr>
                    <w:autoSpaceDN w:val="0"/>
                  </w:pPr>
                  <w:r w:rsidRPr="00B21F42">
                    <w:t>23/24</w:t>
                  </w:r>
                </w:p>
              </w:tc>
              <w:tc>
                <w:tcPr>
                  <w:tcW w:w="2317" w:type="dxa"/>
                  <w:tcBorders>
                    <w:top w:val="single" w:sz="4" w:space="0" w:color="auto"/>
                    <w:left w:val="single" w:sz="4" w:space="0" w:color="auto"/>
                    <w:bottom w:val="single" w:sz="4" w:space="0" w:color="auto"/>
                    <w:right w:val="single" w:sz="4" w:space="0" w:color="auto"/>
                  </w:tcBorders>
                  <w:hideMark/>
                </w:tcPr>
                <w:p w14:paraId="443E8739" w14:textId="77777777" w:rsidR="00B21F42" w:rsidRPr="00B21F42" w:rsidRDefault="00B21F42" w:rsidP="00B21F42">
                  <w:pPr>
                    <w:autoSpaceDN w:val="0"/>
                  </w:pPr>
                  <w:r w:rsidRPr="00B21F42">
                    <w:t>24/25</w:t>
                  </w:r>
                </w:p>
              </w:tc>
            </w:tr>
            <w:tr w:rsidR="00B21F42" w:rsidRPr="00B21F42" w14:paraId="61AA32E3" w14:textId="77777777">
              <w:tc>
                <w:tcPr>
                  <w:tcW w:w="2316" w:type="dxa"/>
                  <w:tcBorders>
                    <w:top w:val="single" w:sz="4" w:space="0" w:color="auto"/>
                    <w:left w:val="single" w:sz="4" w:space="0" w:color="auto"/>
                    <w:bottom w:val="single" w:sz="4" w:space="0" w:color="auto"/>
                    <w:right w:val="single" w:sz="4" w:space="0" w:color="auto"/>
                  </w:tcBorders>
                  <w:hideMark/>
                </w:tcPr>
                <w:p w14:paraId="1431FA2D" w14:textId="77777777" w:rsidR="00B21F42" w:rsidRPr="00B21F42" w:rsidRDefault="00B21F42" w:rsidP="00B21F42">
                  <w:pPr>
                    <w:autoSpaceDN w:val="0"/>
                  </w:pPr>
                  <w:r w:rsidRPr="00B21F42">
                    <w:t>Pupil Premium children</w:t>
                  </w:r>
                </w:p>
              </w:tc>
              <w:tc>
                <w:tcPr>
                  <w:tcW w:w="2317" w:type="dxa"/>
                  <w:tcBorders>
                    <w:top w:val="single" w:sz="4" w:space="0" w:color="auto"/>
                    <w:left w:val="single" w:sz="4" w:space="0" w:color="auto"/>
                    <w:bottom w:val="single" w:sz="4" w:space="0" w:color="auto"/>
                    <w:right w:val="single" w:sz="4" w:space="0" w:color="auto"/>
                  </w:tcBorders>
                  <w:hideMark/>
                </w:tcPr>
                <w:p w14:paraId="5C574851" w14:textId="77777777" w:rsidR="00B21F42" w:rsidRPr="00B21F42" w:rsidRDefault="00B21F42" w:rsidP="00B21F42">
                  <w:pPr>
                    <w:autoSpaceDN w:val="0"/>
                  </w:pPr>
                  <w:r w:rsidRPr="00B21F42">
                    <w:t>63.6%</w:t>
                  </w:r>
                </w:p>
              </w:tc>
              <w:tc>
                <w:tcPr>
                  <w:tcW w:w="2317" w:type="dxa"/>
                  <w:tcBorders>
                    <w:top w:val="single" w:sz="4" w:space="0" w:color="auto"/>
                    <w:left w:val="single" w:sz="4" w:space="0" w:color="auto"/>
                    <w:bottom w:val="single" w:sz="4" w:space="0" w:color="auto"/>
                    <w:right w:val="single" w:sz="4" w:space="0" w:color="auto"/>
                  </w:tcBorders>
                  <w:hideMark/>
                </w:tcPr>
                <w:p w14:paraId="1B7E3F91" w14:textId="77777777" w:rsidR="00B21F42" w:rsidRPr="00B21F42" w:rsidRDefault="00B21F42" w:rsidP="00B21F42">
                  <w:pPr>
                    <w:autoSpaceDN w:val="0"/>
                  </w:pPr>
                  <w:r w:rsidRPr="00B21F42">
                    <w:t>64.3%</w:t>
                  </w:r>
                </w:p>
              </w:tc>
              <w:tc>
                <w:tcPr>
                  <w:tcW w:w="2317" w:type="dxa"/>
                  <w:tcBorders>
                    <w:top w:val="single" w:sz="4" w:space="0" w:color="auto"/>
                    <w:left w:val="single" w:sz="4" w:space="0" w:color="auto"/>
                    <w:bottom w:val="single" w:sz="4" w:space="0" w:color="auto"/>
                    <w:right w:val="single" w:sz="4" w:space="0" w:color="auto"/>
                  </w:tcBorders>
                  <w:hideMark/>
                </w:tcPr>
                <w:p w14:paraId="555965FB" w14:textId="77777777" w:rsidR="00B21F42" w:rsidRPr="00B21F42" w:rsidRDefault="00B21F42" w:rsidP="00B21F42">
                  <w:pPr>
                    <w:autoSpaceDN w:val="0"/>
                  </w:pPr>
                  <w:r w:rsidRPr="00B21F42">
                    <w:t>50%</w:t>
                  </w:r>
                </w:p>
              </w:tc>
            </w:tr>
            <w:tr w:rsidR="00B21F42" w:rsidRPr="00B21F42" w14:paraId="79474FFD" w14:textId="77777777">
              <w:tc>
                <w:tcPr>
                  <w:tcW w:w="2316" w:type="dxa"/>
                  <w:tcBorders>
                    <w:top w:val="single" w:sz="4" w:space="0" w:color="auto"/>
                    <w:left w:val="single" w:sz="4" w:space="0" w:color="auto"/>
                    <w:bottom w:val="single" w:sz="4" w:space="0" w:color="auto"/>
                    <w:right w:val="single" w:sz="4" w:space="0" w:color="auto"/>
                  </w:tcBorders>
                  <w:hideMark/>
                </w:tcPr>
                <w:p w14:paraId="596F0D19" w14:textId="77777777" w:rsidR="00B21F42" w:rsidRPr="00B21F42" w:rsidRDefault="00B21F42" w:rsidP="00B21F42">
                  <w:pPr>
                    <w:autoSpaceDN w:val="0"/>
                  </w:pPr>
                  <w:r w:rsidRPr="00B21F42">
                    <w:t>Non Pupil Premium</w:t>
                  </w:r>
                </w:p>
              </w:tc>
              <w:tc>
                <w:tcPr>
                  <w:tcW w:w="2317" w:type="dxa"/>
                  <w:tcBorders>
                    <w:top w:val="single" w:sz="4" w:space="0" w:color="auto"/>
                    <w:left w:val="single" w:sz="4" w:space="0" w:color="auto"/>
                    <w:bottom w:val="single" w:sz="4" w:space="0" w:color="auto"/>
                    <w:right w:val="single" w:sz="4" w:space="0" w:color="auto"/>
                  </w:tcBorders>
                  <w:hideMark/>
                </w:tcPr>
                <w:p w14:paraId="145661BC" w14:textId="77777777" w:rsidR="00B21F42" w:rsidRPr="00B21F42" w:rsidRDefault="00B21F42" w:rsidP="00B21F42">
                  <w:pPr>
                    <w:autoSpaceDN w:val="0"/>
                  </w:pPr>
                  <w:r w:rsidRPr="00B21F42">
                    <w:t>75%</w:t>
                  </w:r>
                </w:p>
              </w:tc>
              <w:tc>
                <w:tcPr>
                  <w:tcW w:w="2317" w:type="dxa"/>
                  <w:tcBorders>
                    <w:top w:val="single" w:sz="4" w:space="0" w:color="auto"/>
                    <w:left w:val="single" w:sz="4" w:space="0" w:color="auto"/>
                    <w:bottom w:val="single" w:sz="4" w:space="0" w:color="auto"/>
                    <w:right w:val="single" w:sz="4" w:space="0" w:color="auto"/>
                  </w:tcBorders>
                  <w:hideMark/>
                </w:tcPr>
                <w:p w14:paraId="50F0211E" w14:textId="77777777" w:rsidR="00B21F42" w:rsidRPr="00B21F42" w:rsidRDefault="00B21F42" w:rsidP="00B21F42">
                  <w:pPr>
                    <w:autoSpaceDN w:val="0"/>
                  </w:pPr>
                  <w:r w:rsidRPr="00B21F42">
                    <w:t>70.6%</w:t>
                  </w:r>
                </w:p>
              </w:tc>
              <w:tc>
                <w:tcPr>
                  <w:tcW w:w="2317" w:type="dxa"/>
                  <w:tcBorders>
                    <w:top w:val="single" w:sz="4" w:space="0" w:color="auto"/>
                    <w:left w:val="single" w:sz="4" w:space="0" w:color="auto"/>
                    <w:bottom w:val="single" w:sz="4" w:space="0" w:color="auto"/>
                    <w:right w:val="single" w:sz="4" w:space="0" w:color="auto"/>
                  </w:tcBorders>
                  <w:hideMark/>
                </w:tcPr>
                <w:p w14:paraId="2733621A" w14:textId="77777777" w:rsidR="00B21F42" w:rsidRPr="00B21F42" w:rsidRDefault="00B21F42" w:rsidP="00B21F42">
                  <w:pPr>
                    <w:autoSpaceDN w:val="0"/>
                  </w:pPr>
                  <w:r w:rsidRPr="00B21F42">
                    <w:t>88.9%</w:t>
                  </w:r>
                </w:p>
              </w:tc>
            </w:tr>
          </w:tbl>
          <w:p w14:paraId="3FD4A73A" w14:textId="77777777" w:rsidR="00B21F42" w:rsidRPr="00B21F42" w:rsidRDefault="00B21F42" w:rsidP="00B21F42"/>
          <w:p w14:paraId="5C2041E5" w14:textId="77777777" w:rsidR="00B21F42" w:rsidRPr="00B21F42" w:rsidRDefault="00B21F42" w:rsidP="00B21F42">
            <w:r w:rsidRPr="00B21F42">
              <w:t>Writing progress: In Year 5 (2023-2024), 3% of the pupil premium children met the expected standard in writing. An additional 43% made good progress and achieved the expected standard by the end of Year 6.</w:t>
            </w:r>
          </w:p>
          <w:p w14:paraId="5C8CE89F" w14:textId="4FC64CB2" w:rsidR="00B21F42" w:rsidRPr="00B21F42" w:rsidRDefault="00B21F42" w:rsidP="00B21F42">
            <w:r w:rsidRPr="00B21F42">
              <w:rPr>
                <w:noProof/>
              </w:rPr>
              <w:drawing>
                <wp:inline distT="0" distB="0" distL="0" distR="0" wp14:anchorId="67525E7C" wp14:editId="37B5AD4E">
                  <wp:extent cx="6029325" cy="342900"/>
                  <wp:effectExtent l="0" t="0" r="9525" b="0"/>
                  <wp:docPr id="19190948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29325" cy="342900"/>
                          </a:xfrm>
                          <a:prstGeom prst="rect">
                            <a:avLst/>
                          </a:prstGeom>
                          <a:noFill/>
                          <a:ln>
                            <a:noFill/>
                          </a:ln>
                        </pic:spPr>
                      </pic:pic>
                    </a:graphicData>
                  </a:graphic>
                </wp:inline>
              </w:drawing>
            </w:r>
          </w:p>
          <w:p w14:paraId="24C51453" w14:textId="77777777" w:rsidR="00B21F42" w:rsidRPr="00B21F42" w:rsidRDefault="00B21F42" w:rsidP="00B21F42">
            <w:r w:rsidRPr="00B21F42">
              <w:t>We received support in the 2024–2025 academic year when writing was included in the SDP. We believe that the work we are doing will ultimately improve our results, however we also recognise that meaningful change will take time.</w:t>
            </w:r>
          </w:p>
          <w:p w14:paraId="37A97198" w14:textId="77777777" w:rsidR="00B21F42" w:rsidRPr="00B21F42" w:rsidRDefault="00B21F42" w:rsidP="00B21F42">
            <w:r w:rsidRPr="00B21F42">
              <w:t xml:space="preserve">KS2 SATS and end of year teacher assessments for 2024/2025 suggest that the performance of the disadvantaged pupils was below that of the non-disadvantaged pupils. </w:t>
            </w:r>
          </w:p>
          <w:p w14:paraId="7A77ABF5" w14:textId="77777777" w:rsidR="00B21F42" w:rsidRPr="00B21F42" w:rsidRDefault="00B21F42" w:rsidP="00B21F42">
            <w:pPr>
              <w:rPr>
                <w:b/>
                <w:bCs/>
              </w:rPr>
            </w:pPr>
            <w:r w:rsidRPr="00B21F42">
              <w:rPr>
                <w:b/>
                <w:bCs/>
              </w:rPr>
              <w:t>Attendance</w:t>
            </w:r>
          </w:p>
          <w:p w14:paraId="5C0CCABE" w14:textId="77777777" w:rsidR="00B21F42" w:rsidRPr="00B21F42" w:rsidRDefault="00B21F42" w:rsidP="00B21F42">
            <w:r w:rsidRPr="00B21F42">
              <w:t xml:space="preserve">We have drawn on school data and observations to assess wider issues impacting disadvantage pupils’ performance: </w:t>
            </w:r>
          </w:p>
          <w:tbl>
            <w:tblPr>
              <w:tblStyle w:val="TableGrid"/>
              <w:tblW w:w="0" w:type="auto"/>
              <w:tblLook w:val="04A0" w:firstRow="1" w:lastRow="0" w:firstColumn="1" w:lastColumn="0" w:noHBand="0" w:noVBand="1"/>
            </w:tblPr>
            <w:tblGrid>
              <w:gridCol w:w="1357"/>
              <w:gridCol w:w="1357"/>
              <w:gridCol w:w="1357"/>
              <w:gridCol w:w="1357"/>
              <w:gridCol w:w="1357"/>
              <w:gridCol w:w="1357"/>
              <w:gridCol w:w="1358"/>
            </w:tblGrid>
            <w:tr w:rsidR="00B21F42" w:rsidRPr="00B21F42" w14:paraId="3443B5E8" w14:textId="77777777">
              <w:tc>
                <w:tcPr>
                  <w:tcW w:w="1357" w:type="dxa"/>
                  <w:tcBorders>
                    <w:top w:val="single" w:sz="4" w:space="0" w:color="auto"/>
                    <w:left w:val="single" w:sz="4" w:space="0" w:color="auto"/>
                    <w:bottom w:val="single" w:sz="4" w:space="0" w:color="auto"/>
                    <w:right w:val="single" w:sz="4" w:space="0" w:color="auto"/>
                  </w:tcBorders>
                </w:tcPr>
                <w:p w14:paraId="71CAB4DC" w14:textId="77777777" w:rsidR="00B21F42" w:rsidRPr="00B21F42" w:rsidRDefault="00B21F42" w:rsidP="00B21F42">
                  <w:pPr>
                    <w:autoSpaceDN w:val="0"/>
                  </w:pPr>
                </w:p>
              </w:tc>
              <w:tc>
                <w:tcPr>
                  <w:tcW w:w="2714" w:type="dxa"/>
                  <w:gridSpan w:val="2"/>
                  <w:tcBorders>
                    <w:top w:val="single" w:sz="4" w:space="0" w:color="auto"/>
                    <w:left w:val="single" w:sz="4" w:space="0" w:color="auto"/>
                    <w:bottom w:val="single" w:sz="4" w:space="0" w:color="auto"/>
                    <w:right w:val="single" w:sz="4" w:space="0" w:color="auto"/>
                  </w:tcBorders>
                  <w:hideMark/>
                </w:tcPr>
                <w:p w14:paraId="088953F6" w14:textId="77777777" w:rsidR="00B21F42" w:rsidRPr="00B21F42" w:rsidRDefault="00B21F42" w:rsidP="00B21F42">
                  <w:pPr>
                    <w:autoSpaceDN w:val="0"/>
                  </w:pPr>
                  <w:r w:rsidRPr="00B21F42">
                    <w:t>Autumn</w:t>
                  </w:r>
                </w:p>
              </w:tc>
              <w:tc>
                <w:tcPr>
                  <w:tcW w:w="2714" w:type="dxa"/>
                  <w:gridSpan w:val="2"/>
                  <w:tcBorders>
                    <w:top w:val="single" w:sz="4" w:space="0" w:color="auto"/>
                    <w:left w:val="single" w:sz="4" w:space="0" w:color="auto"/>
                    <w:bottom w:val="single" w:sz="4" w:space="0" w:color="auto"/>
                    <w:right w:val="single" w:sz="4" w:space="0" w:color="auto"/>
                  </w:tcBorders>
                  <w:hideMark/>
                </w:tcPr>
                <w:p w14:paraId="1766B78C" w14:textId="77777777" w:rsidR="00B21F42" w:rsidRPr="00B21F42" w:rsidRDefault="00B21F42" w:rsidP="00B21F42">
                  <w:pPr>
                    <w:autoSpaceDN w:val="0"/>
                  </w:pPr>
                  <w:r w:rsidRPr="00B21F42">
                    <w:t>Spring</w:t>
                  </w:r>
                </w:p>
              </w:tc>
              <w:tc>
                <w:tcPr>
                  <w:tcW w:w="2715" w:type="dxa"/>
                  <w:gridSpan w:val="2"/>
                  <w:tcBorders>
                    <w:top w:val="single" w:sz="4" w:space="0" w:color="auto"/>
                    <w:left w:val="single" w:sz="4" w:space="0" w:color="auto"/>
                    <w:bottom w:val="single" w:sz="4" w:space="0" w:color="auto"/>
                    <w:right w:val="single" w:sz="4" w:space="0" w:color="auto"/>
                  </w:tcBorders>
                  <w:hideMark/>
                </w:tcPr>
                <w:p w14:paraId="5A9C2BA8" w14:textId="77777777" w:rsidR="00B21F42" w:rsidRPr="00B21F42" w:rsidRDefault="00B21F42" w:rsidP="00B21F42">
                  <w:pPr>
                    <w:autoSpaceDN w:val="0"/>
                  </w:pPr>
                  <w:r w:rsidRPr="00B21F42">
                    <w:t>Summer</w:t>
                  </w:r>
                </w:p>
              </w:tc>
            </w:tr>
            <w:tr w:rsidR="00B21F42" w:rsidRPr="00B21F42" w14:paraId="69B95668" w14:textId="77777777">
              <w:tc>
                <w:tcPr>
                  <w:tcW w:w="1357" w:type="dxa"/>
                  <w:tcBorders>
                    <w:top w:val="single" w:sz="4" w:space="0" w:color="auto"/>
                    <w:left w:val="single" w:sz="4" w:space="0" w:color="auto"/>
                    <w:bottom w:val="single" w:sz="4" w:space="0" w:color="auto"/>
                    <w:right w:val="single" w:sz="4" w:space="0" w:color="auto"/>
                  </w:tcBorders>
                </w:tcPr>
                <w:p w14:paraId="24A65203" w14:textId="77777777" w:rsidR="00B21F42" w:rsidRPr="00B21F42" w:rsidRDefault="00B21F42" w:rsidP="00B21F42">
                  <w:pPr>
                    <w:autoSpaceDN w:val="0"/>
                  </w:pPr>
                </w:p>
              </w:tc>
              <w:tc>
                <w:tcPr>
                  <w:tcW w:w="1357" w:type="dxa"/>
                  <w:tcBorders>
                    <w:top w:val="single" w:sz="4" w:space="0" w:color="auto"/>
                    <w:left w:val="single" w:sz="4" w:space="0" w:color="auto"/>
                    <w:bottom w:val="single" w:sz="4" w:space="0" w:color="auto"/>
                    <w:right w:val="single" w:sz="4" w:space="0" w:color="auto"/>
                  </w:tcBorders>
                  <w:hideMark/>
                </w:tcPr>
                <w:p w14:paraId="1BA4F091" w14:textId="77777777" w:rsidR="00B21F42" w:rsidRPr="00B21F42" w:rsidRDefault="00B21F42" w:rsidP="00B21F42">
                  <w:pPr>
                    <w:autoSpaceDN w:val="0"/>
                  </w:pPr>
                  <w:r w:rsidRPr="00B21F42">
                    <w:t>PP</w:t>
                  </w:r>
                </w:p>
              </w:tc>
              <w:tc>
                <w:tcPr>
                  <w:tcW w:w="1357" w:type="dxa"/>
                  <w:tcBorders>
                    <w:top w:val="single" w:sz="4" w:space="0" w:color="auto"/>
                    <w:left w:val="single" w:sz="4" w:space="0" w:color="auto"/>
                    <w:bottom w:val="single" w:sz="4" w:space="0" w:color="auto"/>
                    <w:right w:val="single" w:sz="4" w:space="0" w:color="auto"/>
                  </w:tcBorders>
                  <w:hideMark/>
                </w:tcPr>
                <w:p w14:paraId="21ADBC5A" w14:textId="77777777" w:rsidR="00B21F42" w:rsidRPr="00B21F42" w:rsidRDefault="00B21F42" w:rsidP="00B21F42">
                  <w:pPr>
                    <w:autoSpaceDN w:val="0"/>
                  </w:pPr>
                  <w:r w:rsidRPr="00B21F42">
                    <w:t>Non PP</w:t>
                  </w:r>
                </w:p>
              </w:tc>
              <w:tc>
                <w:tcPr>
                  <w:tcW w:w="1357" w:type="dxa"/>
                  <w:tcBorders>
                    <w:top w:val="single" w:sz="4" w:space="0" w:color="auto"/>
                    <w:left w:val="single" w:sz="4" w:space="0" w:color="auto"/>
                    <w:bottom w:val="single" w:sz="4" w:space="0" w:color="auto"/>
                    <w:right w:val="single" w:sz="4" w:space="0" w:color="auto"/>
                  </w:tcBorders>
                  <w:hideMark/>
                </w:tcPr>
                <w:p w14:paraId="211F7BB9" w14:textId="77777777" w:rsidR="00B21F42" w:rsidRPr="00B21F42" w:rsidRDefault="00B21F42" w:rsidP="00B21F42">
                  <w:pPr>
                    <w:autoSpaceDN w:val="0"/>
                  </w:pPr>
                  <w:r w:rsidRPr="00B21F42">
                    <w:t>PP</w:t>
                  </w:r>
                </w:p>
              </w:tc>
              <w:tc>
                <w:tcPr>
                  <w:tcW w:w="1357" w:type="dxa"/>
                  <w:tcBorders>
                    <w:top w:val="single" w:sz="4" w:space="0" w:color="auto"/>
                    <w:left w:val="single" w:sz="4" w:space="0" w:color="auto"/>
                    <w:bottom w:val="single" w:sz="4" w:space="0" w:color="auto"/>
                    <w:right w:val="single" w:sz="4" w:space="0" w:color="auto"/>
                  </w:tcBorders>
                  <w:hideMark/>
                </w:tcPr>
                <w:p w14:paraId="4FDA366E" w14:textId="77777777" w:rsidR="00B21F42" w:rsidRPr="00B21F42" w:rsidRDefault="00B21F42" w:rsidP="00B21F42">
                  <w:pPr>
                    <w:autoSpaceDN w:val="0"/>
                  </w:pPr>
                  <w:r w:rsidRPr="00B21F42">
                    <w:t>Non PP</w:t>
                  </w:r>
                </w:p>
              </w:tc>
              <w:tc>
                <w:tcPr>
                  <w:tcW w:w="1357" w:type="dxa"/>
                  <w:tcBorders>
                    <w:top w:val="single" w:sz="4" w:space="0" w:color="auto"/>
                    <w:left w:val="single" w:sz="4" w:space="0" w:color="auto"/>
                    <w:bottom w:val="single" w:sz="4" w:space="0" w:color="auto"/>
                    <w:right w:val="single" w:sz="4" w:space="0" w:color="auto"/>
                  </w:tcBorders>
                  <w:hideMark/>
                </w:tcPr>
                <w:p w14:paraId="01670C15" w14:textId="77777777" w:rsidR="00B21F42" w:rsidRPr="00B21F42" w:rsidRDefault="00B21F42" w:rsidP="00B21F42">
                  <w:pPr>
                    <w:autoSpaceDN w:val="0"/>
                  </w:pPr>
                  <w:r w:rsidRPr="00B21F42">
                    <w:t>PP</w:t>
                  </w:r>
                </w:p>
              </w:tc>
              <w:tc>
                <w:tcPr>
                  <w:tcW w:w="1358" w:type="dxa"/>
                  <w:tcBorders>
                    <w:top w:val="single" w:sz="4" w:space="0" w:color="auto"/>
                    <w:left w:val="single" w:sz="4" w:space="0" w:color="auto"/>
                    <w:bottom w:val="single" w:sz="4" w:space="0" w:color="auto"/>
                    <w:right w:val="single" w:sz="4" w:space="0" w:color="auto"/>
                  </w:tcBorders>
                  <w:hideMark/>
                </w:tcPr>
                <w:p w14:paraId="6947273E" w14:textId="77777777" w:rsidR="00B21F42" w:rsidRPr="00B21F42" w:rsidRDefault="00B21F42" w:rsidP="00B21F42">
                  <w:pPr>
                    <w:autoSpaceDN w:val="0"/>
                  </w:pPr>
                  <w:r w:rsidRPr="00B21F42">
                    <w:t>Non PP</w:t>
                  </w:r>
                </w:p>
              </w:tc>
            </w:tr>
            <w:tr w:rsidR="00B21F42" w:rsidRPr="00B21F42" w14:paraId="6F5BE024" w14:textId="77777777">
              <w:tc>
                <w:tcPr>
                  <w:tcW w:w="1357" w:type="dxa"/>
                  <w:tcBorders>
                    <w:top w:val="single" w:sz="4" w:space="0" w:color="auto"/>
                    <w:left w:val="single" w:sz="4" w:space="0" w:color="auto"/>
                    <w:bottom w:val="single" w:sz="4" w:space="0" w:color="auto"/>
                    <w:right w:val="single" w:sz="4" w:space="0" w:color="auto"/>
                  </w:tcBorders>
                  <w:hideMark/>
                </w:tcPr>
                <w:p w14:paraId="0634B3C5" w14:textId="77777777" w:rsidR="00B21F42" w:rsidRPr="00B21F42" w:rsidRDefault="00B21F42" w:rsidP="00B21F42">
                  <w:pPr>
                    <w:autoSpaceDN w:val="0"/>
                  </w:pPr>
                  <w:r w:rsidRPr="00B21F42">
                    <w:t>Attendance</w:t>
                  </w:r>
                </w:p>
              </w:tc>
              <w:tc>
                <w:tcPr>
                  <w:tcW w:w="1357" w:type="dxa"/>
                  <w:tcBorders>
                    <w:top w:val="single" w:sz="4" w:space="0" w:color="auto"/>
                    <w:left w:val="single" w:sz="4" w:space="0" w:color="auto"/>
                    <w:bottom w:val="single" w:sz="4" w:space="0" w:color="auto"/>
                    <w:right w:val="single" w:sz="4" w:space="0" w:color="auto"/>
                  </w:tcBorders>
                  <w:hideMark/>
                </w:tcPr>
                <w:p w14:paraId="2EE133D5" w14:textId="77777777" w:rsidR="00B21F42" w:rsidRPr="00B21F42" w:rsidRDefault="00B21F42" w:rsidP="00B21F42">
                  <w:pPr>
                    <w:autoSpaceDN w:val="0"/>
                  </w:pPr>
                  <w:r w:rsidRPr="00B21F42">
                    <w:t>93.56</w:t>
                  </w:r>
                </w:p>
              </w:tc>
              <w:tc>
                <w:tcPr>
                  <w:tcW w:w="1357" w:type="dxa"/>
                  <w:tcBorders>
                    <w:top w:val="single" w:sz="4" w:space="0" w:color="auto"/>
                    <w:left w:val="single" w:sz="4" w:space="0" w:color="auto"/>
                    <w:bottom w:val="single" w:sz="4" w:space="0" w:color="auto"/>
                    <w:right w:val="single" w:sz="4" w:space="0" w:color="auto"/>
                  </w:tcBorders>
                  <w:hideMark/>
                </w:tcPr>
                <w:p w14:paraId="108E2CC0" w14:textId="77777777" w:rsidR="00B21F42" w:rsidRPr="00B21F42" w:rsidRDefault="00B21F42" w:rsidP="00B21F42">
                  <w:pPr>
                    <w:autoSpaceDN w:val="0"/>
                  </w:pPr>
                  <w:r w:rsidRPr="00B21F42">
                    <w:t>96.54</w:t>
                  </w:r>
                </w:p>
              </w:tc>
              <w:tc>
                <w:tcPr>
                  <w:tcW w:w="1357" w:type="dxa"/>
                  <w:tcBorders>
                    <w:top w:val="single" w:sz="4" w:space="0" w:color="auto"/>
                    <w:left w:val="single" w:sz="4" w:space="0" w:color="auto"/>
                    <w:bottom w:val="single" w:sz="4" w:space="0" w:color="auto"/>
                    <w:right w:val="single" w:sz="4" w:space="0" w:color="auto"/>
                  </w:tcBorders>
                  <w:hideMark/>
                </w:tcPr>
                <w:p w14:paraId="39578855" w14:textId="77777777" w:rsidR="00B21F42" w:rsidRPr="00B21F42" w:rsidRDefault="00B21F42" w:rsidP="00B21F42">
                  <w:pPr>
                    <w:autoSpaceDN w:val="0"/>
                  </w:pPr>
                  <w:r w:rsidRPr="00B21F42">
                    <w:t>92.38</w:t>
                  </w:r>
                </w:p>
              </w:tc>
              <w:tc>
                <w:tcPr>
                  <w:tcW w:w="1357" w:type="dxa"/>
                  <w:tcBorders>
                    <w:top w:val="single" w:sz="4" w:space="0" w:color="auto"/>
                    <w:left w:val="single" w:sz="4" w:space="0" w:color="auto"/>
                    <w:bottom w:val="single" w:sz="4" w:space="0" w:color="auto"/>
                    <w:right w:val="single" w:sz="4" w:space="0" w:color="auto"/>
                  </w:tcBorders>
                  <w:hideMark/>
                </w:tcPr>
                <w:p w14:paraId="6E1602C3" w14:textId="77777777" w:rsidR="00B21F42" w:rsidRPr="00B21F42" w:rsidRDefault="00B21F42" w:rsidP="00B21F42">
                  <w:pPr>
                    <w:autoSpaceDN w:val="0"/>
                  </w:pPr>
                  <w:r w:rsidRPr="00B21F42">
                    <w:t>97.13</w:t>
                  </w:r>
                </w:p>
              </w:tc>
              <w:tc>
                <w:tcPr>
                  <w:tcW w:w="1357" w:type="dxa"/>
                  <w:tcBorders>
                    <w:top w:val="single" w:sz="4" w:space="0" w:color="auto"/>
                    <w:left w:val="single" w:sz="4" w:space="0" w:color="auto"/>
                    <w:bottom w:val="single" w:sz="4" w:space="0" w:color="auto"/>
                    <w:right w:val="single" w:sz="4" w:space="0" w:color="auto"/>
                  </w:tcBorders>
                  <w:hideMark/>
                </w:tcPr>
                <w:p w14:paraId="5D74E388" w14:textId="77777777" w:rsidR="00B21F42" w:rsidRPr="00B21F42" w:rsidRDefault="00B21F42" w:rsidP="00B21F42">
                  <w:pPr>
                    <w:autoSpaceDN w:val="0"/>
                  </w:pPr>
                  <w:r w:rsidRPr="00B21F42">
                    <w:t>93.09</w:t>
                  </w:r>
                </w:p>
              </w:tc>
              <w:tc>
                <w:tcPr>
                  <w:tcW w:w="1358" w:type="dxa"/>
                  <w:tcBorders>
                    <w:top w:val="single" w:sz="4" w:space="0" w:color="auto"/>
                    <w:left w:val="single" w:sz="4" w:space="0" w:color="auto"/>
                    <w:bottom w:val="single" w:sz="4" w:space="0" w:color="auto"/>
                    <w:right w:val="single" w:sz="4" w:space="0" w:color="auto"/>
                  </w:tcBorders>
                  <w:hideMark/>
                </w:tcPr>
                <w:p w14:paraId="6849B970" w14:textId="77777777" w:rsidR="00B21F42" w:rsidRPr="00B21F42" w:rsidRDefault="00B21F42" w:rsidP="00B21F42">
                  <w:pPr>
                    <w:autoSpaceDN w:val="0"/>
                  </w:pPr>
                  <w:r w:rsidRPr="00B21F42">
                    <w:t>96.12</w:t>
                  </w:r>
                </w:p>
              </w:tc>
            </w:tr>
            <w:tr w:rsidR="00B21F42" w:rsidRPr="00B21F42" w14:paraId="7866A682" w14:textId="77777777">
              <w:tc>
                <w:tcPr>
                  <w:tcW w:w="1357" w:type="dxa"/>
                  <w:tcBorders>
                    <w:top w:val="single" w:sz="4" w:space="0" w:color="auto"/>
                    <w:left w:val="single" w:sz="4" w:space="0" w:color="auto"/>
                    <w:bottom w:val="single" w:sz="4" w:space="0" w:color="auto"/>
                    <w:right w:val="single" w:sz="4" w:space="0" w:color="auto"/>
                  </w:tcBorders>
                  <w:hideMark/>
                </w:tcPr>
                <w:p w14:paraId="32B2B8D8" w14:textId="77777777" w:rsidR="00B21F42" w:rsidRPr="00B21F42" w:rsidRDefault="00B21F42" w:rsidP="00B21F42">
                  <w:pPr>
                    <w:autoSpaceDN w:val="0"/>
                  </w:pPr>
                  <w:r w:rsidRPr="00B21F42">
                    <w:lastRenderedPageBreak/>
                    <w:t xml:space="preserve">Persistent absentees for compulsory school aged children </w:t>
                  </w:r>
                </w:p>
              </w:tc>
              <w:tc>
                <w:tcPr>
                  <w:tcW w:w="1357" w:type="dxa"/>
                  <w:tcBorders>
                    <w:top w:val="single" w:sz="4" w:space="0" w:color="auto"/>
                    <w:left w:val="single" w:sz="4" w:space="0" w:color="auto"/>
                    <w:bottom w:val="single" w:sz="4" w:space="0" w:color="auto"/>
                    <w:right w:val="single" w:sz="4" w:space="0" w:color="auto"/>
                  </w:tcBorders>
                </w:tcPr>
                <w:p w14:paraId="0D6A0260" w14:textId="77777777" w:rsidR="00B21F42" w:rsidRPr="00B21F42" w:rsidRDefault="00B21F42" w:rsidP="00B21F42">
                  <w:pPr>
                    <w:autoSpaceDN w:val="0"/>
                  </w:pPr>
                  <w:r w:rsidRPr="00B21F42">
                    <w:t>15/75</w:t>
                  </w:r>
                </w:p>
                <w:p w14:paraId="36E9D06D" w14:textId="77777777" w:rsidR="00B21F42" w:rsidRPr="00B21F42" w:rsidRDefault="00B21F42" w:rsidP="00B21F42">
                  <w:pPr>
                    <w:autoSpaceDN w:val="0"/>
                  </w:pPr>
                </w:p>
                <w:p w14:paraId="42EDBE3D" w14:textId="77777777" w:rsidR="00B21F42" w:rsidRPr="00B21F42" w:rsidRDefault="00B21F42" w:rsidP="00B21F42">
                  <w:pPr>
                    <w:autoSpaceDN w:val="0"/>
                  </w:pPr>
                  <w:r w:rsidRPr="00B21F42">
                    <w:t>20%</w:t>
                  </w:r>
                </w:p>
              </w:tc>
              <w:tc>
                <w:tcPr>
                  <w:tcW w:w="1357" w:type="dxa"/>
                  <w:tcBorders>
                    <w:top w:val="single" w:sz="4" w:space="0" w:color="auto"/>
                    <w:left w:val="single" w:sz="4" w:space="0" w:color="auto"/>
                    <w:bottom w:val="single" w:sz="4" w:space="0" w:color="auto"/>
                    <w:right w:val="single" w:sz="4" w:space="0" w:color="auto"/>
                  </w:tcBorders>
                </w:tcPr>
                <w:p w14:paraId="35A7FF6E" w14:textId="77777777" w:rsidR="00B21F42" w:rsidRPr="00B21F42" w:rsidRDefault="00B21F42" w:rsidP="00B21F42">
                  <w:pPr>
                    <w:autoSpaceDN w:val="0"/>
                  </w:pPr>
                  <w:r w:rsidRPr="00B21F42">
                    <w:t>23/157</w:t>
                  </w:r>
                </w:p>
                <w:p w14:paraId="08FEED90" w14:textId="77777777" w:rsidR="00B21F42" w:rsidRPr="00B21F42" w:rsidRDefault="00B21F42" w:rsidP="00B21F42">
                  <w:pPr>
                    <w:autoSpaceDN w:val="0"/>
                  </w:pPr>
                </w:p>
                <w:p w14:paraId="36EC758B" w14:textId="77777777" w:rsidR="00B21F42" w:rsidRPr="00B21F42" w:rsidRDefault="00B21F42" w:rsidP="00B21F42">
                  <w:pPr>
                    <w:autoSpaceDN w:val="0"/>
                  </w:pPr>
                  <w:r w:rsidRPr="00B21F42">
                    <w:t>15%</w:t>
                  </w:r>
                </w:p>
              </w:tc>
              <w:tc>
                <w:tcPr>
                  <w:tcW w:w="1357" w:type="dxa"/>
                  <w:tcBorders>
                    <w:top w:val="single" w:sz="4" w:space="0" w:color="auto"/>
                    <w:left w:val="single" w:sz="4" w:space="0" w:color="auto"/>
                    <w:bottom w:val="single" w:sz="4" w:space="0" w:color="auto"/>
                    <w:right w:val="single" w:sz="4" w:space="0" w:color="auto"/>
                  </w:tcBorders>
                </w:tcPr>
                <w:p w14:paraId="2866333C" w14:textId="77777777" w:rsidR="00B21F42" w:rsidRPr="00B21F42" w:rsidRDefault="00B21F42" w:rsidP="00B21F42">
                  <w:pPr>
                    <w:autoSpaceDN w:val="0"/>
                  </w:pPr>
                  <w:r w:rsidRPr="00B21F42">
                    <w:t>25/75</w:t>
                  </w:r>
                </w:p>
                <w:p w14:paraId="73C84130" w14:textId="77777777" w:rsidR="00B21F42" w:rsidRPr="00B21F42" w:rsidRDefault="00B21F42" w:rsidP="00B21F42">
                  <w:pPr>
                    <w:autoSpaceDN w:val="0"/>
                  </w:pPr>
                </w:p>
                <w:p w14:paraId="6479B7B6" w14:textId="77777777" w:rsidR="00B21F42" w:rsidRPr="00B21F42" w:rsidRDefault="00B21F42" w:rsidP="00B21F42">
                  <w:pPr>
                    <w:autoSpaceDN w:val="0"/>
                  </w:pPr>
                  <w:r w:rsidRPr="00B21F42">
                    <w:t>33%</w:t>
                  </w:r>
                </w:p>
              </w:tc>
              <w:tc>
                <w:tcPr>
                  <w:tcW w:w="1357" w:type="dxa"/>
                  <w:tcBorders>
                    <w:top w:val="single" w:sz="4" w:space="0" w:color="auto"/>
                    <w:left w:val="single" w:sz="4" w:space="0" w:color="auto"/>
                    <w:bottom w:val="single" w:sz="4" w:space="0" w:color="auto"/>
                    <w:right w:val="single" w:sz="4" w:space="0" w:color="auto"/>
                  </w:tcBorders>
                </w:tcPr>
                <w:p w14:paraId="2C89A2E6" w14:textId="77777777" w:rsidR="00B21F42" w:rsidRPr="00B21F42" w:rsidRDefault="00B21F42" w:rsidP="00B21F42">
                  <w:pPr>
                    <w:autoSpaceDN w:val="0"/>
                  </w:pPr>
                  <w:r w:rsidRPr="00B21F42">
                    <w:t>16/157</w:t>
                  </w:r>
                </w:p>
                <w:p w14:paraId="373B2CF8" w14:textId="77777777" w:rsidR="00B21F42" w:rsidRPr="00B21F42" w:rsidRDefault="00B21F42" w:rsidP="00B21F42">
                  <w:pPr>
                    <w:autoSpaceDN w:val="0"/>
                  </w:pPr>
                </w:p>
                <w:p w14:paraId="7438F0A5" w14:textId="77777777" w:rsidR="00B21F42" w:rsidRPr="00B21F42" w:rsidRDefault="00B21F42" w:rsidP="00B21F42">
                  <w:pPr>
                    <w:autoSpaceDN w:val="0"/>
                  </w:pPr>
                  <w:r w:rsidRPr="00B21F42">
                    <w:t>10%</w:t>
                  </w:r>
                </w:p>
              </w:tc>
              <w:tc>
                <w:tcPr>
                  <w:tcW w:w="1357" w:type="dxa"/>
                  <w:tcBorders>
                    <w:top w:val="single" w:sz="4" w:space="0" w:color="auto"/>
                    <w:left w:val="single" w:sz="4" w:space="0" w:color="auto"/>
                    <w:bottom w:val="single" w:sz="4" w:space="0" w:color="auto"/>
                    <w:right w:val="single" w:sz="4" w:space="0" w:color="auto"/>
                  </w:tcBorders>
                </w:tcPr>
                <w:p w14:paraId="4774DFE1" w14:textId="77777777" w:rsidR="00B21F42" w:rsidRPr="00B21F42" w:rsidRDefault="00B21F42" w:rsidP="00B21F42">
                  <w:pPr>
                    <w:autoSpaceDN w:val="0"/>
                  </w:pPr>
                  <w:r w:rsidRPr="00B21F42">
                    <w:t>22/75</w:t>
                  </w:r>
                </w:p>
                <w:p w14:paraId="69BD90FB" w14:textId="77777777" w:rsidR="00B21F42" w:rsidRPr="00B21F42" w:rsidRDefault="00B21F42" w:rsidP="00B21F42">
                  <w:pPr>
                    <w:autoSpaceDN w:val="0"/>
                  </w:pPr>
                </w:p>
                <w:p w14:paraId="286FC9A6" w14:textId="77777777" w:rsidR="00B21F42" w:rsidRPr="00B21F42" w:rsidRDefault="00B21F42" w:rsidP="00B21F42">
                  <w:pPr>
                    <w:autoSpaceDN w:val="0"/>
                  </w:pPr>
                  <w:r w:rsidRPr="00B21F42">
                    <w:t>29%</w:t>
                  </w:r>
                </w:p>
              </w:tc>
              <w:tc>
                <w:tcPr>
                  <w:tcW w:w="1358" w:type="dxa"/>
                  <w:tcBorders>
                    <w:top w:val="single" w:sz="4" w:space="0" w:color="auto"/>
                    <w:left w:val="single" w:sz="4" w:space="0" w:color="auto"/>
                    <w:bottom w:val="single" w:sz="4" w:space="0" w:color="auto"/>
                    <w:right w:val="single" w:sz="4" w:space="0" w:color="auto"/>
                  </w:tcBorders>
                </w:tcPr>
                <w:p w14:paraId="63979E53" w14:textId="77777777" w:rsidR="00B21F42" w:rsidRPr="00B21F42" w:rsidRDefault="00B21F42" w:rsidP="00B21F42">
                  <w:pPr>
                    <w:autoSpaceDN w:val="0"/>
                  </w:pPr>
                  <w:r w:rsidRPr="00B21F42">
                    <w:t>22/157</w:t>
                  </w:r>
                </w:p>
                <w:p w14:paraId="4AA1B8C2" w14:textId="77777777" w:rsidR="00B21F42" w:rsidRPr="00B21F42" w:rsidRDefault="00B21F42" w:rsidP="00B21F42">
                  <w:pPr>
                    <w:autoSpaceDN w:val="0"/>
                  </w:pPr>
                </w:p>
                <w:p w14:paraId="3939C5D1" w14:textId="77777777" w:rsidR="00B21F42" w:rsidRPr="00B21F42" w:rsidRDefault="00B21F42" w:rsidP="00B21F42">
                  <w:pPr>
                    <w:autoSpaceDN w:val="0"/>
                  </w:pPr>
                  <w:r w:rsidRPr="00B21F42">
                    <w:t>14%</w:t>
                  </w:r>
                </w:p>
              </w:tc>
            </w:tr>
            <w:tr w:rsidR="00B21F42" w:rsidRPr="00B21F42" w14:paraId="5CF95772" w14:textId="77777777">
              <w:tc>
                <w:tcPr>
                  <w:tcW w:w="1357" w:type="dxa"/>
                  <w:tcBorders>
                    <w:top w:val="single" w:sz="4" w:space="0" w:color="auto"/>
                    <w:left w:val="single" w:sz="4" w:space="0" w:color="auto"/>
                    <w:bottom w:val="single" w:sz="4" w:space="0" w:color="auto"/>
                    <w:right w:val="single" w:sz="4" w:space="0" w:color="auto"/>
                  </w:tcBorders>
                </w:tcPr>
                <w:p w14:paraId="150EC34A" w14:textId="77777777" w:rsidR="00B21F42" w:rsidRPr="00B21F42" w:rsidRDefault="00B21F42" w:rsidP="00B21F42">
                  <w:pPr>
                    <w:autoSpaceDN w:val="0"/>
                  </w:pPr>
                </w:p>
              </w:tc>
              <w:tc>
                <w:tcPr>
                  <w:tcW w:w="2714" w:type="dxa"/>
                  <w:gridSpan w:val="2"/>
                  <w:tcBorders>
                    <w:top w:val="single" w:sz="4" w:space="0" w:color="auto"/>
                    <w:left w:val="single" w:sz="4" w:space="0" w:color="auto"/>
                    <w:bottom w:val="single" w:sz="4" w:space="0" w:color="auto"/>
                    <w:right w:val="single" w:sz="4" w:space="0" w:color="auto"/>
                  </w:tcBorders>
                  <w:hideMark/>
                </w:tcPr>
                <w:p w14:paraId="72669D4F" w14:textId="77777777" w:rsidR="00B21F42" w:rsidRPr="00B21F42" w:rsidRDefault="00B21F42" w:rsidP="00B21F42">
                  <w:pPr>
                    <w:autoSpaceDN w:val="0"/>
                  </w:pPr>
                  <w:r w:rsidRPr="00B21F42">
                    <w:t>Less PP children than non PP children but a higher % overall</w:t>
                  </w:r>
                </w:p>
              </w:tc>
              <w:tc>
                <w:tcPr>
                  <w:tcW w:w="2714" w:type="dxa"/>
                  <w:gridSpan w:val="2"/>
                  <w:tcBorders>
                    <w:top w:val="single" w:sz="4" w:space="0" w:color="auto"/>
                    <w:left w:val="single" w:sz="4" w:space="0" w:color="auto"/>
                    <w:bottom w:val="single" w:sz="4" w:space="0" w:color="auto"/>
                    <w:right w:val="single" w:sz="4" w:space="0" w:color="auto"/>
                  </w:tcBorders>
                  <w:hideMark/>
                </w:tcPr>
                <w:p w14:paraId="65ADDF13" w14:textId="77777777" w:rsidR="00B21F42" w:rsidRPr="00B21F42" w:rsidRDefault="00B21F42" w:rsidP="00B21F42">
                  <w:pPr>
                    <w:autoSpaceDN w:val="0"/>
                  </w:pPr>
                  <w:r w:rsidRPr="00B21F42">
                    <w:t xml:space="preserve">More PP children than non PP children </w:t>
                  </w:r>
                </w:p>
              </w:tc>
              <w:tc>
                <w:tcPr>
                  <w:tcW w:w="2715" w:type="dxa"/>
                  <w:gridSpan w:val="2"/>
                  <w:tcBorders>
                    <w:top w:val="single" w:sz="4" w:space="0" w:color="auto"/>
                    <w:left w:val="single" w:sz="4" w:space="0" w:color="auto"/>
                    <w:bottom w:val="single" w:sz="4" w:space="0" w:color="auto"/>
                    <w:right w:val="single" w:sz="4" w:space="0" w:color="auto"/>
                  </w:tcBorders>
                  <w:hideMark/>
                </w:tcPr>
                <w:p w14:paraId="5A53D403" w14:textId="77777777" w:rsidR="00B21F42" w:rsidRPr="00B21F42" w:rsidRDefault="00B21F42" w:rsidP="00B21F42">
                  <w:pPr>
                    <w:autoSpaceDN w:val="0"/>
                  </w:pPr>
                  <w:r w:rsidRPr="00B21F42">
                    <w:t>Equal amount of PP and non PP children but a difference in the percentage.</w:t>
                  </w:r>
                </w:p>
              </w:tc>
            </w:tr>
          </w:tbl>
          <w:p w14:paraId="649CA0E1" w14:textId="77777777" w:rsidR="00B21F42" w:rsidRPr="00B21F42" w:rsidRDefault="00B21F42" w:rsidP="00B21F42"/>
          <w:p w14:paraId="67D4CA3A" w14:textId="25B063AB" w:rsidR="00B21F42" w:rsidRPr="00B21F42" w:rsidRDefault="00B21F42" w:rsidP="00B21F42">
            <w:r>
              <w:t>There has been t</w:t>
            </w:r>
            <w:r w:rsidRPr="00B21F42">
              <w:t>argeted attendance work with the PA children as well as attendance meetings with parents. Follow up work</w:t>
            </w:r>
            <w:r>
              <w:t xml:space="preserve"> has also been</w:t>
            </w:r>
            <w:r w:rsidRPr="00B21F42">
              <w:t xml:space="preserve"> completed by the Family Support Worker. FPN issued to four children who are compulsory school age and many NTI. </w:t>
            </w:r>
          </w:p>
          <w:p w14:paraId="695F01E3" w14:textId="77777777" w:rsidR="00B21F42" w:rsidRPr="00B21F42" w:rsidRDefault="00B21F42" w:rsidP="00B21F42"/>
          <w:p w14:paraId="7CD8541A" w14:textId="77777777" w:rsidR="00B21F42" w:rsidRPr="00B21F42" w:rsidRDefault="00B21F42" w:rsidP="00B21F42">
            <w:r w:rsidRPr="00B21F42">
              <w:t>Persistent Absentee data taken from FFT, school compared to National:</w:t>
            </w:r>
          </w:p>
          <w:p w14:paraId="121F6634" w14:textId="41A8E7EE" w:rsidR="00B21F42" w:rsidRPr="00B21F42" w:rsidRDefault="00B21F42" w:rsidP="00B21F42">
            <w:r w:rsidRPr="00B21F42">
              <w:rPr>
                <w:noProof/>
              </w:rPr>
              <w:drawing>
                <wp:inline distT="0" distB="0" distL="0" distR="0" wp14:anchorId="5DFF9C87" wp14:editId="25B3EE45">
                  <wp:extent cx="6029325" cy="1000125"/>
                  <wp:effectExtent l="0" t="0" r="9525" b="9525"/>
                  <wp:docPr id="538345947" name="Picture 5"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345947" name="Picture 5" descr="A screenshot of a computer&#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29325" cy="1000125"/>
                          </a:xfrm>
                          <a:prstGeom prst="rect">
                            <a:avLst/>
                          </a:prstGeom>
                          <a:noFill/>
                          <a:ln>
                            <a:noFill/>
                          </a:ln>
                        </pic:spPr>
                      </pic:pic>
                    </a:graphicData>
                  </a:graphic>
                </wp:inline>
              </w:drawing>
            </w:r>
          </w:p>
          <w:p w14:paraId="59A09D00" w14:textId="77777777" w:rsidR="00B21F42" w:rsidRPr="00B21F42" w:rsidRDefault="00B21F42" w:rsidP="00B21F42">
            <w:r w:rsidRPr="00B21F42">
              <w:t>Although we are closing the disadvantaged gap within school, we are significantly below the National figure in all year groups apart from two.</w:t>
            </w:r>
          </w:p>
          <w:p w14:paraId="01B3E71D" w14:textId="77777777" w:rsidR="00B21F42" w:rsidRPr="00B21F42" w:rsidRDefault="00B21F42" w:rsidP="00B21F42"/>
          <w:p w14:paraId="6DB5FC67" w14:textId="77777777" w:rsidR="00B21F42" w:rsidRPr="00B21F42" w:rsidRDefault="00B21F42" w:rsidP="00B21F42">
            <w:pPr>
              <w:rPr>
                <w:b/>
                <w:bCs/>
              </w:rPr>
            </w:pPr>
            <w:r w:rsidRPr="00B21F42">
              <w:rPr>
                <w:b/>
                <w:bCs/>
              </w:rPr>
              <w:t>Behaviour</w:t>
            </w:r>
          </w:p>
          <w:p w14:paraId="79A0F673" w14:textId="77777777" w:rsidR="00B21F42" w:rsidRPr="00B21F42" w:rsidRDefault="00B21F42" w:rsidP="00B21F42">
            <w:r w:rsidRPr="00B21F42">
              <w:t>In the academic year 2024-2025</w:t>
            </w:r>
          </w:p>
          <w:p w14:paraId="2F1B9470" w14:textId="77777777" w:rsidR="00B21F42" w:rsidRPr="00B21F42" w:rsidRDefault="00B21F42" w:rsidP="00B21F42">
            <w:r w:rsidRPr="00B21F42">
              <w:t xml:space="preserve">There were two FTE across the whole year. This weas the same child and he was not a PP child. </w:t>
            </w:r>
          </w:p>
          <w:p w14:paraId="501A4D80" w14:textId="77777777" w:rsidR="00B21F42" w:rsidRPr="00B21F42" w:rsidRDefault="00B21F42" w:rsidP="00B21F42">
            <w:pPr>
              <w:rPr>
                <w:b/>
                <w:bCs/>
              </w:rPr>
            </w:pPr>
            <w:r w:rsidRPr="00B21F42">
              <w:rPr>
                <w:b/>
                <w:bCs/>
              </w:rPr>
              <w:t>Wellbeing</w:t>
            </w:r>
          </w:p>
          <w:p w14:paraId="1C1C05EA" w14:textId="77777777" w:rsidR="00B21F42" w:rsidRPr="00B21F42" w:rsidRDefault="00B21F42" w:rsidP="00B21F42">
            <w:r w:rsidRPr="00B21F42">
              <w:t xml:space="preserve">Wellbeing is at the forefront of our work, and we recognise its vital connection to strong school attendance. When pupils feel safe, supported, and emotionally settled, they are far more likely to attend regularly and engage positively with learning. This is especially </w:t>
            </w:r>
            <w:r w:rsidRPr="00B21F42">
              <w:lastRenderedPageBreak/>
              <w:t>true for our Pupil Premium children, who may face additional barriers that can impact both their wellbeing and their attendance.</w:t>
            </w:r>
          </w:p>
          <w:p w14:paraId="7A1B9063" w14:textId="0E6D1E6D" w:rsidR="00B21F42" w:rsidRPr="00B21F42" w:rsidRDefault="00B21F42" w:rsidP="00B21F42">
            <w:r w:rsidRPr="00B21F42">
              <w:t xml:space="preserve">By prioritising wellbeing through early identification of need, targeted pastoral support, and strong relationships with families, we </w:t>
            </w:r>
            <w:r>
              <w:t>hope to</w:t>
            </w:r>
            <w:r w:rsidRPr="00B21F42">
              <w:t xml:space="preserve"> remove these barriers and ensure our Pupil Premium pupils have the best possible chance of consistent attendance and success. Our approach ensures that wellbeing and attendance are not separate priorities, but interconnected strands of the same commitmen</w:t>
            </w:r>
            <w:r>
              <w:t>t,</w:t>
            </w:r>
            <w:r w:rsidRPr="00B21F42">
              <w:t xml:space="preserve"> giving every child the opportunity to thrive.</w:t>
            </w:r>
          </w:p>
          <w:p w14:paraId="3BA956D2" w14:textId="7A4A80C7" w:rsidR="00B21F42" w:rsidRPr="00B21F42" w:rsidRDefault="00B21F42" w:rsidP="00B21F42">
            <w:r w:rsidRPr="00B21F42">
              <w:t xml:space="preserve">Based on all of the information above, the performance of our disadvantage pupils did not meet our expectations in the academic year 2024-2025. </w:t>
            </w:r>
            <w:r w:rsidR="000D29DE" w:rsidRPr="000D29DE">
              <w:t>As outlined in the above statements we have</w:t>
            </w:r>
            <w:r w:rsidR="006568C3">
              <w:t xml:space="preserve"> a</w:t>
            </w:r>
            <w:r w:rsidR="000D29DE" w:rsidRPr="000D29DE">
              <w:t xml:space="preserve"> determination to close the disadvantaged gap in this academic year and beyond</w:t>
            </w:r>
            <w:r w:rsidR="006568C3">
              <w:t xml:space="preserve">. </w:t>
            </w:r>
            <w:r w:rsidRPr="00B21F42">
              <w:t xml:space="preserve">We have reviewed our strategic plan and made changes to how we intend to use some of our budget this academic year. </w:t>
            </w:r>
          </w:p>
        </w:tc>
      </w:tr>
    </w:tbl>
    <w:p w14:paraId="1151DBA0" w14:textId="77777777" w:rsidR="00B21F42" w:rsidRPr="00B21F42" w:rsidRDefault="00B21F42" w:rsidP="00B21F42"/>
    <w:p w14:paraId="0C634393" w14:textId="77777777" w:rsidR="00B21F42" w:rsidRPr="00B21F42" w:rsidRDefault="00B21F42" w:rsidP="00B21F42"/>
    <w:p w14:paraId="57240597" w14:textId="77777777" w:rsidR="00B21F42" w:rsidRPr="00B21F42" w:rsidRDefault="00B21F42" w:rsidP="00B21F42"/>
    <w:bookmarkEnd w:id="14"/>
    <w:bookmarkEnd w:id="15"/>
    <w:bookmarkEnd w:id="16"/>
    <w:p w14:paraId="2E98C647" w14:textId="77777777" w:rsidR="00E66558" w:rsidRDefault="00E66558" w:rsidP="00120AB1"/>
    <w:sectPr w:rsidR="00E66558">
      <w:headerReference w:type="default" r:id="rId11"/>
      <w:footerReference w:type="default" r:id="rId12"/>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1E1C5" w14:textId="77777777" w:rsidR="00D63F4E" w:rsidRDefault="00D63F4E">
      <w:pPr>
        <w:spacing w:after="0" w:line="240" w:lineRule="auto"/>
      </w:pPr>
      <w:r>
        <w:separator/>
      </w:r>
    </w:p>
  </w:endnote>
  <w:endnote w:type="continuationSeparator" w:id="0">
    <w:p w14:paraId="1C97BF06" w14:textId="77777777" w:rsidR="00D63F4E" w:rsidRDefault="00D63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A71984" w:rsidRDefault="009D71E8">
    <w:pPr>
      <w:pStyle w:val="Footer"/>
      <w:ind w:firstLine="4513"/>
    </w:pPr>
    <w:r>
      <w:fldChar w:fldCharType="begin"/>
    </w:r>
    <w:r>
      <w:instrText xml:space="preserve"> PAGE </w:instrText>
    </w:r>
    <w:r>
      <w:fldChar w:fldCharType="separate"/>
    </w:r>
    <w:r w:rsidR="006D1D6A">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E7669" w14:textId="77777777" w:rsidR="00D63F4E" w:rsidRDefault="00D63F4E">
      <w:pPr>
        <w:spacing w:after="0" w:line="240" w:lineRule="auto"/>
      </w:pPr>
      <w:r>
        <w:separator/>
      </w:r>
    </w:p>
  </w:footnote>
  <w:footnote w:type="continuationSeparator" w:id="0">
    <w:p w14:paraId="0F4A31CE" w14:textId="77777777" w:rsidR="00D63F4E" w:rsidRDefault="00D63F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A71984" w:rsidRDefault="00A719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5B516C2"/>
    <w:multiLevelType w:val="hybridMultilevel"/>
    <w:tmpl w:val="6CEE4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441F0AC1"/>
    <w:multiLevelType w:val="hybridMultilevel"/>
    <w:tmpl w:val="D6308636"/>
    <w:lvl w:ilvl="0" w:tplc="418624B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471D36"/>
    <w:multiLevelType w:val="hybridMultilevel"/>
    <w:tmpl w:val="3EAA70A0"/>
    <w:lvl w:ilvl="0" w:tplc="76645D2E">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FF03E9D"/>
    <w:multiLevelType w:val="hybridMultilevel"/>
    <w:tmpl w:val="8A520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642F9B"/>
    <w:multiLevelType w:val="hybridMultilevel"/>
    <w:tmpl w:val="F29879D0"/>
    <w:lvl w:ilvl="0" w:tplc="9BD6E6F0">
      <w:numFmt w:val="bullet"/>
      <w:lvlText w:val=""/>
      <w:lvlJc w:val="left"/>
      <w:pPr>
        <w:ind w:left="1140" w:hanging="360"/>
      </w:pPr>
      <w:rPr>
        <w:rFonts w:ascii="Symbol" w:eastAsia="Symbol" w:hAnsi="Symbol" w:cs="Symbol" w:hint="default"/>
        <w:w w:val="100"/>
        <w:sz w:val="24"/>
        <w:szCs w:val="24"/>
        <w:lang w:val="en-GB" w:eastAsia="en-GB" w:bidi="en-GB"/>
      </w:rPr>
    </w:lvl>
    <w:lvl w:ilvl="1" w:tplc="4918AB92">
      <w:numFmt w:val="bullet"/>
      <w:lvlText w:val="•"/>
      <w:lvlJc w:val="left"/>
      <w:pPr>
        <w:ind w:left="1982" w:hanging="360"/>
      </w:pPr>
      <w:rPr>
        <w:rFonts w:hint="default"/>
        <w:lang w:val="en-GB" w:eastAsia="en-GB" w:bidi="en-GB"/>
      </w:rPr>
    </w:lvl>
    <w:lvl w:ilvl="2" w:tplc="77348A3A">
      <w:numFmt w:val="bullet"/>
      <w:lvlText w:val="•"/>
      <w:lvlJc w:val="left"/>
      <w:pPr>
        <w:ind w:left="2824" w:hanging="360"/>
      </w:pPr>
      <w:rPr>
        <w:rFonts w:hint="default"/>
        <w:lang w:val="en-GB" w:eastAsia="en-GB" w:bidi="en-GB"/>
      </w:rPr>
    </w:lvl>
    <w:lvl w:ilvl="3" w:tplc="3A3097B2">
      <w:numFmt w:val="bullet"/>
      <w:lvlText w:val="•"/>
      <w:lvlJc w:val="left"/>
      <w:pPr>
        <w:ind w:left="3666" w:hanging="360"/>
      </w:pPr>
      <w:rPr>
        <w:rFonts w:hint="default"/>
        <w:lang w:val="en-GB" w:eastAsia="en-GB" w:bidi="en-GB"/>
      </w:rPr>
    </w:lvl>
    <w:lvl w:ilvl="4" w:tplc="F0C20854">
      <w:numFmt w:val="bullet"/>
      <w:lvlText w:val="•"/>
      <w:lvlJc w:val="left"/>
      <w:pPr>
        <w:ind w:left="4508" w:hanging="360"/>
      </w:pPr>
      <w:rPr>
        <w:rFonts w:hint="default"/>
        <w:lang w:val="en-GB" w:eastAsia="en-GB" w:bidi="en-GB"/>
      </w:rPr>
    </w:lvl>
    <w:lvl w:ilvl="5" w:tplc="C2A01C16">
      <w:numFmt w:val="bullet"/>
      <w:lvlText w:val="•"/>
      <w:lvlJc w:val="left"/>
      <w:pPr>
        <w:ind w:left="5350" w:hanging="360"/>
      </w:pPr>
      <w:rPr>
        <w:rFonts w:hint="default"/>
        <w:lang w:val="en-GB" w:eastAsia="en-GB" w:bidi="en-GB"/>
      </w:rPr>
    </w:lvl>
    <w:lvl w:ilvl="6" w:tplc="C8527400">
      <w:numFmt w:val="bullet"/>
      <w:lvlText w:val="•"/>
      <w:lvlJc w:val="left"/>
      <w:pPr>
        <w:ind w:left="6192" w:hanging="360"/>
      </w:pPr>
      <w:rPr>
        <w:rFonts w:hint="default"/>
        <w:lang w:val="en-GB" w:eastAsia="en-GB" w:bidi="en-GB"/>
      </w:rPr>
    </w:lvl>
    <w:lvl w:ilvl="7" w:tplc="7F44B092">
      <w:numFmt w:val="bullet"/>
      <w:lvlText w:val="•"/>
      <w:lvlJc w:val="left"/>
      <w:pPr>
        <w:ind w:left="7034" w:hanging="360"/>
      </w:pPr>
      <w:rPr>
        <w:rFonts w:hint="default"/>
        <w:lang w:val="en-GB" w:eastAsia="en-GB" w:bidi="en-GB"/>
      </w:rPr>
    </w:lvl>
    <w:lvl w:ilvl="8" w:tplc="8818A5EA">
      <w:numFmt w:val="bullet"/>
      <w:lvlText w:val="•"/>
      <w:lvlJc w:val="left"/>
      <w:pPr>
        <w:ind w:left="7876" w:hanging="360"/>
      </w:pPr>
      <w:rPr>
        <w:rFonts w:hint="default"/>
        <w:lang w:val="en-GB" w:eastAsia="en-GB" w:bidi="en-GB"/>
      </w:rPr>
    </w:lvl>
  </w:abstractNum>
  <w:abstractNum w:abstractNumId="13"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5"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6"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7"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7CAA5A52"/>
    <w:multiLevelType w:val="hybridMultilevel"/>
    <w:tmpl w:val="A596F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3984837">
    <w:abstractNumId w:val="3"/>
  </w:num>
  <w:num w:numId="2" w16cid:durableId="679816446">
    <w:abstractNumId w:val="1"/>
  </w:num>
  <w:num w:numId="3" w16cid:durableId="1661039784">
    <w:abstractNumId w:val="4"/>
  </w:num>
  <w:num w:numId="4" w16cid:durableId="970742662">
    <w:abstractNumId w:val="5"/>
  </w:num>
  <w:num w:numId="5" w16cid:durableId="1694989724">
    <w:abstractNumId w:val="0"/>
  </w:num>
  <w:num w:numId="6" w16cid:durableId="719331333">
    <w:abstractNumId w:val="7"/>
  </w:num>
  <w:num w:numId="7" w16cid:durableId="1702514135">
    <w:abstractNumId w:val="13"/>
  </w:num>
  <w:num w:numId="8" w16cid:durableId="909538036">
    <w:abstractNumId w:val="17"/>
  </w:num>
  <w:num w:numId="9" w16cid:durableId="442923296">
    <w:abstractNumId w:val="15"/>
  </w:num>
  <w:num w:numId="10" w16cid:durableId="1360818213">
    <w:abstractNumId w:val="14"/>
  </w:num>
  <w:num w:numId="11" w16cid:durableId="222721564">
    <w:abstractNumId w:val="2"/>
  </w:num>
  <w:num w:numId="12" w16cid:durableId="1105269996">
    <w:abstractNumId w:val="16"/>
  </w:num>
  <w:num w:numId="13" w16cid:durableId="1480418781">
    <w:abstractNumId w:val="10"/>
  </w:num>
  <w:num w:numId="14" w16cid:durableId="1351948713">
    <w:abstractNumId w:val="12"/>
  </w:num>
  <w:num w:numId="15" w16cid:durableId="522011060">
    <w:abstractNumId w:val="11"/>
  </w:num>
  <w:num w:numId="16" w16cid:durableId="1463696882">
    <w:abstractNumId w:val="18"/>
  </w:num>
  <w:num w:numId="17" w16cid:durableId="1829858516">
    <w:abstractNumId w:val="9"/>
  </w:num>
  <w:num w:numId="18" w16cid:durableId="1870873743">
    <w:abstractNumId w:val="8"/>
  </w:num>
  <w:num w:numId="19" w16cid:durableId="9019887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66B73"/>
    <w:rsid w:val="000B29E4"/>
    <w:rsid w:val="000C7175"/>
    <w:rsid w:val="000D29DE"/>
    <w:rsid w:val="000F53A6"/>
    <w:rsid w:val="00110209"/>
    <w:rsid w:val="001117F9"/>
    <w:rsid w:val="00120AB1"/>
    <w:rsid w:val="00126AA1"/>
    <w:rsid w:val="00165144"/>
    <w:rsid w:val="00196BB2"/>
    <w:rsid w:val="0019760A"/>
    <w:rsid w:val="001A6706"/>
    <w:rsid w:val="001D2A55"/>
    <w:rsid w:val="001D5255"/>
    <w:rsid w:val="001E519E"/>
    <w:rsid w:val="00201FCC"/>
    <w:rsid w:val="00234961"/>
    <w:rsid w:val="002405CE"/>
    <w:rsid w:val="0027707F"/>
    <w:rsid w:val="002A1D97"/>
    <w:rsid w:val="002A7731"/>
    <w:rsid w:val="002B6549"/>
    <w:rsid w:val="002C3530"/>
    <w:rsid w:val="002E5702"/>
    <w:rsid w:val="002E5F2F"/>
    <w:rsid w:val="00303BA4"/>
    <w:rsid w:val="00333D5C"/>
    <w:rsid w:val="00367E38"/>
    <w:rsid w:val="0037163F"/>
    <w:rsid w:val="003B64CB"/>
    <w:rsid w:val="003D1D1A"/>
    <w:rsid w:val="003D5042"/>
    <w:rsid w:val="004044AA"/>
    <w:rsid w:val="00416B39"/>
    <w:rsid w:val="0042296D"/>
    <w:rsid w:val="00440973"/>
    <w:rsid w:val="00455AE4"/>
    <w:rsid w:val="00480463"/>
    <w:rsid w:val="00491EED"/>
    <w:rsid w:val="004A3135"/>
    <w:rsid w:val="004C1D5E"/>
    <w:rsid w:val="004C3257"/>
    <w:rsid w:val="004E27A6"/>
    <w:rsid w:val="004F13A8"/>
    <w:rsid w:val="0050277D"/>
    <w:rsid w:val="00516A09"/>
    <w:rsid w:val="00534D28"/>
    <w:rsid w:val="00544DF6"/>
    <w:rsid w:val="0054500C"/>
    <w:rsid w:val="00593171"/>
    <w:rsid w:val="005976C4"/>
    <w:rsid w:val="005C02FB"/>
    <w:rsid w:val="005C1903"/>
    <w:rsid w:val="005D1617"/>
    <w:rsid w:val="005E5CEF"/>
    <w:rsid w:val="005F677C"/>
    <w:rsid w:val="0061030E"/>
    <w:rsid w:val="00625250"/>
    <w:rsid w:val="00646B91"/>
    <w:rsid w:val="006568C3"/>
    <w:rsid w:val="0067448A"/>
    <w:rsid w:val="006D1D6A"/>
    <w:rsid w:val="006D6694"/>
    <w:rsid w:val="006E7FB1"/>
    <w:rsid w:val="006F5338"/>
    <w:rsid w:val="007304D8"/>
    <w:rsid w:val="00741B9E"/>
    <w:rsid w:val="007B0D2D"/>
    <w:rsid w:val="007C2F04"/>
    <w:rsid w:val="007E0297"/>
    <w:rsid w:val="007E0AFD"/>
    <w:rsid w:val="008331CF"/>
    <w:rsid w:val="00851F18"/>
    <w:rsid w:val="008A630A"/>
    <w:rsid w:val="008C6F65"/>
    <w:rsid w:val="008F6B61"/>
    <w:rsid w:val="00910459"/>
    <w:rsid w:val="00915E36"/>
    <w:rsid w:val="009551FE"/>
    <w:rsid w:val="00956275"/>
    <w:rsid w:val="00967881"/>
    <w:rsid w:val="00971727"/>
    <w:rsid w:val="00971BB2"/>
    <w:rsid w:val="009A3168"/>
    <w:rsid w:val="009C20A3"/>
    <w:rsid w:val="009D71E8"/>
    <w:rsid w:val="00A1235C"/>
    <w:rsid w:val="00A22E12"/>
    <w:rsid w:val="00A42008"/>
    <w:rsid w:val="00A6040F"/>
    <w:rsid w:val="00A71984"/>
    <w:rsid w:val="00AD36BB"/>
    <w:rsid w:val="00B16B6C"/>
    <w:rsid w:val="00B21F42"/>
    <w:rsid w:val="00B30E65"/>
    <w:rsid w:val="00B55D49"/>
    <w:rsid w:val="00BA51F5"/>
    <w:rsid w:val="00BC583A"/>
    <w:rsid w:val="00BE3EEB"/>
    <w:rsid w:val="00BE5136"/>
    <w:rsid w:val="00C04355"/>
    <w:rsid w:val="00C11C32"/>
    <w:rsid w:val="00C2237A"/>
    <w:rsid w:val="00C33E6F"/>
    <w:rsid w:val="00C446BB"/>
    <w:rsid w:val="00C6131B"/>
    <w:rsid w:val="00C9313A"/>
    <w:rsid w:val="00CB15EB"/>
    <w:rsid w:val="00CE0755"/>
    <w:rsid w:val="00CF33CE"/>
    <w:rsid w:val="00D050A8"/>
    <w:rsid w:val="00D313D6"/>
    <w:rsid w:val="00D33FE5"/>
    <w:rsid w:val="00D41720"/>
    <w:rsid w:val="00D43557"/>
    <w:rsid w:val="00D63F4E"/>
    <w:rsid w:val="00D65776"/>
    <w:rsid w:val="00DE1907"/>
    <w:rsid w:val="00DE2AFC"/>
    <w:rsid w:val="00DE3AA3"/>
    <w:rsid w:val="00E24CB5"/>
    <w:rsid w:val="00E253C7"/>
    <w:rsid w:val="00E268C5"/>
    <w:rsid w:val="00E43043"/>
    <w:rsid w:val="00E456B9"/>
    <w:rsid w:val="00E52AB0"/>
    <w:rsid w:val="00E55668"/>
    <w:rsid w:val="00E57C36"/>
    <w:rsid w:val="00E64EFD"/>
    <w:rsid w:val="00E66558"/>
    <w:rsid w:val="00E716D4"/>
    <w:rsid w:val="00EA7305"/>
    <w:rsid w:val="00EC3757"/>
    <w:rsid w:val="00EC4246"/>
    <w:rsid w:val="00F26125"/>
    <w:rsid w:val="00F41AC7"/>
    <w:rsid w:val="00F53D0F"/>
    <w:rsid w:val="00F54BB5"/>
    <w:rsid w:val="00FC713F"/>
    <w:rsid w:val="00FD2C3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uiPriority w:val="9"/>
    <w:rPr>
      <w:b/>
      <w:color w:val="104F75"/>
      <w:sz w:val="36"/>
      <w:szCs w:val="24"/>
    </w:rPr>
  </w:style>
  <w:style w:type="character" w:customStyle="1" w:styleId="Heading2Char">
    <w:name w:val="Heading 2 Char"/>
    <w:uiPriority w:val="9"/>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table" w:styleId="TableGrid">
    <w:name w:val="Table Grid"/>
    <w:basedOn w:val="TableNormal"/>
    <w:uiPriority w:val="39"/>
    <w:rsid w:val="00A6040F"/>
    <w:pPr>
      <w:autoSpaceDN/>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1848</Words>
  <Characters>10535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Cambridge Road Primary Head</cp:lastModifiedBy>
  <cp:revision>4</cp:revision>
  <cp:lastPrinted>2024-12-16T15:38:00Z</cp:lastPrinted>
  <dcterms:created xsi:type="dcterms:W3CDTF">2025-12-11T11:07:00Z</dcterms:created>
  <dcterms:modified xsi:type="dcterms:W3CDTF">2025-12-15T09:59:00Z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