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Override PartName="/word/media/rId51.png" ContentType="image/png"/>
  <Override PartName="/word/media/rId30.png" ContentType="image/png"/>
  <Override PartName="/word/media/rId34.png" ContentType="image/png"/>
  <Override PartName="/word/media/rId40.png" ContentType="image/png"/>
  <Override PartName="/word/media/rId45.png" ContentType="image/png"/>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1348635" cy="1085589"/>
            <wp:effectExtent b="0" l="0" r="0" t="0"/>
            <wp:docPr descr="" title="" id="21" name="Picture"/>
            <a:graphic>
              <a:graphicData uri="http://schemas.openxmlformats.org/drawingml/2006/picture">
                <pic:pic>
                  <pic:nvPicPr>
                    <pic:cNvPr descr="DfE%20logo.png" id="22" name="Picture"/>
                    <pic:cNvPicPr>
                      <a:picLocks noChangeArrowheads="1" noChangeAspect="1"/>
                    </pic:cNvPicPr>
                  </pic:nvPicPr>
                  <pic:blipFill>
                    <a:blip r:embed="rId20"/>
                    <a:stretch>
                      <a:fillRect/>
                    </a:stretch>
                  </pic:blipFill>
                  <pic:spPr bwMode="auto">
                    <a:xfrm>
                      <a:off x="0" y="0"/>
                      <a:ext cx="1348635" cy="1085589"/>
                    </a:xfrm>
                    <a:prstGeom prst="rect">
                      <a:avLst/>
                    </a:prstGeom>
                    <a:noFill/>
                    <a:ln w="9525">
                      <a:noFill/>
                      <a:headEnd/>
                      <a:tailEnd/>
                    </a:ln>
                  </pic:spPr>
                </pic:pic>
              </a:graphicData>
            </a:graphic>
          </wp:inline>
        </w:drawing>
      </w:r>
    </w:p>
    <w:bookmarkStart w:id="23" w:name="ashchurch-primary-school--"/>
    <w:p>
      <w:pPr>
        <w:pStyle w:val="Heading1"/>
      </w:pPr>
      <w:r>
        <w:t xml:space="preserve">Ashchurch Primary School -</w:t>
      </w:r>
    </w:p>
    <w:bookmarkEnd w:id="23"/>
    <w:bookmarkStart w:id="58" w:name="attendance-summary-report"/>
    <w:p>
      <w:pPr>
        <w:pStyle w:val="Heading1"/>
      </w:pPr>
      <w:r>
        <w:t xml:space="preserve">Attendance summary report</w:t>
      </w:r>
    </w:p>
    <w:bookmarkStart w:id="24" w:name="monitor-your-school-attendance"/>
    <w:p>
      <w:pPr>
        <w:pStyle w:val="Heading7"/>
      </w:pPr>
      <w:r>
        <w:t xml:space="preserve">Monitor your school attendance</w:t>
      </w:r>
    </w:p>
    <w:bookmarkEnd w:id="24"/>
    <w:bookmarkStart w:id="25" w:name="X8cb97adb445aadc19f648f3be1ff03b2a2aeb50"/>
    <w:p>
      <w:pPr>
        <w:pStyle w:val="Heading6"/>
      </w:pPr>
      <w:r>
        <w:t xml:space="preserve">Autumn term 2025 to 2026 (September to mid-December)</w:t>
      </w:r>
    </w:p>
    <w:p>
      <w:r>
        <w:br w:type="page"/>
      </w:r>
    </w:p>
    <w:bookmarkEnd w:id="25"/>
    <w:bookmarkStart w:id="27" w:name="data-protection-and-data-sharing"/>
    <w:p>
      <w:pPr>
        <w:pStyle w:val="Heading2"/>
      </w:pPr>
      <w:r>
        <w:t xml:space="preserve">Data protection and data sharing</w:t>
      </w:r>
    </w:p>
    <w:p>
      <w:pPr>
        <w:pStyle w:val="FirstParagraph"/>
      </w:pPr>
      <w:r>
        <w:t xml:space="preserve">This report contains sensitive information about your school.</w:t>
      </w:r>
    </w:p>
    <w:p>
      <w:pPr>
        <w:pStyle w:val="BodyText"/>
      </w:pPr>
      <w:r>
        <w:t xml:space="preserve">You must store and share the data securely. Read the</w:t>
      </w:r>
      <w:r>
        <w:t xml:space="preserve"> </w:t>
      </w:r>
      <w:hyperlink r:id="rId26">
        <w:r>
          <w:rPr>
            <w:rStyle w:val="Hyperlink"/>
          </w:rPr>
          <w:t xml:space="preserve">data protection impact assessment (DPIA)</w:t>
        </w:r>
      </w:hyperlink>
      <w:r>
        <w:t xml:space="preserve"> </w:t>
      </w:r>
      <w:r>
        <w:t xml:space="preserve">(PDF, 241 KB, 21 pages) for the daily attendance data collection.</w:t>
      </w:r>
    </w:p>
    <w:bookmarkEnd w:id="27"/>
    <w:bookmarkStart w:id="28" w:name="version-history"/>
    <w:p>
      <w:pPr>
        <w:pStyle w:val="Heading2"/>
      </w:pPr>
      <w:r>
        <w:t xml:space="preserve">Version history</w:t>
      </w:r>
    </w:p>
    <w:p>
      <w:pPr>
        <w:pStyle w:val="FirstParagraph"/>
      </w:pPr>
      <w:r>
        <w:t xml:space="preserve">This table shows changes to your summary report for the current academic year.</w:t>
      </w:r>
    </w:p>
    <w:tbl>
      <w:tblPr>
        <w:tblStyle w:val="Table"/>
        <w:tblW w:type="pct" w:w="5000"/>
        <w:tblLayout w:type="fixed"/>
        <w:tblLook w:firstRow="1" w:lastRow="0" w:firstColumn="0" w:lastColumn="0" w:noHBand="0" w:noVBand="0" w:val="0020"/>
      </w:tblPr>
      <w:tblGrid>
        <w:gridCol w:w="1712"/>
        <w:gridCol w:w="2656"/>
        <w:gridCol w:w="1856"/>
        <w:gridCol w:w="1696"/>
      </w:tblGrid>
      <w:tr>
        <w:trPr>
          <w:tblHeader w:val="on"/>
        </w:trPr>
        <w:tc>
          <w:tcPr/>
          <w:p>
            <w:pPr>
              <w:pStyle w:val="Compact"/>
              <w:jc w:val="left"/>
            </w:pPr>
            <w:r>
              <w:t xml:space="preserve">Version</w:t>
            </w:r>
          </w:p>
        </w:tc>
        <w:tc>
          <w:tcPr/>
          <w:p>
            <w:pPr>
              <w:pStyle w:val="Compact"/>
              <w:jc w:val="left"/>
            </w:pPr>
            <w:r>
              <w:t xml:space="preserve">Changes</w:t>
            </w:r>
          </w:p>
        </w:tc>
        <w:tc>
          <w:tcPr/>
          <w:p>
            <w:pPr>
              <w:pStyle w:val="Compact"/>
              <w:jc w:val="left"/>
            </w:pPr>
            <w:r>
              <w:t xml:space="preserve">Date</w:t>
            </w:r>
          </w:p>
        </w:tc>
        <w:tc>
          <w:tcPr/>
          <w:p>
            <w:pPr>
              <w:pStyle w:val="Compact"/>
              <w:jc w:val="left"/>
            </w:pPr>
            <w:r>
              <w:t xml:space="preserve">Author</w:t>
            </w:r>
          </w:p>
        </w:tc>
      </w:tr>
      <w:tr>
        <w:tc>
          <w:tcPr/>
          <w:p>
            <w:pPr>
              <w:pStyle w:val="Compact"/>
              <w:jc w:val="left"/>
            </w:pPr>
            <w:r>
              <w:t xml:space="preserve">1.0</w:t>
            </w:r>
          </w:p>
        </w:tc>
        <w:tc>
          <w:tcPr/>
          <w:p>
            <w:pPr>
              <w:pStyle w:val="Compact"/>
              <w:jc w:val="left"/>
            </w:pPr>
            <w:r>
              <w:t xml:space="preserve">Initial release</w:t>
            </w:r>
          </w:p>
        </w:tc>
        <w:tc>
          <w:tcPr/>
          <w:p>
            <w:pPr>
              <w:pStyle w:val="Compact"/>
              <w:jc w:val="left"/>
            </w:pPr>
            <w:r>
              <w:t xml:space="preserve">1 September 2025</w:t>
            </w:r>
          </w:p>
        </w:tc>
        <w:tc>
          <w:tcPr/>
          <w:p>
            <w:pPr>
              <w:pStyle w:val="Compact"/>
              <w:jc w:val="left"/>
            </w:pPr>
            <w:r>
              <w:t xml:space="preserve">DfE</w:t>
            </w:r>
          </w:p>
        </w:tc>
      </w:tr>
      <w:tr>
        <w:tc>
          <w:tcPr/>
          <w:p>
            <w:pPr>
              <w:pStyle w:val="Compact"/>
              <w:jc w:val="left"/>
            </w:pPr>
            <w:r>
              <w:t xml:space="preserve">1.1</w:t>
            </w:r>
          </w:p>
        </w:tc>
        <w:tc>
          <w:tcPr/>
          <w:p>
            <w:pPr>
              <w:pStyle w:val="Compact"/>
              <w:jc w:val="left"/>
            </w:pPr>
            <w:r>
              <w:t xml:space="preserve">Added number of sessions of attendance data the report is based on</w:t>
            </w:r>
          </w:p>
        </w:tc>
        <w:tc>
          <w:tcPr/>
          <w:p>
            <w:pPr>
              <w:pStyle w:val="Compact"/>
              <w:jc w:val="left"/>
            </w:pPr>
            <w:r>
              <w:t xml:space="preserve">11 November 2025</w:t>
            </w:r>
          </w:p>
        </w:tc>
        <w:tc>
          <w:tcPr/>
          <w:p>
            <w:pPr>
              <w:pStyle w:val="Compact"/>
              <w:jc w:val="left"/>
            </w:pPr>
            <w:r>
              <w:t xml:space="preserve">DfE</w:t>
            </w:r>
          </w:p>
        </w:tc>
      </w:tr>
    </w:tbl>
    <w:p>
      <w:r>
        <w:br w:type="page"/>
      </w:r>
    </w:p>
    <w:bookmarkEnd w:id="28"/>
    <w:bookmarkStart w:id="29" w:name="what-is-the-attendance-summary-report"/>
    <w:p>
      <w:pPr>
        <w:pStyle w:val="Heading2"/>
      </w:pPr>
      <w:r>
        <w:t xml:space="preserve">What is the attendance summary report?</w:t>
      </w:r>
    </w:p>
    <w:p>
      <w:pPr>
        <w:pStyle w:val="FirstParagraph"/>
      </w:pPr>
      <w:r>
        <w:t xml:space="preserve">This report summarises attendance for pupils in years</w:t>
      </w:r>
      <w:r>
        <w:t xml:space="preserve"> </w:t>
      </w:r>
      <w:r>
        <w:rPr>
          <w:b/>
          <w:bCs/>
        </w:rPr>
        <w:t xml:space="preserve">1 to 6</w:t>
      </w:r>
      <w:r>
        <w:t xml:space="preserve"> </w:t>
      </w:r>
      <w:r>
        <w:t xml:space="preserve">compared to the</w:t>
      </w:r>
      <w:r>
        <w:t xml:space="preserve"> </w:t>
      </w:r>
      <w:r>
        <w:rPr>
          <w:b/>
          <w:bCs/>
        </w:rPr>
        <w:t xml:space="preserve">national average</w:t>
      </w:r>
      <w:r>
        <w:t xml:space="preserve">. It is:</w:t>
      </w:r>
    </w:p>
    <w:p>
      <w:pPr>
        <w:pStyle w:val="Compact"/>
        <w:numPr>
          <w:ilvl w:val="0"/>
          <w:numId w:val="1001"/>
        </w:numPr>
      </w:pPr>
      <w:r>
        <w:t xml:space="preserve">specific to your school.</w:t>
      </w:r>
    </w:p>
    <w:p>
      <w:pPr>
        <w:pStyle w:val="Compact"/>
        <w:numPr>
          <w:ilvl w:val="0"/>
          <w:numId w:val="1001"/>
        </w:numPr>
      </w:pPr>
      <w:r>
        <w:t xml:space="preserve">updated at the end of each half and full term.</w:t>
      </w:r>
    </w:p>
    <w:bookmarkEnd w:id="29"/>
    <w:bookmarkStart w:id="39" w:name="headline-attendance-and-absence"/>
    <w:p>
      <w:pPr>
        <w:pStyle w:val="Heading2"/>
      </w:pPr>
      <w:r>
        <w:t xml:space="preserve">Headline attendance and absence</w:t>
      </w:r>
    </w:p>
    <w:p>
      <w:pPr>
        <w:pStyle w:val="FirstParagraph"/>
      </w:pPr>
      <w:r>
        <w:t xml:space="preserve">Shows overall attendance and persistent absence figures for pupils in years 1 to 6 compared to the national average. Results are based on:</w:t>
      </w:r>
    </w:p>
    <w:p>
      <w:pPr>
        <w:pStyle w:val="Compact"/>
        <w:numPr>
          <w:ilvl w:val="0"/>
          <w:numId w:val="1002"/>
        </w:numPr>
      </w:pPr>
      <w:r>
        <w:t xml:space="preserve">data from the start of the academic year 2025 to 2026, up to Monday 22 December 2025</w:t>
      </w:r>
    </w:p>
    <w:p>
      <w:pPr>
        <w:pStyle w:val="Compact"/>
        <w:numPr>
          <w:ilvl w:val="0"/>
          <w:numId w:val="1002"/>
        </w:numPr>
      </w:pPr>
      <w:r>
        <w:t xml:space="preserve">a total of 18534 sessions of attendance data</w:t>
      </w:r>
    </w:p>
    <w:bookmarkStart w:id="33" w:name="overall-attendance"/>
    <w:p>
      <w:pPr>
        <w:pStyle w:val="Heading3"/>
      </w:pPr>
      <w:r>
        <w:t xml:space="preserve">Overall attendance</w:t>
      </w:r>
    </w:p>
    <w:p>
      <w:pPr>
        <w:pStyle w:val="CaptionedFigure"/>
      </w:pPr>
      <w:r>
        <w:drawing>
          <wp:inline>
            <wp:extent cx="5238750" cy="1309687"/>
            <wp:effectExtent b="0" l="0" r="0" t="0"/>
            <wp:docPr descr="Overall attendance is 96.1% which is 1.2% higher than the national average." title="" id="31" name="Picture"/>
            <a:graphic>
              <a:graphicData uri="http://schemas.openxmlformats.org/drawingml/2006/picture">
                <pic:pic>
                  <pic:nvPicPr>
                    <pic:cNvPr descr="C:/users/eyau/Documents/Projects/CH3/R8/Run4/1_BasicPrim/Official_Sensitive_10080695_Primary_School_Attendance_Summary_Full_Autumn_Term_20012026_files/figure-docx/unnamed-chunk-2-1.png" id="32" name="Picture"/>
                    <pic:cNvPicPr>
                      <a:picLocks noChangeArrowheads="1" noChangeAspect="1"/>
                    </pic:cNvPicPr>
                  </pic:nvPicPr>
                  <pic:blipFill>
                    <a:blip r:embed="rId30"/>
                    <a:stretch>
                      <a:fillRect/>
                    </a:stretch>
                  </pic:blipFill>
                  <pic:spPr bwMode="auto">
                    <a:xfrm>
                      <a:off x="0" y="0"/>
                      <a:ext cx="5238750" cy="1309687"/>
                    </a:xfrm>
                    <a:prstGeom prst="rect">
                      <a:avLst/>
                    </a:prstGeom>
                    <a:noFill/>
                    <a:ln w="9525">
                      <a:noFill/>
                      <a:headEnd/>
                      <a:tailEnd/>
                    </a:ln>
                  </pic:spPr>
                </pic:pic>
              </a:graphicData>
            </a:graphic>
          </wp:inline>
        </w:drawing>
      </w:r>
    </w:p>
    <w:p>
      <w:pPr>
        <w:pStyle w:val="ImageCaption"/>
      </w:pPr>
      <w:r>
        <w:t xml:space="preserve">Overall attendance is 96.1% which is 1.2% higher than the national average.</w:t>
      </w:r>
    </w:p>
    <w:bookmarkEnd w:id="33"/>
    <w:bookmarkStart w:id="38" w:name="persistent-absence"/>
    <w:p>
      <w:pPr>
        <w:pStyle w:val="Heading3"/>
      </w:pPr>
      <w:r>
        <w:t xml:space="preserve">Persistent absence</w:t>
      </w:r>
    </w:p>
    <w:p>
      <w:pPr>
        <w:pStyle w:val="CaptionedFigure"/>
      </w:pPr>
      <w:r>
        <w:drawing>
          <wp:inline>
            <wp:extent cx="5238750" cy="1309687"/>
            <wp:effectExtent b="0" l="0" r="0" t="0"/>
            <wp:docPr descr="Persistent absence is 9.6% which is 5.3% lower than the national average." title="" id="35" name="Picture"/>
            <a:graphic>
              <a:graphicData uri="http://schemas.openxmlformats.org/drawingml/2006/picture">
                <pic:pic>
                  <pic:nvPicPr>
                    <pic:cNvPr descr="C:/users/eyau/Documents/Projects/CH3/R8/Run4/1_BasicPrim/Official_Sensitive_10080695_Primary_School_Attendance_Summary_Full_Autumn_Term_20012026_files/figure-docx/unnamed-chunk-3-1.png" id="36" name="Picture"/>
                    <pic:cNvPicPr>
                      <a:picLocks noChangeArrowheads="1" noChangeAspect="1"/>
                    </pic:cNvPicPr>
                  </pic:nvPicPr>
                  <pic:blipFill>
                    <a:blip r:embed="rId34"/>
                    <a:stretch>
                      <a:fillRect/>
                    </a:stretch>
                  </pic:blipFill>
                  <pic:spPr bwMode="auto">
                    <a:xfrm>
                      <a:off x="0" y="0"/>
                      <a:ext cx="5238750" cy="1309687"/>
                    </a:xfrm>
                    <a:prstGeom prst="rect">
                      <a:avLst/>
                    </a:prstGeom>
                    <a:noFill/>
                    <a:ln w="9525">
                      <a:noFill/>
                      <a:headEnd/>
                      <a:tailEnd/>
                    </a:ln>
                  </pic:spPr>
                </pic:pic>
              </a:graphicData>
            </a:graphic>
          </wp:inline>
        </w:drawing>
      </w:r>
    </w:p>
    <w:p>
      <w:pPr>
        <w:pStyle w:val="ImageCaption"/>
      </w:pPr>
      <w:r>
        <w:t xml:space="preserve">Persistent absence is 9.6% which is 5.3% lower than the national average.</w:t>
      </w:r>
    </w:p>
    <w:p>
      <w:pPr>
        <w:pStyle w:val="BodyText"/>
      </w:pPr>
      <w:r>
        <w:t xml:space="preserve">Source:</w:t>
      </w:r>
      <w:hyperlink r:id="rId37">
        <w:r>
          <w:rPr>
            <w:rStyle w:val="Hyperlink"/>
          </w:rPr>
          <w:t xml:space="preserve">Monitor your school attendance results</w:t>
        </w:r>
      </w:hyperlink>
      <w:r>
        <w:t xml:space="preserve"> </w:t>
      </w:r>
      <w:r>
        <w:t xml:space="preserve">for your school and national data from the DfE.</w:t>
      </w:r>
    </w:p>
    <w:p>
      <w:r>
        <w:br w:type="page"/>
      </w:r>
    </w:p>
    <w:bookmarkEnd w:id="38"/>
    <w:bookmarkEnd w:id="39"/>
    <w:bookmarkStart w:id="50" w:name="overall-attendance-comparison"/>
    <w:p>
      <w:pPr>
        <w:pStyle w:val="Heading2"/>
      </w:pPr>
      <w:r>
        <w:t xml:space="preserve">Overall attendance comparison</w:t>
      </w:r>
    </w:p>
    <w:bookmarkStart w:id="44" w:name="X5df51a5b58480aa039182d8109d917eeb9cf2e2"/>
    <w:p>
      <w:pPr>
        <w:pStyle w:val="Heading3"/>
      </w:pPr>
      <w:r>
        <w:t xml:space="preserve">Weekly attendance comparison for the autumn term 2025 to 2026</w:t>
      </w:r>
    </w:p>
    <w:p>
      <w:pPr>
        <w:pStyle w:val="FirstParagraph"/>
      </w:pPr>
      <w:r>
        <w:rPr>
          <w:b/>
          <w:bCs/>
        </w:rPr>
        <w:t xml:space="preserve">Figure 1: Graph showing the overall attendance percentage each week during the second half of the autumn term, compared to the national average. Results are for pupils in years 1 to 6 from Monday 3 November 2025 to Monday 22 December 2025.</w:t>
      </w:r>
    </w:p>
    <w:p>
      <w:pPr>
        <w:pStyle w:val="PIcture"/>
      </w:pPr>
      <w:r>
        <w:drawing>
          <wp:inline>
            <wp:extent cx="5943600" cy="2971800"/>
            <wp:effectExtent b="0" l="0" r="0" t="0"/>
            <wp:docPr descr="" title="" id="41" name="Picture"/>
            <a:graphic>
              <a:graphicData uri="http://schemas.openxmlformats.org/drawingml/2006/picture">
                <pic:pic>
                  <pic:nvPicPr>
                    <pic:cNvPr descr="C:/users/eyau/Documents/Projects/CH3/R8/Run4/1_BasicPrim/Official_Sensitive_10080695_Primary_School_Attendance_Summary_Full_Autumn_Term_20012026_files/figure-docx/unnamed-chunk-4-1.png" id="42" name="Picture"/>
                    <pic:cNvPicPr>
                      <a:picLocks noChangeArrowheads="1" noChangeAspect="1"/>
                    </pic:cNvPicPr>
                  </pic:nvPicPr>
                  <pic:blipFill>
                    <a:blip r:embed="rId40"/>
                    <a:stretch>
                      <a:fillRect/>
                    </a:stretch>
                  </pic:blipFill>
                  <pic:spPr bwMode="auto">
                    <a:xfrm>
                      <a:off x="0" y="0"/>
                      <a:ext cx="5943600" cy="2971800"/>
                    </a:xfrm>
                    <a:prstGeom prst="rect">
                      <a:avLst/>
                    </a:prstGeom>
                    <a:noFill/>
                    <a:ln w="9525">
                      <a:noFill/>
                      <a:headEnd/>
                      <a:tailEnd/>
                    </a:ln>
                  </pic:spPr>
                </pic:pic>
              </a:graphicData>
            </a:graphic>
          </wp:inline>
        </w:drawing>
      </w:r>
    </w:p>
    <w:bookmarkStart w:id="43" w:name="Xe23628b75a4d1439815cb2be7fee4c3164826d5"/>
    <w:p>
      <w:pPr>
        <w:pStyle w:val="Heading4"/>
      </w:pPr>
      <w:r>
        <w:t xml:space="preserve">Graph alternative: table of weekly attendance for the autumn term 2025 to 2026.</w:t>
      </w:r>
    </w:p>
    <w:tbl>
      <w:tblPr>
        <w:tblStyle w:val="Table"/>
        <w:tblW w:type="pct" w:w="5000"/>
        <w:tblLayout w:type="fixed"/>
        <w:tblLook w:firstRow="1" w:lastRow="0" w:firstColumn="0" w:lastColumn="0" w:noHBand="0" w:noVBand="0" w:val="0020"/>
      </w:tblPr>
      <w:tblGrid>
        <w:gridCol w:w="2670"/>
        <w:gridCol w:w="2554"/>
        <w:gridCol w:w="2694"/>
      </w:tblGrid>
      <w:tr>
        <w:trPr>
          <w:tblHeader w:val="on"/>
        </w:trPr>
        <w:tc>
          <w:tcPr/>
          <w:p>
            <w:pPr>
              <w:pStyle w:val="Compact"/>
              <w:jc w:val="left"/>
            </w:pPr>
            <w:r>
              <w:t xml:space="preserve">Week start date</w:t>
            </w:r>
          </w:p>
        </w:tc>
        <w:tc>
          <w:tcPr/>
          <w:p>
            <w:pPr>
              <w:pStyle w:val="Compact"/>
              <w:jc w:val="left"/>
            </w:pPr>
            <w:r>
              <w:t xml:space="preserve">Attendance</w:t>
            </w:r>
          </w:p>
        </w:tc>
        <w:tc>
          <w:tcPr/>
          <w:p>
            <w:pPr>
              <w:pStyle w:val="Compact"/>
              <w:jc w:val="left"/>
            </w:pPr>
            <w:r>
              <w:t xml:space="preserve">National average</w:t>
            </w:r>
          </w:p>
        </w:tc>
      </w:tr>
      <w:tr>
        <w:tc>
          <w:tcPr/>
          <w:p>
            <w:pPr>
              <w:pStyle w:val="Compact"/>
              <w:jc w:val="left"/>
            </w:pPr>
            <w:r>
              <w:t xml:space="preserve">3 November</w:t>
            </w:r>
          </w:p>
        </w:tc>
        <w:tc>
          <w:tcPr/>
          <w:p>
            <w:pPr>
              <w:pStyle w:val="Compact"/>
              <w:jc w:val="left"/>
            </w:pPr>
            <w:r>
              <w:t xml:space="preserve">96.4%</w:t>
            </w:r>
          </w:p>
        </w:tc>
        <w:tc>
          <w:tcPr/>
          <w:p>
            <w:pPr>
              <w:pStyle w:val="Compact"/>
              <w:jc w:val="left"/>
            </w:pPr>
            <w:r>
              <w:t xml:space="preserve">95.3%</w:t>
            </w:r>
          </w:p>
        </w:tc>
      </w:tr>
      <w:tr>
        <w:tc>
          <w:tcPr/>
          <w:p>
            <w:pPr>
              <w:pStyle w:val="Compact"/>
              <w:jc w:val="left"/>
            </w:pPr>
            <w:r>
              <w:t xml:space="preserve">10 November</w:t>
            </w:r>
          </w:p>
        </w:tc>
        <w:tc>
          <w:tcPr/>
          <w:p>
            <w:pPr>
              <w:pStyle w:val="Compact"/>
              <w:jc w:val="left"/>
            </w:pPr>
            <w:r>
              <w:t xml:space="preserve">94.8%</w:t>
            </w:r>
          </w:p>
        </w:tc>
        <w:tc>
          <w:tcPr/>
          <w:p>
            <w:pPr>
              <w:pStyle w:val="Compact"/>
              <w:jc w:val="left"/>
            </w:pPr>
            <w:r>
              <w:t xml:space="preserve">95.6%</w:t>
            </w:r>
          </w:p>
        </w:tc>
      </w:tr>
      <w:tr>
        <w:tc>
          <w:tcPr/>
          <w:p>
            <w:pPr>
              <w:pStyle w:val="Compact"/>
              <w:jc w:val="left"/>
            </w:pPr>
            <w:r>
              <w:t xml:space="preserve">17 November</w:t>
            </w:r>
          </w:p>
        </w:tc>
        <w:tc>
          <w:tcPr/>
          <w:p>
            <w:pPr>
              <w:pStyle w:val="Compact"/>
              <w:jc w:val="left"/>
            </w:pPr>
            <w:r>
              <w:t xml:space="preserve">91.9%</w:t>
            </w:r>
          </w:p>
        </w:tc>
        <w:tc>
          <w:tcPr/>
          <w:p>
            <w:pPr>
              <w:pStyle w:val="Compact"/>
              <w:jc w:val="left"/>
            </w:pPr>
            <w:r>
              <w:t xml:space="preserve">94.6%</w:t>
            </w:r>
          </w:p>
        </w:tc>
      </w:tr>
      <w:tr>
        <w:tc>
          <w:tcPr/>
          <w:p>
            <w:pPr>
              <w:pStyle w:val="Compact"/>
              <w:jc w:val="left"/>
            </w:pPr>
            <w:r>
              <w:t xml:space="preserve">24 November</w:t>
            </w:r>
          </w:p>
        </w:tc>
        <w:tc>
          <w:tcPr/>
          <w:p>
            <w:pPr>
              <w:pStyle w:val="Compact"/>
              <w:jc w:val="left"/>
            </w:pPr>
            <w:r>
              <w:t xml:space="preserve">97.3%</w:t>
            </w:r>
          </w:p>
        </w:tc>
        <w:tc>
          <w:tcPr/>
          <w:p>
            <w:pPr>
              <w:pStyle w:val="Compact"/>
              <w:jc w:val="left"/>
            </w:pPr>
            <w:r>
              <w:t xml:space="preserve">93.8%</w:t>
            </w:r>
          </w:p>
        </w:tc>
      </w:tr>
      <w:tr>
        <w:tc>
          <w:tcPr/>
          <w:p>
            <w:pPr>
              <w:pStyle w:val="Compact"/>
              <w:jc w:val="left"/>
            </w:pPr>
            <w:r>
              <w:t xml:space="preserve">1 December</w:t>
            </w:r>
          </w:p>
        </w:tc>
        <w:tc>
          <w:tcPr/>
          <w:p>
            <w:pPr>
              <w:pStyle w:val="Compact"/>
              <w:jc w:val="left"/>
            </w:pPr>
            <w:r>
              <w:t xml:space="preserve">94.4%</w:t>
            </w:r>
          </w:p>
        </w:tc>
        <w:tc>
          <w:tcPr/>
          <w:p>
            <w:pPr>
              <w:pStyle w:val="Compact"/>
              <w:jc w:val="left"/>
            </w:pPr>
            <w:r>
              <w:t xml:space="preserve">93.7%</w:t>
            </w:r>
          </w:p>
        </w:tc>
      </w:tr>
      <w:tr>
        <w:tc>
          <w:tcPr/>
          <w:p>
            <w:pPr>
              <w:pStyle w:val="Compact"/>
              <w:jc w:val="left"/>
            </w:pPr>
            <w:r>
              <w:t xml:space="preserve">8 December</w:t>
            </w:r>
          </w:p>
        </w:tc>
        <w:tc>
          <w:tcPr/>
          <w:p>
            <w:pPr>
              <w:pStyle w:val="Compact"/>
              <w:jc w:val="left"/>
            </w:pPr>
            <w:r>
              <w:t xml:space="preserve">95.9%</w:t>
            </w:r>
          </w:p>
        </w:tc>
        <w:tc>
          <w:tcPr/>
          <w:p>
            <w:pPr>
              <w:pStyle w:val="Compact"/>
              <w:jc w:val="left"/>
            </w:pPr>
            <w:r>
              <w:t xml:space="preserve">93.7%</w:t>
            </w:r>
          </w:p>
        </w:tc>
      </w:tr>
      <w:tr>
        <w:tc>
          <w:tcPr/>
          <w:p>
            <w:pPr>
              <w:pStyle w:val="Compact"/>
              <w:jc w:val="left"/>
            </w:pPr>
            <w:r>
              <w:t xml:space="preserve">15 December</w:t>
            </w:r>
          </w:p>
        </w:tc>
        <w:tc>
          <w:tcPr/>
          <w:p>
            <w:pPr>
              <w:pStyle w:val="Compact"/>
              <w:jc w:val="left"/>
            </w:pPr>
            <w:r>
              <w:t xml:space="preserve">93.6%</w:t>
            </w:r>
          </w:p>
        </w:tc>
        <w:tc>
          <w:tcPr/>
          <w:p>
            <w:pPr>
              <w:pStyle w:val="Compact"/>
              <w:jc w:val="left"/>
            </w:pPr>
            <w:r>
              <w:t xml:space="preserve">92.8%</w:t>
            </w:r>
          </w:p>
        </w:tc>
      </w:tr>
    </w:tbl>
    <w:p>
      <w:pPr>
        <w:pStyle w:val="BodyText"/>
      </w:pPr>
      <w:r>
        <w:t xml:space="preserve">Source:</w:t>
      </w:r>
      <w:r>
        <w:t xml:space="preserve"> </w:t>
      </w:r>
      <w:hyperlink r:id="rId37">
        <w:r>
          <w:rPr>
            <w:rStyle w:val="Hyperlink"/>
          </w:rPr>
          <w:t xml:space="preserve">Monitor your school attendance results</w:t>
        </w:r>
      </w:hyperlink>
      <w:r>
        <w:t xml:space="preserve"> </w:t>
      </w:r>
      <w:r>
        <w:t xml:space="preserve">for your school and nationally, data from the DfE.</w:t>
      </w:r>
    </w:p>
    <w:p>
      <w:pPr>
        <w:pStyle w:val="BodyText"/>
      </w:pPr>
      <w:r>
        <w:t xml:space="preserve">Notes:</w:t>
      </w:r>
    </w:p>
    <w:p>
      <w:pPr>
        <w:pStyle w:val="BodyText"/>
      </w:pPr>
      <w:r>
        <w:t xml:space="preserve">Attendance results for your school and individual pupils are updated daily in the Monitor your school attendance tool.</w:t>
      </w:r>
    </w:p>
    <w:p>
      <w:pPr>
        <w:pStyle w:val="BodyText"/>
      </w:pPr>
      <w:r>
        <w:t xml:space="preserve">Explore education statistics publishes data from national and local authorities every 2 weeks.</w:t>
      </w:r>
    </w:p>
    <w:p>
      <w:r>
        <w:br w:type="page"/>
      </w:r>
    </w:p>
    <w:bookmarkEnd w:id="43"/>
    <w:bookmarkEnd w:id="44"/>
    <w:bookmarkStart w:id="49" w:name="pupil-group-comparison"/>
    <w:p>
      <w:pPr>
        <w:pStyle w:val="Heading3"/>
      </w:pPr>
      <w:r>
        <w:t xml:space="preserve">Pupil group comparison</w:t>
      </w:r>
    </w:p>
    <w:p>
      <w:pPr>
        <w:pStyle w:val="FirstParagraph"/>
      </w:pPr>
      <w:r>
        <w:rPr>
          <w:b/>
          <w:bCs/>
        </w:rPr>
        <w:t xml:space="preserve">Figure 2: Bar chart showing the attendance percentage for pupils with and without free school meals (FSM) and special educational needs (SEN) support compared to the national averages. Results are for pupils in years 1 to 6 from the start of the academic year 2025 to 2026, up to Monday 22 December 2025</w:t>
      </w:r>
      <w:r>
        <w:t xml:space="preserve">.</w:t>
      </w:r>
    </w:p>
    <w:p>
      <w:pPr>
        <w:pStyle w:val="PIcture"/>
      </w:pPr>
      <w:r>
        <w:drawing>
          <wp:inline>
            <wp:extent cx="5943600" cy="3962400"/>
            <wp:effectExtent b="0" l="0" r="0" t="0"/>
            <wp:docPr descr="" title="" id="46" name="Picture"/>
            <a:graphic>
              <a:graphicData uri="http://schemas.openxmlformats.org/drawingml/2006/picture">
                <pic:pic>
                  <pic:nvPicPr>
                    <pic:cNvPr descr="C:/users/eyau/Documents/Projects/CH3/R8/Run4/1_BasicPrim/Official_Sensitive_10080695_Primary_School_Attendance_Summary_Full_Autumn_Term_20012026_files/figure-docx/unnamed-chunk-7-1.png" id="47" name="Picture"/>
                    <pic:cNvPicPr>
                      <a:picLocks noChangeArrowheads="1" noChangeAspect="1"/>
                    </pic:cNvPicPr>
                  </pic:nvPicPr>
                  <pic:blipFill>
                    <a:blip r:embed="rId45"/>
                    <a:stretch>
                      <a:fillRect/>
                    </a:stretch>
                  </pic:blipFill>
                  <pic:spPr bwMode="auto">
                    <a:xfrm>
                      <a:off x="0" y="0"/>
                      <a:ext cx="5943600" cy="3962400"/>
                    </a:xfrm>
                    <a:prstGeom prst="rect">
                      <a:avLst/>
                    </a:prstGeom>
                    <a:noFill/>
                    <a:ln w="9525">
                      <a:noFill/>
                      <a:headEnd/>
                      <a:tailEnd/>
                    </a:ln>
                  </pic:spPr>
                </pic:pic>
              </a:graphicData>
            </a:graphic>
          </wp:inline>
        </w:drawing>
      </w:r>
    </w:p>
    <w:bookmarkStart w:id="48" w:name="X6e0099d78e00041d96d1a5e9a796b8459352381"/>
    <w:p>
      <w:pPr>
        <w:pStyle w:val="Heading4"/>
      </w:pPr>
      <w:r>
        <w:t xml:space="preserve">Graph alternative: table of attendance for different pupil groups from the start of the academic year 2025 to 2026, up to Monday 22 December 2025.</w:t>
      </w:r>
    </w:p>
    <w:tbl>
      <w:tblPr>
        <w:tblStyle w:val="Table"/>
        <w:tblW w:type="pct" w:w="5000"/>
        <w:tblLayout w:type="fixed"/>
        <w:tblLook w:firstRow="1" w:lastRow="0" w:firstColumn="0" w:lastColumn="0" w:noHBand="0" w:noVBand="0" w:val="0020"/>
      </w:tblPr>
      <w:tblGrid>
        <w:gridCol w:w="2849"/>
        <w:gridCol w:w="2467"/>
        <w:gridCol w:w="2602"/>
      </w:tblGrid>
      <w:tr>
        <w:trPr>
          <w:tblHeader w:val="on"/>
        </w:trPr>
        <w:tc>
          <w:tcPr/>
          <w:p>
            <w:pPr>
              <w:pStyle w:val="Compact"/>
              <w:jc w:val="left"/>
            </w:pPr>
            <w:r>
              <w:t xml:space="preserve">Pupil group</w:t>
            </w:r>
          </w:p>
        </w:tc>
        <w:tc>
          <w:tcPr/>
          <w:p>
            <w:pPr>
              <w:pStyle w:val="Compact"/>
              <w:jc w:val="left"/>
            </w:pPr>
            <w:r>
              <w:t xml:space="preserve">Attendance</w:t>
            </w:r>
          </w:p>
        </w:tc>
        <w:tc>
          <w:tcPr/>
          <w:p>
            <w:pPr>
              <w:pStyle w:val="Compact"/>
              <w:jc w:val="left"/>
            </w:pPr>
            <w:r>
              <w:t xml:space="preserve">National average</w:t>
            </w:r>
          </w:p>
        </w:tc>
      </w:tr>
      <w:tr>
        <w:tc>
          <w:tcPr/>
          <w:p>
            <w:pPr>
              <w:pStyle w:val="Compact"/>
              <w:jc w:val="left"/>
            </w:pPr>
            <w:r>
              <w:rPr>
                <w:b/>
                <w:bCs/>
              </w:rPr>
              <w:t xml:space="preserve">All pupils</w:t>
            </w:r>
          </w:p>
        </w:tc>
        <w:tc>
          <w:tcPr/>
          <w:p>
            <w:pPr>
              <w:pStyle w:val="Compact"/>
              <w:jc w:val="left"/>
            </w:pPr>
            <w:r>
              <w:t xml:space="preserve">96.1%</w:t>
            </w:r>
          </w:p>
        </w:tc>
        <w:tc>
          <w:tcPr/>
          <w:p>
            <w:pPr>
              <w:pStyle w:val="Compact"/>
              <w:jc w:val="left"/>
            </w:pPr>
            <w:r>
              <w:t xml:space="preserve">94.9%</w:t>
            </w:r>
          </w:p>
        </w:tc>
      </w:tr>
      <w:tr>
        <w:tc>
          <w:tcPr/>
          <w:p>
            <w:pPr>
              <w:pStyle w:val="Compact"/>
              <w:jc w:val="left"/>
            </w:pPr>
            <w:r>
              <w:rPr>
                <w:b/>
                <w:bCs/>
              </w:rPr>
              <w:t xml:space="preserve">Pupils with FSM</w:t>
            </w:r>
          </w:p>
        </w:tc>
        <w:tc>
          <w:tcPr/>
          <w:p>
            <w:pPr>
              <w:pStyle w:val="Compact"/>
              <w:jc w:val="left"/>
            </w:pPr>
            <w:r>
              <w:t xml:space="preserve">94.8%</w:t>
            </w:r>
          </w:p>
        </w:tc>
        <w:tc>
          <w:tcPr/>
          <w:p>
            <w:pPr>
              <w:pStyle w:val="Compact"/>
              <w:jc w:val="left"/>
            </w:pPr>
            <w:r>
              <w:t xml:space="preserve">92.3%</w:t>
            </w:r>
          </w:p>
        </w:tc>
      </w:tr>
      <w:tr>
        <w:tc>
          <w:tcPr/>
          <w:p>
            <w:pPr>
              <w:pStyle w:val="Compact"/>
              <w:jc w:val="left"/>
            </w:pPr>
            <w:r>
              <w:rPr>
                <w:b/>
                <w:bCs/>
              </w:rPr>
              <w:t xml:space="preserve">Pupils with no FSM</w:t>
            </w:r>
          </w:p>
        </w:tc>
        <w:tc>
          <w:tcPr/>
          <w:p>
            <w:pPr>
              <w:pStyle w:val="Compact"/>
              <w:jc w:val="left"/>
            </w:pPr>
            <w:r>
              <w:t xml:space="preserve">96.6%</w:t>
            </w:r>
          </w:p>
        </w:tc>
        <w:tc>
          <w:tcPr/>
          <w:p>
            <w:pPr>
              <w:pStyle w:val="Compact"/>
              <w:jc w:val="left"/>
            </w:pPr>
            <w:r>
              <w:t xml:space="preserve">95.9%</w:t>
            </w:r>
          </w:p>
        </w:tc>
      </w:tr>
      <w:tr>
        <w:tc>
          <w:tcPr/>
          <w:p>
            <w:pPr>
              <w:pStyle w:val="Compact"/>
              <w:jc w:val="left"/>
            </w:pPr>
            <w:r>
              <w:rPr>
                <w:b/>
                <w:bCs/>
              </w:rPr>
              <w:t xml:space="preserve">Pupils with no SEN</w:t>
            </w:r>
          </w:p>
        </w:tc>
        <w:tc>
          <w:tcPr/>
          <w:p>
            <w:pPr>
              <w:pStyle w:val="Compact"/>
              <w:jc w:val="left"/>
            </w:pPr>
            <w:r>
              <w:t xml:space="preserve">96.1%</w:t>
            </w:r>
          </w:p>
        </w:tc>
        <w:tc>
          <w:tcPr/>
          <w:p>
            <w:pPr>
              <w:pStyle w:val="Compact"/>
              <w:jc w:val="left"/>
            </w:pPr>
            <w:r>
              <w:t xml:space="preserve">95.6%</w:t>
            </w:r>
          </w:p>
        </w:tc>
      </w:tr>
      <w:tr>
        <w:tc>
          <w:tcPr/>
          <w:p>
            <w:pPr>
              <w:pStyle w:val="Compact"/>
              <w:jc w:val="left"/>
            </w:pPr>
            <w:r>
              <w:rPr>
                <w:b/>
                <w:bCs/>
              </w:rPr>
              <w:t xml:space="preserve">Pupils with SEN support</w:t>
            </w:r>
          </w:p>
        </w:tc>
        <w:tc>
          <w:tcPr/>
          <w:p>
            <w:pPr>
              <w:pStyle w:val="Compact"/>
              <w:jc w:val="left"/>
            </w:pPr>
            <w:r>
              <w:t xml:space="preserve">96.3%</w:t>
            </w:r>
          </w:p>
        </w:tc>
        <w:tc>
          <w:tcPr/>
          <w:p>
            <w:pPr>
              <w:pStyle w:val="Compact"/>
              <w:jc w:val="left"/>
            </w:pPr>
            <w:r>
              <w:t xml:space="preserve">92.3%</w:t>
            </w:r>
          </w:p>
        </w:tc>
      </w:tr>
    </w:tbl>
    <w:p>
      <w:pPr>
        <w:pStyle w:val="BodyText"/>
      </w:pPr>
      <w:r>
        <w:t xml:space="preserve">Source:</w:t>
      </w:r>
      <w:r>
        <w:t xml:space="preserve"> </w:t>
      </w:r>
      <w:hyperlink r:id="rId37">
        <w:r>
          <w:rPr>
            <w:rStyle w:val="Hyperlink"/>
          </w:rPr>
          <w:t xml:space="preserve">Monitor your school attendance results</w:t>
        </w:r>
      </w:hyperlink>
      <w:r>
        <w:t xml:space="preserve"> </w:t>
      </w:r>
      <w:r>
        <w:t xml:space="preserve">for your school and nationally, data from the DfE.</w:t>
      </w:r>
    </w:p>
    <w:p>
      <w:pPr>
        <w:pStyle w:val="BodyText"/>
      </w:pPr>
      <w:r>
        <w:t xml:space="preserve">Notes:</w:t>
      </w:r>
    </w:p>
    <w:p>
      <w:pPr>
        <w:pStyle w:val="BodyText"/>
      </w:pPr>
      <w:r>
        <w:t xml:space="preserve">SEN support data is taken from the latest record available in your management information system (MIS). SEN support pupil numbers include those with an education health and care plan (EHCP).</w:t>
      </w:r>
    </w:p>
    <w:p>
      <w:pPr>
        <w:pStyle w:val="BodyText"/>
      </w:pPr>
      <w:r>
        <w:t xml:space="preserve">Year-to-date attendance figures for SEN and EHCP pupils are available in the Monitor your school attendance dashboard.</w:t>
      </w:r>
    </w:p>
    <w:p>
      <w:r>
        <w:br w:type="page"/>
      </w:r>
    </w:p>
    <w:bookmarkEnd w:id="48"/>
    <w:bookmarkEnd w:id="49"/>
    <w:bookmarkEnd w:id="50"/>
    <w:bookmarkStart w:id="55" w:name="previous-academic-year-comparison"/>
    <w:p>
      <w:pPr>
        <w:pStyle w:val="Heading2"/>
      </w:pPr>
      <w:r>
        <w:t xml:space="preserve">Previous academic year comparison</w:t>
      </w:r>
    </w:p>
    <w:p>
      <w:pPr>
        <w:pStyle w:val="FirstParagraph"/>
      </w:pPr>
      <w:r>
        <w:rPr>
          <w:b/>
          <w:bCs/>
        </w:rPr>
        <w:t xml:space="preserve">Figure 3: Bar chart showing the attendance percentage for pupils with and without FSM and SEN support compared to last year. Results are for pupils in years 1 to 6 from the start of the academic year 2025 to 2026, up to Monday 22 December 2025</w:t>
      </w:r>
      <w:r>
        <w:t xml:space="preserve">.</w:t>
      </w:r>
    </w:p>
    <w:p>
      <w:pPr>
        <w:pStyle w:val="PIcture"/>
      </w:pPr>
      <w:r>
        <w:drawing>
          <wp:inline>
            <wp:extent cx="5943600" cy="3962400"/>
            <wp:effectExtent b="0" l="0" r="0" t="0"/>
            <wp:docPr descr="" title="" id="52" name="Picture"/>
            <a:graphic>
              <a:graphicData uri="http://schemas.openxmlformats.org/drawingml/2006/picture">
                <pic:pic>
                  <pic:nvPicPr>
                    <pic:cNvPr descr="C:/users/eyau/Documents/Projects/CH3/R8/Run4/1_BasicPrim/Official_Sensitive_10080695_Primary_School_Attendance_Summary_Full_Autumn_Term_20012026_files/figure-docx/unnamed-chunk-10-1.png" id="53" name="Picture"/>
                    <pic:cNvPicPr>
                      <a:picLocks noChangeArrowheads="1" noChangeAspect="1"/>
                    </pic:cNvPicPr>
                  </pic:nvPicPr>
                  <pic:blipFill>
                    <a:blip r:embed="rId51"/>
                    <a:stretch>
                      <a:fillRect/>
                    </a:stretch>
                  </pic:blipFill>
                  <pic:spPr bwMode="auto">
                    <a:xfrm>
                      <a:off x="0" y="0"/>
                      <a:ext cx="5943600" cy="3962400"/>
                    </a:xfrm>
                    <a:prstGeom prst="rect">
                      <a:avLst/>
                    </a:prstGeom>
                    <a:noFill/>
                    <a:ln w="9525">
                      <a:noFill/>
                      <a:headEnd/>
                      <a:tailEnd/>
                    </a:ln>
                  </pic:spPr>
                </pic:pic>
              </a:graphicData>
            </a:graphic>
          </wp:inline>
        </w:drawing>
      </w:r>
    </w:p>
    <w:bookmarkStart w:id="54" w:name="Xd9f458973ccb8b5072e3e167b765bbcc4435de8"/>
    <w:p>
      <w:pPr>
        <w:pStyle w:val="Heading4"/>
      </w:pPr>
      <w:r>
        <w:t xml:space="preserve">Graph alternative: table of attendance for different pupil groups from the start of the 2025 to 2026 academic year, up to Monday 22 December 2025, compared to the same period last year.</w:t>
      </w:r>
    </w:p>
    <w:tbl>
      <w:tblPr>
        <w:tblStyle w:val="Table"/>
        <w:tblW w:type="pct" w:w="5000"/>
        <w:tblLayout w:type="fixed"/>
        <w:tblLook w:firstRow="1" w:lastRow="0" w:firstColumn="0" w:lastColumn="0" w:noHBand="0" w:noVBand="0" w:val="0020"/>
      </w:tblPr>
      <w:tblGrid>
        <w:gridCol w:w="2625"/>
        <w:gridCol w:w="2647"/>
        <w:gridCol w:w="2647"/>
      </w:tblGrid>
      <w:tr>
        <w:trPr>
          <w:tblHeader w:val="on"/>
        </w:trPr>
        <w:tc>
          <w:tcPr/>
          <w:p>
            <w:pPr>
              <w:pStyle w:val="Compact"/>
              <w:jc w:val="left"/>
            </w:pPr>
            <w:r>
              <w:t xml:space="preserve">Pupil group</w:t>
            </w:r>
          </w:p>
        </w:tc>
        <w:tc>
          <w:tcPr/>
          <w:p>
            <w:pPr>
              <w:pStyle w:val="Compact"/>
              <w:jc w:val="left"/>
            </w:pPr>
            <w:r>
              <w:t xml:space="preserve">Attendance 2024 to 2025</w:t>
            </w:r>
          </w:p>
        </w:tc>
        <w:tc>
          <w:tcPr/>
          <w:p>
            <w:pPr>
              <w:pStyle w:val="Compact"/>
              <w:jc w:val="left"/>
            </w:pPr>
            <w:r>
              <w:t xml:space="preserve">Attendance 2025 to 2026</w:t>
            </w:r>
          </w:p>
        </w:tc>
      </w:tr>
      <w:tr>
        <w:tc>
          <w:tcPr/>
          <w:p>
            <w:pPr>
              <w:pStyle w:val="Compact"/>
              <w:jc w:val="left"/>
            </w:pPr>
            <w:r>
              <w:rPr>
                <w:b/>
                <w:bCs/>
              </w:rPr>
              <w:t xml:space="preserve">All pupils</w:t>
            </w:r>
          </w:p>
        </w:tc>
        <w:tc>
          <w:tcPr/>
          <w:p>
            <w:pPr>
              <w:pStyle w:val="Compact"/>
              <w:jc w:val="left"/>
            </w:pPr>
            <w:r>
              <w:t xml:space="preserve">96.4%</w:t>
            </w:r>
          </w:p>
        </w:tc>
        <w:tc>
          <w:tcPr/>
          <w:p>
            <w:pPr>
              <w:pStyle w:val="Compact"/>
              <w:jc w:val="left"/>
            </w:pPr>
            <w:r>
              <w:t xml:space="preserve">96.1%</w:t>
            </w:r>
          </w:p>
        </w:tc>
      </w:tr>
      <w:tr>
        <w:tc>
          <w:tcPr/>
          <w:p>
            <w:pPr>
              <w:pStyle w:val="Compact"/>
              <w:jc w:val="left"/>
            </w:pPr>
            <w:r>
              <w:rPr>
                <w:b/>
                <w:bCs/>
              </w:rPr>
              <w:t xml:space="preserve">Pupils with FSM</w:t>
            </w:r>
          </w:p>
        </w:tc>
        <w:tc>
          <w:tcPr/>
          <w:p>
            <w:pPr>
              <w:pStyle w:val="Compact"/>
              <w:jc w:val="left"/>
            </w:pPr>
            <w:r>
              <w:t xml:space="preserve">95%</w:t>
            </w:r>
          </w:p>
        </w:tc>
        <w:tc>
          <w:tcPr/>
          <w:p>
            <w:pPr>
              <w:pStyle w:val="Compact"/>
              <w:jc w:val="left"/>
            </w:pPr>
            <w:r>
              <w:t xml:space="preserve">94.8%</w:t>
            </w:r>
          </w:p>
        </w:tc>
      </w:tr>
      <w:tr>
        <w:tc>
          <w:tcPr/>
          <w:p>
            <w:pPr>
              <w:pStyle w:val="Compact"/>
              <w:jc w:val="left"/>
            </w:pPr>
            <w:r>
              <w:rPr>
                <w:b/>
                <w:bCs/>
              </w:rPr>
              <w:t xml:space="preserve">Pupils with no FSM</w:t>
            </w:r>
          </w:p>
        </w:tc>
        <w:tc>
          <w:tcPr/>
          <w:p>
            <w:pPr>
              <w:pStyle w:val="Compact"/>
              <w:jc w:val="left"/>
            </w:pPr>
            <w:r>
              <w:t xml:space="preserve">96.7%</w:t>
            </w:r>
          </w:p>
        </w:tc>
        <w:tc>
          <w:tcPr/>
          <w:p>
            <w:pPr>
              <w:pStyle w:val="Compact"/>
              <w:jc w:val="left"/>
            </w:pPr>
            <w:r>
              <w:t xml:space="preserve">96.6%</w:t>
            </w:r>
          </w:p>
        </w:tc>
      </w:tr>
      <w:tr>
        <w:tc>
          <w:tcPr/>
          <w:p>
            <w:pPr>
              <w:pStyle w:val="Compact"/>
              <w:jc w:val="left"/>
            </w:pPr>
            <w:r>
              <w:rPr>
                <w:b/>
                <w:bCs/>
              </w:rPr>
              <w:t xml:space="preserve">Pupils with SEN</w:t>
            </w:r>
          </w:p>
        </w:tc>
        <w:tc>
          <w:tcPr/>
          <w:p>
            <w:pPr>
              <w:pStyle w:val="Compact"/>
              <w:jc w:val="left"/>
            </w:pPr>
            <w:r>
              <w:t xml:space="preserve">95.3%</w:t>
            </w:r>
          </w:p>
        </w:tc>
        <w:tc>
          <w:tcPr/>
          <w:p>
            <w:pPr>
              <w:pStyle w:val="Compact"/>
              <w:jc w:val="left"/>
            </w:pPr>
            <w:r>
              <w:t xml:space="preserve">96.3%</w:t>
            </w:r>
          </w:p>
        </w:tc>
      </w:tr>
      <w:tr>
        <w:tc>
          <w:tcPr/>
          <w:p>
            <w:pPr>
              <w:pStyle w:val="Compact"/>
              <w:jc w:val="left"/>
            </w:pPr>
            <w:r>
              <w:rPr>
                <w:b/>
                <w:bCs/>
              </w:rPr>
              <w:t xml:space="preserve">Pupils with no SEN</w:t>
            </w:r>
          </w:p>
        </w:tc>
        <w:tc>
          <w:tcPr/>
          <w:p>
            <w:pPr>
              <w:pStyle w:val="Compact"/>
              <w:jc w:val="left"/>
            </w:pPr>
            <w:r>
              <w:t xml:space="preserve">96.6%</w:t>
            </w:r>
          </w:p>
        </w:tc>
        <w:tc>
          <w:tcPr/>
          <w:p>
            <w:pPr>
              <w:pStyle w:val="Compact"/>
              <w:jc w:val="left"/>
            </w:pPr>
            <w:r>
              <w:t xml:space="preserve">96.1%</w:t>
            </w:r>
          </w:p>
        </w:tc>
      </w:tr>
    </w:tbl>
    <w:p>
      <w:pPr>
        <w:pStyle w:val="BodyText"/>
      </w:pPr>
      <w:r>
        <w:t xml:space="preserve">Source:</w:t>
      </w:r>
      <w:r>
        <w:t xml:space="preserve"> </w:t>
      </w:r>
      <w:hyperlink r:id="rId37">
        <w:r>
          <w:rPr>
            <w:rStyle w:val="Hyperlink"/>
          </w:rPr>
          <w:t xml:space="preserve">Monitor your school attendance results</w:t>
        </w:r>
      </w:hyperlink>
      <w:r>
        <w:t xml:space="preserve"> </w:t>
      </w:r>
      <w:r>
        <w:t xml:space="preserve">for your school, data from the DfE.</w:t>
      </w:r>
    </w:p>
    <w:p>
      <w:r>
        <w:br w:type="page"/>
      </w:r>
    </w:p>
    <w:bookmarkEnd w:id="54"/>
    <w:bookmarkEnd w:id="55"/>
    <w:bookmarkStart w:id="57" w:name="absence-by-year-group"/>
    <w:p>
      <w:pPr>
        <w:pStyle w:val="Heading2"/>
      </w:pPr>
      <w:r>
        <w:t xml:space="preserve">Absence by year group</w:t>
      </w:r>
    </w:p>
    <w:p>
      <w:pPr>
        <w:pStyle w:val="FirstParagraph"/>
      </w:pPr>
      <w:r>
        <w:rPr>
          <w:b/>
          <w:bCs/>
        </w:rPr>
        <w:t xml:space="preserve">Figure 4: Table showing the percentage of pupils in each 5% absence band up to and above 50% absence for pupils in years Monday 22 December 2025. Results are based on pupils with 20 or more possible sessions in the current academic year, from the start of the academic year up to Monday 22 December 2025</w:t>
      </w:r>
      <w:r>
        <w:t xml:space="preserve">.</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5000"/>
        <w:tblLook w:firstRow="1" w:lastRow="0" w:firstColumn="0" w:lastColumn="0" w:noHBand="0" w:noVBand="1"/>
      </w:tblPr>
      <w:tr>
        <w:trPr>
          <w:cantSplit/>
          <w:trHeight w:val="360" w:hRule="auto"/>
          <w:tblHeader/>
        </w:trPr>
        header 1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Overall absence band</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Year 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Year 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Year 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Year 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Year 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tru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Year 6</w:t>
            </w:r>
          </w:p>
        </w:tc>
      </w:tr>
      <w:tr>
        <w:trPr>
          <w:cantSplit/>
          <w:trHeight w:val="360" w:hRule="auto"/>
        </w:trPr>
        body 1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less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than</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5%</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52%</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79%</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77%</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72%</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65%</w:t>
            </w:r>
          </w:p>
        </w:tc>
        <w:tc>
          <w:tcPr>
            <w:tcBorders>
              <w:bottom w:val="single" w:sz="8" w:space="0" w:color="000000"/>
              <w:top w:val="single" w:sz="8" w:space="0" w:color="000000"/>
              <w:left w:val="single" w:sz="8" w:space="0" w:color="BFBFBF"/>
              <w:right w:val="single" w:sz="8"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87%</w:t>
            </w:r>
          </w:p>
        </w:tc>
      </w:tr>
      <w:tr>
        <w:trPr>
          <w:cantSplit/>
          <w:trHeight w:val="360" w:hRule="auto"/>
        </w:trPr>
        body 2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5%</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to</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less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than</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10%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29%</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16%</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8%</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28%</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19%</w:t>
            </w:r>
          </w:p>
        </w:tc>
        <w:tc>
          <w:tcPr>
            <w:tcBorders>
              <w:bottom w:val="single" w:sz="8" w:space="0" w:color="000000"/>
              <w:top w:val="single" w:sz="8" w:space="0" w:color="000000"/>
              <w:left w:val="single" w:sz="8" w:space="0" w:color="BFBFBF"/>
              <w:right w:val="single" w:sz="8"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13%</w:t>
            </w:r>
          </w:p>
        </w:tc>
      </w:tr>
      <w:tr>
        <w:trPr>
          <w:cantSplit/>
          <w:trHeight w:val="360" w:hRule="auto"/>
        </w:trPr>
        body 3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10%</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to</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less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than</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15%</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14%</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15%</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12%</w:t>
            </w:r>
          </w:p>
        </w:tc>
        <w:tc>
          <w:tcPr>
            <w:tcBorders>
              <w:bottom w:val="single" w:sz="8" w:space="0" w:color="000000"/>
              <w:top w:val="single" w:sz="8" w:space="0" w:color="000000"/>
              <w:left w:val="single" w:sz="8" w:space="0" w:color="BFBFBF"/>
              <w:right w:val="single" w:sz="8"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0%</w:t>
            </w:r>
          </w:p>
        </w:tc>
      </w:tr>
      <w:tr>
        <w:trPr>
          <w:cantSplit/>
          <w:trHeight w:val="360" w:hRule="auto"/>
        </w:trPr>
        body 4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15%</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to</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less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than</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20%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5%</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5%</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0%</w:t>
            </w:r>
          </w:p>
        </w:tc>
        <w:tc>
          <w:tcPr>
            <w:tcBorders>
              <w:bottom w:val="single" w:sz="8" w:space="0" w:color="000000"/>
              <w:top w:val="single" w:sz="8" w:space="0" w:color="000000"/>
              <w:left w:val="single" w:sz="8" w:space="0" w:color="BFBFBF"/>
              <w:right w:val="single" w:sz="8"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0%</w:t>
            </w:r>
          </w:p>
        </w:tc>
      </w:tr>
      <w:tr>
        <w:trPr>
          <w:cantSplit/>
          <w:trHeight w:val="360" w:hRule="auto"/>
        </w:trPr>
        body 5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20%</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to</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less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than</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25%</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4%</w:t>
            </w:r>
          </w:p>
        </w:tc>
        <w:tc>
          <w:tcPr>
            <w:tcBorders>
              <w:bottom w:val="single" w:sz="8" w:space="0" w:color="000000"/>
              <w:top w:val="single" w:sz="8" w:space="0" w:color="000000"/>
              <w:left w:val="single" w:sz="8" w:space="0" w:color="BFBFBF"/>
              <w:right w:val="single" w:sz="8"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0%</w:t>
            </w:r>
          </w:p>
        </w:tc>
      </w:tr>
      <w:tr>
        <w:trPr>
          <w:cantSplit/>
          <w:trHeight w:val="360" w:hRule="auto"/>
        </w:trPr>
        body 6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25%</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to</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less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than</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30%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0%</w:t>
            </w:r>
          </w:p>
        </w:tc>
        <w:tc>
          <w:tcPr>
            <w:tcBorders>
              <w:bottom w:val="single" w:sz="8" w:space="0" w:color="000000"/>
              <w:top w:val="single" w:sz="8" w:space="0" w:color="000000"/>
              <w:left w:val="single" w:sz="8" w:space="0" w:color="BFBFBF"/>
              <w:right w:val="single" w:sz="8"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0%</w:t>
            </w:r>
          </w:p>
        </w:tc>
      </w:tr>
      <w:tr>
        <w:trPr>
          <w:cantSplit/>
          <w:trHeight w:val="360" w:hRule="auto"/>
        </w:trPr>
        body 7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30%</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to</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less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than</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35%</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0%</w:t>
            </w:r>
          </w:p>
        </w:tc>
        <w:tc>
          <w:tcPr>
            <w:tcBorders>
              <w:bottom w:val="single" w:sz="8" w:space="0" w:color="000000"/>
              <w:top w:val="single" w:sz="8" w:space="0" w:color="000000"/>
              <w:left w:val="single" w:sz="8" w:space="0" w:color="BFBFBF"/>
              <w:right w:val="single" w:sz="8"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0%</w:t>
            </w:r>
          </w:p>
        </w:tc>
      </w:tr>
      <w:tr>
        <w:trPr>
          <w:cantSplit/>
          <w:trHeight w:val="360" w:hRule="auto"/>
        </w:trPr>
        body 8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35%</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to</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less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than</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40%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0%</w:t>
            </w:r>
          </w:p>
        </w:tc>
        <w:tc>
          <w:tcPr>
            <w:tcBorders>
              <w:bottom w:val="single" w:sz="8" w:space="0" w:color="000000"/>
              <w:top w:val="single" w:sz="8" w:space="0" w:color="000000"/>
              <w:left w:val="single" w:sz="8" w:space="0" w:color="BFBFBF"/>
              <w:right w:val="single" w:sz="8"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0%</w:t>
            </w:r>
          </w:p>
        </w:tc>
      </w:tr>
      <w:tr>
        <w:trPr>
          <w:cantSplit/>
          <w:trHeight w:val="360" w:hRule="auto"/>
        </w:trPr>
        body 9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40%</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to</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less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than</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45%</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0%</w:t>
            </w:r>
          </w:p>
        </w:tc>
        <w:tc>
          <w:tcPr>
            <w:tcBorders>
              <w:bottom w:val="single" w:sz="8" w:space="0" w:color="000000"/>
              <w:top w:val="single" w:sz="8" w:space="0" w:color="000000"/>
              <w:left w:val="single" w:sz="8" w:space="0" w:color="BFBFBF"/>
              <w:right w:val="single" w:sz="8"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0%</w:t>
            </w:r>
          </w:p>
        </w:tc>
      </w:tr>
      <w:tr>
        <w:trPr>
          <w:cantSplit/>
          <w:trHeight w:val="360" w:hRule="auto"/>
        </w:trPr>
        body10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45%</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to</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less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than</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50%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0%</w:t>
            </w:r>
          </w:p>
        </w:tc>
        <w:tc>
          <w:tcPr>
            <w:tcBorders>
              <w:bottom w:val="single" w:sz="8" w:space="0" w:color="000000"/>
              <w:top w:val="single" w:sz="8" w:space="0" w:color="000000"/>
              <w:left w:val="single" w:sz="8" w:space="0" w:color="BFBFBF"/>
              <w:right w:val="single" w:sz="8"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0%</w:t>
            </w:r>
          </w:p>
        </w:tc>
      </w:tr>
      <w:tr>
        <w:trPr>
          <w:cantSplit/>
          <w:trHeight w:val="360" w:hRule="auto"/>
        </w:trPr>
        body11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50%</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and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above</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(severely</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absent)</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0%</w:t>
            </w:r>
          </w:p>
        </w:tc>
        <w:tc>
          <w:tcPr>
            <w:tcBorders>
              <w:bottom w:val="single" w:sz="8" w:space="0" w:color="000000"/>
              <w:top w:val="single" w:sz="8" w:space="0" w:color="000000"/>
              <w:left w:val="single" w:sz="8" w:space="0" w:color="BFBFBF"/>
              <w:right w:val="single" w:sz="8"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0%</w:t>
            </w:r>
          </w:p>
        </w:tc>
      </w:tr>
      <w:tr>
        <w:trPr>
          <w:cantSplit/>
          <w:trHeight w:val="360" w:hRule="auto"/>
        </w:trPr>
        body12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10%</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and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above</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(persistently</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trike w:val="false"/>
                <w:sz w:val="24"/>
                <w:szCs w:val="24"/>
                <w:color w:val="000000"/>
              </w:rPr>
              <w:t xml:space="preserve">absent)</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19%</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5%</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15%</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0%</w:t>
            </w:r>
          </w:p>
        </w:tc>
        <w:tc>
          <w:tcPr>
            <w:tcBorders>
              <w:bottom w:val="single" w:sz="8" w:space="0" w:color="000000"/>
              <w:top w:val="single" w:sz="8" w:space="0" w:color="000000"/>
              <w:left w:val="single" w:sz="8" w:space="0" w:color="BFBFBF"/>
              <w:right w:val="single" w:sz="8" w:space="0" w:color="BFBFBF"/>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15%</w:t>
            </w:r>
          </w:p>
        </w:tc>
        <w:tc>
          <w:tcPr>
            <w:tcBorders>
              <w:bottom w:val="single" w:sz="8" w:space="0" w:color="000000"/>
              <w:top w:val="single" w:sz="8" w:space="0" w:color="000000"/>
              <w:left w:val="single" w:sz="8" w:space="0" w:color="BFBFBF"/>
              <w:right w:val="single" w:sz="8" w:space="0" w:color="000000"/>
            </w:tcBorders>
            <w:shd w:val="clear" w:color="auto" w:fill="FFFFFF"/>
            <w:tcMar>
              <w:top w:w="0" w:type="dxa"/>
              <w:bottom w:w="0" w:type="dxa"/>
              <w:left w:w="0" w:type="dxa"/>
              <w:right w:w="0" w:type="dxa"/>
            </w:tcMar>
            <w:vAlign w:val="center"/>
          </w:tcPr>
          <w:p>
            <w:pPr>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trike w:val="false"/>
                <w:sz w:val="24"/>
                <w:szCs w:val="24"/>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trike w:val="false"/>
                <w:sz w:val="24"/>
                <w:szCs w:val="24"/>
                <w:color w:val="000000"/>
              </w:rPr>
              <w:t xml:space="preserve">0%</w:t>
            </w:r>
          </w:p>
        </w:tc>
      </w:tr>
    </w:tbl>
    <w:p>
      <w:pPr>
        <w:pStyle w:val="BodyText"/>
      </w:pPr>
      <w:r>
        <w:t xml:space="preserve">Source:</w:t>
      </w:r>
      <w:r>
        <w:t xml:space="preserve"> </w:t>
      </w:r>
      <w:hyperlink r:id="rId37">
        <w:r>
          <w:rPr>
            <w:rStyle w:val="Hyperlink"/>
          </w:rPr>
          <w:t xml:space="preserve">Monitor your school attendance results</w:t>
        </w:r>
      </w:hyperlink>
      <w:r>
        <w:t xml:space="preserve"> </w:t>
      </w:r>
      <w:r>
        <w:t xml:space="preserve">for your school, data from the DfE.</w:t>
      </w:r>
    </w:p>
    <w:p>
      <w:pPr>
        <w:pStyle w:val="BodyText"/>
      </w:pPr>
      <w:r>
        <w:t xml:space="preserve">Notes:</w:t>
      </w:r>
    </w:p>
    <w:p>
      <w:pPr>
        <w:pStyle w:val="BodyText"/>
      </w:pPr>
      <w:r>
        <w:t xml:space="preserve">Absence data is updated daily in the Monitor your school attendance tool. Learn more about how to review absence patterns in the</w:t>
      </w:r>
      <w:r>
        <w:t xml:space="preserve"> </w:t>
      </w:r>
      <w:hyperlink r:id="rId56">
        <w:r>
          <w:rPr>
            <w:rStyle w:val="Hyperlink"/>
          </w:rPr>
          <w:t xml:space="preserve">absence bandings user guide</w:t>
        </w:r>
      </w:hyperlink>
      <w:r>
        <w:t xml:space="preserve">.</w:t>
      </w:r>
      <w:r>
        <w:t xml:space="preserve"> </w:t>
      </w:r>
    </w:p>
    <w:p>
      <w:pPr>
        <w:pStyle w:val="BodyText"/>
      </w:pPr>
      <w:r>
        <w:t xml:space="preserve">© Crown copyright 2025</w:t>
      </w:r>
    </w:p>
    <w:bookmarkEnd w:id="57"/>
    <w:bookmarkEnd w:id="58"/>
    <w:sectPr w:rsidR="00EB58FF" w:rsidRPr="00EB58FF">
      <w:footerReference r:id="rId9" w:type="defaul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774963"/>
      <w:docPartObj>
        <w:docPartGallery w:val="Page Numbers (Bottom of Page)"/>
        <w:docPartUnique/>
      </w:docPartObj>
    </w:sdtPr>
    <w:sdtEndPr/>
    <w:sdtContent>
      <w:p w14:paraId="2526B90E" w14:textId="27ADE740" w:rsidR="00887399" w:rsidRDefault="00887399">
        <w:pPr>
          <w:pStyle w:val="Footer"/>
          <w:jc w:val="center"/>
        </w:pPr>
        <w:r>
          <w:fldChar w:fldCharType="begin"/>
        </w:r>
        <w:r>
          <w:instrText>PAGE   \* MERGEFORMAT</w:instrText>
        </w:r>
        <w:r>
          <w:fldChar w:fldCharType="separate"/>
        </w:r>
        <w:r>
          <w:rPr>
            <w:lang w:val="en-GB"/>
          </w:rPr>
          <w:t>2</w:t>
        </w:r>
        <w:r>
          <w:fldChar w:fldCharType="end"/>
        </w:r>
      </w:p>
    </w:sdtContent>
  </w:sdt>
  <w:p w14:paraId="076824EA" w14:textId="77777777" w:rsidR="00887399" w:rsidRDefault="00887399" w:rsidP="00887399">
    <w:pPr>
      <w:pStyle w:val="Footer"/>
      <w:jc w:val="cen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C2D26C8E"/>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909391844" w:numId="1">
    <w:abstractNumId w:val="0"/>
  </w: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30671"/>
    <w:rsid w:val="00003F19"/>
    <w:rsid w:val="00010E45"/>
    <w:rsid w:val="00023851"/>
    <w:rsid w:val="00055FE1"/>
    <w:rsid w:val="000634E4"/>
    <w:rsid w:val="000652E5"/>
    <w:rsid w:val="00082FFA"/>
    <w:rsid w:val="0009518A"/>
    <w:rsid w:val="000C3888"/>
    <w:rsid w:val="000E52A5"/>
    <w:rsid w:val="001112C6"/>
    <w:rsid w:val="00120C3F"/>
    <w:rsid w:val="00122C6E"/>
    <w:rsid w:val="001274A5"/>
    <w:rsid w:val="00134ABF"/>
    <w:rsid w:val="00150029"/>
    <w:rsid w:val="001D02F8"/>
    <w:rsid w:val="001E6894"/>
    <w:rsid w:val="00222A20"/>
    <w:rsid w:val="002344CF"/>
    <w:rsid w:val="002360A1"/>
    <w:rsid w:val="00260E26"/>
    <w:rsid w:val="002874EA"/>
    <w:rsid w:val="00287AF1"/>
    <w:rsid w:val="002902A1"/>
    <w:rsid w:val="00294B74"/>
    <w:rsid w:val="002C7AD8"/>
    <w:rsid w:val="002F0EFA"/>
    <w:rsid w:val="00303011"/>
    <w:rsid w:val="00310A49"/>
    <w:rsid w:val="00320794"/>
    <w:rsid w:val="00347B95"/>
    <w:rsid w:val="00353335"/>
    <w:rsid w:val="0036354C"/>
    <w:rsid w:val="003D5704"/>
    <w:rsid w:val="003E7A1B"/>
    <w:rsid w:val="003F38B4"/>
    <w:rsid w:val="003F5F76"/>
    <w:rsid w:val="00421356"/>
    <w:rsid w:val="00430ED3"/>
    <w:rsid w:val="00461814"/>
    <w:rsid w:val="00484822"/>
    <w:rsid w:val="004942DF"/>
    <w:rsid w:val="004A14F5"/>
    <w:rsid w:val="004B6D48"/>
    <w:rsid w:val="004D73B0"/>
    <w:rsid w:val="004E1A23"/>
    <w:rsid w:val="00526EAE"/>
    <w:rsid w:val="00536110"/>
    <w:rsid w:val="00547A99"/>
    <w:rsid w:val="005527F8"/>
    <w:rsid w:val="005C51A3"/>
    <w:rsid w:val="005C77F6"/>
    <w:rsid w:val="005E114F"/>
    <w:rsid w:val="005F29F2"/>
    <w:rsid w:val="00624C87"/>
    <w:rsid w:val="006268E6"/>
    <w:rsid w:val="0065247F"/>
    <w:rsid w:val="006700AF"/>
    <w:rsid w:val="006B286E"/>
    <w:rsid w:val="006D48B8"/>
    <w:rsid w:val="006E6D11"/>
    <w:rsid w:val="006E7139"/>
    <w:rsid w:val="00717BA3"/>
    <w:rsid w:val="007B6705"/>
    <w:rsid w:val="007C105B"/>
    <w:rsid w:val="007C532D"/>
    <w:rsid w:val="007E0412"/>
    <w:rsid w:val="007F6432"/>
    <w:rsid w:val="00807289"/>
    <w:rsid w:val="00817EA9"/>
    <w:rsid w:val="00825643"/>
    <w:rsid w:val="0083089E"/>
    <w:rsid w:val="00854F55"/>
    <w:rsid w:val="00870AB0"/>
    <w:rsid w:val="00887399"/>
    <w:rsid w:val="008B1CFF"/>
    <w:rsid w:val="008B2FED"/>
    <w:rsid w:val="008C19A4"/>
    <w:rsid w:val="0094232E"/>
    <w:rsid w:val="00947CAA"/>
    <w:rsid w:val="00952721"/>
    <w:rsid w:val="00954356"/>
    <w:rsid w:val="00964563"/>
    <w:rsid w:val="00973ED2"/>
    <w:rsid w:val="009842B2"/>
    <w:rsid w:val="009A1706"/>
    <w:rsid w:val="009E7EFF"/>
    <w:rsid w:val="00A0270A"/>
    <w:rsid w:val="00A078AA"/>
    <w:rsid w:val="00A4649B"/>
    <w:rsid w:val="00A56CCA"/>
    <w:rsid w:val="00A63ADB"/>
    <w:rsid w:val="00A75A02"/>
    <w:rsid w:val="00A84A17"/>
    <w:rsid w:val="00AA1EA0"/>
    <w:rsid w:val="00AC7188"/>
    <w:rsid w:val="00AE1FE0"/>
    <w:rsid w:val="00AE3E3E"/>
    <w:rsid w:val="00AE7901"/>
    <w:rsid w:val="00AF42B5"/>
    <w:rsid w:val="00B10500"/>
    <w:rsid w:val="00B14DB2"/>
    <w:rsid w:val="00B660D1"/>
    <w:rsid w:val="00B81E77"/>
    <w:rsid w:val="00B853A3"/>
    <w:rsid w:val="00B918EC"/>
    <w:rsid w:val="00BB5280"/>
    <w:rsid w:val="00C22B21"/>
    <w:rsid w:val="00C51F5B"/>
    <w:rsid w:val="00C6229B"/>
    <w:rsid w:val="00C6750A"/>
    <w:rsid w:val="00C70B4F"/>
    <w:rsid w:val="00C735F8"/>
    <w:rsid w:val="00CE7E85"/>
    <w:rsid w:val="00D01383"/>
    <w:rsid w:val="00D02C54"/>
    <w:rsid w:val="00D03DBE"/>
    <w:rsid w:val="00D30671"/>
    <w:rsid w:val="00D70FE0"/>
    <w:rsid w:val="00D762C8"/>
    <w:rsid w:val="00D8061B"/>
    <w:rsid w:val="00DE4ED7"/>
    <w:rsid w:val="00DF325B"/>
    <w:rsid w:val="00E0381B"/>
    <w:rsid w:val="00E040DD"/>
    <w:rsid w:val="00E33FB1"/>
    <w:rsid w:val="00E46583"/>
    <w:rsid w:val="00E46D52"/>
    <w:rsid w:val="00E57CDD"/>
    <w:rsid w:val="00E62DA5"/>
    <w:rsid w:val="00E701C5"/>
    <w:rsid w:val="00E92509"/>
    <w:rsid w:val="00E92A79"/>
    <w:rsid w:val="00EA4E0C"/>
    <w:rsid w:val="00EB05F6"/>
    <w:rsid w:val="00EB58FF"/>
    <w:rsid w:val="00EB6886"/>
    <w:rsid w:val="00EB7964"/>
    <w:rsid w:val="00EE5BFA"/>
    <w:rsid w:val="00EF76AF"/>
    <w:rsid w:val="00F014F7"/>
    <w:rsid w:val="00F031EF"/>
    <w:rsid w:val="00F22EEF"/>
    <w:rsid w:val="00F44110"/>
    <w:rsid w:val="00FA7BD7"/>
    <w:rsid w:val="00FB4011"/>
    <w:rsid w:val="00FB5A9B"/>
    <w:rsid w:val="00FC5152"/>
    <w:rsid w:val="00FD377C"/>
    <w:rsid w:val="00FD7914"/>
    <w:rsid w:val="00FE7AC2"/>
  </w:rsids>
  <w:themeFontLang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toc 1" w:uiPriority="39"/>
    <w:lsdException w:name="toc 2" w:uiPriority="39"/>
    <w:lsdException w:name="toc 3" w:uiPriority="39"/>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FB5A9B"/>
    <w:rPr>
      <w:rFonts w:ascii="Arial" w:hAnsi="Arial"/>
    </w:rPr>
  </w:style>
  <w:style w:styleId="Heading1" w:type="paragraph">
    <w:name w:val="heading 1"/>
    <w:basedOn w:val="Normal"/>
    <w:next w:val="BodyText"/>
    <w:uiPriority w:val="9"/>
    <w:qFormat/>
    <w:rsid w:val="00D70FE0"/>
    <w:pPr>
      <w:keepNext/>
      <w:keepLines/>
      <w:spacing w:after="120" w:before="120"/>
      <w:outlineLvl w:val="0"/>
    </w:pPr>
    <w:rPr>
      <w:rFonts w:cstheme="majorBidi" w:eastAsiaTheme="majorEastAsia"/>
      <w:b/>
      <w:bCs/>
      <w:color w:val="104F75"/>
      <w:sz w:val="84"/>
      <w:szCs w:val="32"/>
    </w:rPr>
  </w:style>
  <w:style w:styleId="Heading2" w:type="paragraph">
    <w:name w:val="heading 2"/>
    <w:basedOn w:val="Normal"/>
    <w:next w:val="BodyText"/>
    <w:uiPriority w:val="9"/>
    <w:unhideWhenUsed/>
    <w:qFormat/>
    <w:rsid w:val="00536110"/>
    <w:pPr>
      <w:keepNext/>
      <w:keepLines/>
      <w:spacing w:after="0" w:before="200"/>
      <w:outlineLvl w:val="1"/>
    </w:pPr>
    <w:rPr>
      <w:rFonts w:cstheme="majorBidi" w:eastAsiaTheme="majorEastAsia"/>
      <w:b/>
      <w:bCs/>
      <w:color w:val="104F75"/>
      <w:sz w:val="36"/>
      <w:szCs w:val="28"/>
    </w:rPr>
  </w:style>
  <w:style w:styleId="Heading3" w:type="paragraph">
    <w:name w:val="heading 3"/>
    <w:basedOn w:val="Normal"/>
    <w:next w:val="BodyText"/>
    <w:uiPriority w:val="9"/>
    <w:unhideWhenUsed/>
    <w:qFormat/>
    <w:rsid w:val="00EB05F6"/>
    <w:pPr>
      <w:keepNext/>
      <w:keepLines/>
      <w:spacing w:after="0" w:before="200"/>
      <w:outlineLvl w:val="2"/>
    </w:pPr>
    <w:rPr>
      <w:rFonts w:cstheme="majorBidi" w:eastAsiaTheme="majorEastAsia"/>
      <w:b/>
      <w:bCs/>
      <w:color w:val="104F75"/>
      <w:sz w:val="32"/>
    </w:rPr>
  </w:style>
  <w:style w:styleId="Heading4" w:type="paragraph">
    <w:name w:val="heading 4"/>
    <w:basedOn w:val="Normal"/>
    <w:next w:val="BodyText"/>
    <w:uiPriority w:val="9"/>
    <w:unhideWhenUsed/>
    <w:qFormat/>
    <w:rsid w:val="00AE1FE0"/>
    <w:pPr>
      <w:keepNext/>
      <w:keepLines/>
      <w:spacing w:after="0" w:before="200"/>
      <w:outlineLvl w:val="3"/>
    </w:pPr>
    <w:rPr>
      <w:rFonts w:cstheme="majorBidi" w:eastAsiaTheme="majorEastAsia"/>
      <w:b/>
      <w:bCs/>
      <w:color w:val="104F75"/>
      <w:sz w:val="28"/>
    </w:rPr>
  </w:style>
  <w:style w:styleId="Heading5" w:type="paragraph">
    <w:name w:val="heading 5"/>
    <w:basedOn w:val="Normal"/>
    <w:next w:val="BodyText"/>
    <w:uiPriority w:val="9"/>
    <w:unhideWhenUsed/>
    <w:qFormat/>
    <w:rsid w:val="001112C6"/>
    <w:pPr>
      <w:keepNext/>
      <w:keepLines/>
      <w:spacing w:after="0" w:before="200"/>
      <w:outlineLvl w:val="4"/>
    </w:pPr>
    <w:rPr>
      <w:rFonts w:cstheme="majorBidi" w:eastAsiaTheme="majorEastAsia"/>
      <w:iCs/>
      <w:color w:val="104F75"/>
    </w:rPr>
  </w:style>
  <w:style w:styleId="Heading6" w:type="paragraph">
    <w:name w:val="heading 6"/>
    <w:basedOn w:val="Normal"/>
    <w:next w:val="BodyText"/>
    <w:uiPriority w:val="9"/>
    <w:unhideWhenUsed/>
    <w:qFormat/>
    <w:rsid w:val="006700AF"/>
    <w:pPr>
      <w:keepNext/>
      <w:keepLines/>
      <w:spacing w:after="0" w:before="1280"/>
      <w:outlineLvl w:val="5"/>
    </w:pPr>
    <w:rPr>
      <w:rFonts w:cstheme="majorBidi" w:eastAsiaTheme="majorEastAsia"/>
      <w:b/>
      <w:color w:val="104F75"/>
      <w:sz w:val="40"/>
    </w:rPr>
  </w:style>
  <w:style w:styleId="Heading7" w:type="paragraph">
    <w:name w:val="heading 7"/>
    <w:basedOn w:val="Normal"/>
    <w:next w:val="BodyText"/>
    <w:uiPriority w:val="9"/>
    <w:unhideWhenUsed/>
    <w:qFormat/>
    <w:rsid w:val="00A75A02"/>
    <w:pPr>
      <w:keepNext/>
      <w:keepLines/>
      <w:spacing w:after="360" w:before="560"/>
      <w:outlineLvl w:val="6"/>
    </w:pPr>
    <w:rPr>
      <w:rFonts w:cstheme="majorBidi" w:eastAsiaTheme="majorEastAsia"/>
      <w:b/>
      <w:color w:val="104F75"/>
      <w:sz w:val="40"/>
    </w:rPr>
  </w:style>
  <w:style w:styleId="Heading8" w:type="paragraph">
    <w:name w:val="heading 8"/>
    <w:basedOn w:val="Normal"/>
    <w:next w:val="BodyText"/>
    <w:uiPriority w:val="9"/>
    <w:unhideWhenUsed/>
    <w:qFormat/>
    <w:rsid w:val="001112C6"/>
    <w:pPr>
      <w:keepNext/>
      <w:keepLines/>
      <w:spacing w:after="0" w:before="200"/>
      <w:outlineLvl w:val="7"/>
    </w:pPr>
    <w:rPr>
      <w:rFonts w:cstheme="majorBidi" w:eastAsiaTheme="majorEastAsia"/>
      <w:color w:val="104F75"/>
    </w:rPr>
  </w:style>
  <w:style w:styleId="Heading9" w:type="paragraph">
    <w:name w:val="heading 9"/>
    <w:basedOn w:val="Normal"/>
    <w:next w:val="BodyText"/>
    <w:uiPriority w:val="9"/>
    <w:unhideWhenUsed/>
    <w:qFormat/>
    <w:rsid w:val="001112C6"/>
    <w:pPr>
      <w:keepNext/>
      <w:keepLines/>
      <w:spacing w:after="0" w:before="200"/>
      <w:outlineLvl w:val="8"/>
    </w:pPr>
    <w:rPr>
      <w:rFonts w:asciiTheme="majorHAnsi" w:cstheme="majorBidi" w:eastAsiaTheme="majorEastAsia" w:hAnsiTheme="majorHAnsi"/>
      <w:color w:val="104F75"/>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rsid w:val="0083089E"/>
    <w:pPr>
      <w:spacing w:after="180" w:before="180"/>
    </w:pPr>
  </w:style>
  <w:style w:customStyle="1" w:styleId="FirstParagraph" w:type="paragraph">
    <w:name w:val="First Paragraph"/>
    <w:basedOn w:val="BodyText"/>
    <w:next w:val="BodyText"/>
    <w:qFormat/>
    <w:rsid w:val="0083089E"/>
  </w:style>
  <w:style w:customStyle="1" w:styleId="Compact" w:type="paragraph">
    <w:name w:val="Compact"/>
    <w:basedOn w:val="BodyText"/>
    <w:qFormat/>
    <w:rsid w:val="008C19A4"/>
    <w:pPr>
      <w:spacing w:after="36" w:before="36" w:line="360" w:lineRule="auto"/>
    </w:pPr>
  </w:style>
  <w:style w:styleId="Title" w:type="paragraph">
    <w:name w:val="Title"/>
    <w:basedOn w:val="Normal"/>
    <w:next w:val="BodyText"/>
    <w:qFormat/>
    <w:rsid w:val="001112C6"/>
    <w:pPr>
      <w:keepNext/>
      <w:keepLines/>
      <w:spacing w:after="240" w:before="480"/>
      <w:jc w:val="center"/>
    </w:pPr>
    <w:rPr>
      <w:rFonts w:cstheme="majorBidi" w:eastAsiaTheme="majorEastAsia"/>
      <w:b/>
      <w:bCs/>
      <w:color w:val="104F75"/>
      <w:sz w:val="36"/>
      <w:szCs w:val="36"/>
    </w:rPr>
  </w:style>
  <w:style w:styleId="Subtitle" w:type="paragraph">
    <w:name w:val="Subtitle"/>
    <w:basedOn w:val="Title"/>
    <w:next w:val="BodyText"/>
    <w:qFormat/>
    <w:rsid w:val="001112C6"/>
    <w:pPr>
      <w:spacing w:before="240"/>
    </w:pPr>
    <w:rPr>
      <w:sz w:val="32"/>
      <w:szCs w:val="30"/>
    </w:rPr>
  </w:style>
  <w:style w:customStyle="1" w:styleId="Author" w:type="paragraph">
    <w:name w:val="Author"/>
    <w:next w:val="BodyText"/>
    <w:qFormat/>
    <w:rsid w:val="00D01383"/>
    <w:pPr>
      <w:keepNext/>
      <w:keepLines/>
      <w:jc w:val="center"/>
    </w:pPr>
    <w:rPr>
      <w:rFonts w:ascii="Arial" w:hAnsi="Arial"/>
    </w:rPr>
  </w:style>
  <w:style w:styleId="Date" w:type="paragraph">
    <w:name w:val="Date"/>
    <w:next w:val="BodyText"/>
    <w:qFormat/>
    <w:rsid w:val="00D01383"/>
    <w:pPr>
      <w:keepNext/>
      <w:keepLines/>
      <w:jc w:val="center"/>
    </w:pPr>
    <w:rPr>
      <w:rFonts w:ascii="Arial" w:hAnsi="Arial"/>
    </w:r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rsid w:val="00D01383"/>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FootnoteBlockText" w:type="paragraph">
    <w:name w:val="Footnote Block Text"/>
    <w:uiPriority w:val="9"/>
    <w:unhideWhenUsed/>
    <w:qFormat/>
    <w:pPr>
      <w:spacing w:after="100" w:before="100"/>
      <w:ind w:left="480" w:right="480"/>
    </w:pPr>
  </w:style>
  <w:style w:customStyle="1" w:styleId="Table" w:type="table">
    <w:name w:val="Table"/>
    <w:unhideWhenUsed/>
    <w:qFormat/>
    <w:rsid w:val="00A078AA"/>
    <w:rPr>
      <w:rFonts w:ascii="Arial" w:hAnsi="Arial"/>
      <w:sz w:val="20"/>
      <w:szCs w:val="20"/>
      <w:lang w:eastAsia="en-GB" w:val="en-GB"/>
    </w:rPr>
    <w:tblPr>
      <w:tblStyleRowBandSize w:val="1"/>
      <w:tblStyleColBandSize w:val="1"/>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tblStylePr w:type="firstRow">
      <w:rPr>
        <w:rFonts w:ascii="Arial" w:hAnsi="Arial"/>
        <w:b/>
        <w:sz w:val="24"/>
      </w:rPr>
      <w:tblPr/>
      <w:tcPr>
        <w:tcBorders>
          <w:top w:color="auto" w:space="0" w:sz="4" w:val="single"/>
          <w:left w:color="auto" w:space="0" w:sz="4" w:val="single"/>
          <w:bottom w:color="auto" w:space="0" w:sz="4" w:val="single"/>
          <w:right w:color="auto" w:space="0" w:sz="4" w:val="single"/>
          <w:insideH w:color="auto" w:space="0" w:sz="4" w:val="single"/>
          <w:insideV w:color="auto" w:space="0" w:sz="4" w:val="single"/>
          <w:tl2br w:val="nil"/>
          <w:tr2bl w:val="nil"/>
        </w:tcBorders>
      </w:tcPr>
    </w:tblStylePr>
    <w:tblStylePr w:type="firstCol">
      <w:rPr>
        <w:rFonts w:ascii="Arial" w:hAnsi="Arial"/>
        <w:sz w:val="24"/>
      </w:rPr>
      <w:tblPr/>
      <w:tcPr>
        <w:tcBorders>
          <w:top w:color="auto" w:space="0" w:sz="4" w:val="single"/>
          <w:left w:color="auto" w:space="0" w:sz="4" w:val="single"/>
          <w:bottom w:color="auto" w:space="0" w:sz="4" w:val="single"/>
          <w:right w:color="auto" w:space="0" w:sz="4" w:val="single"/>
          <w:insideH w:color="auto" w:space="0" w:sz="4" w:val="single"/>
          <w:insideV w:color="auto" w:space="0" w:sz="4" w:val="single"/>
          <w:tl2br w:val="nil"/>
          <w:tr2bl w:val="nil"/>
        </w:tcBorders>
      </w:tcPr>
    </w:tblStylePr>
    <w:tblStylePr w:type="lastCol">
      <w:rPr>
        <w:rFonts w:ascii="Arial" w:hAnsi="Arial"/>
        <w:sz w:val="24"/>
      </w:rPr>
      <w:tblPr/>
      <w:tcPr>
        <w:tcBorders>
          <w:top w:color="auto" w:space="0" w:sz="4" w:val="single"/>
          <w:left w:color="auto" w:space="0" w:sz="4" w:val="single"/>
          <w:bottom w:color="auto" w:space="0" w:sz="4" w:val="single"/>
          <w:right w:color="auto" w:space="0" w:sz="4" w:val="single"/>
          <w:insideH w:color="auto" w:space="0" w:sz="4" w:val="single"/>
          <w:insideV w:color="auto" w:space="0" w:sz="4" w:val="single"/>
          <w:tl2br w:val="nil"/>
          <w:tr2bl w:val="nil"/>
        </w:tcBorders>
      </w:tcPr>
    </w:tblStylePr>
    <w:tblStylePr w:type="band1Horz">
      <w:rPr>
        <w:rFonts w:ascii="Arial" w:hAnsi="Arial"/>
        <w:sz w:val="24"/>
      </w:rPr>
    </w:tblStylePr>
    <w:tblStylePr w:type="band2Horz">
      <w:rPr>
        <w:rFonts w:ascii="Arial" w:hAnsi="Arial"/>
        <w:sz w:val="24"/>
      </w:rPr>
    </w:tblStylePr>
  </w:style>
  <w:style w:customStyle="1" w:styleId="DefinitionTerm" w:type="paragraph">
    <w:name w:val="Definition Term"/>
    <w:basedOn w:val="Normal"/>
    <w:next w:val="Definition"/>
    <w:rsid w:val="0083089E"/>
    <w:pPr>
      <w:keepNext/>
      <w:keepLines/>
      <w:spacing w:after="0"/>
    </w:pPr>
    <w:rPr>
      <w:b/>
    </w:rPr>
  </w:style>
  <w:style w:customStyle="1" w:styleId="Definition" w:type="paragraph">
    <w:name w:val="Definition"/>
    <w:basedOn w:val="Normal"/>
    <w:rsid w:val="0083089E"/>
  </w:style>
  <w:style w:styleId="Caption" w:type="paragraph">
    <w:name w:val="caption"/>
    <w:basedOn w:val="Normal"/>
    <w:link w:val="CaptionChar"/>
    <w:pPr>
      <w:spacing w:after="120"/>
    </w:pPr>
    <w:rPr>
      <w:i/>
    </w:rPr>
  </w:style>
  <w:style w:customStyle="1" w:styleId="TableCaption" w:type="paragraph">
    <w:name w:val="Table Caption"/>
    <w:basedOn w:val="Caption"/>
    <w:rsid w:val="00B660D1"/>
    <w:pPr>
      <w:keepNext/>
    </w:pPr>
  </w:style>
  <w:style w:customStyle="1" w:styleId="ImageCaption" w:type="paragraph">
    <w:name w:val="Image Caption"/>
    <w:basedOn w:val="Caption"/>
    <w:rsid w:val="0083089E"/>
  </w:style>
  <w:style w:customStyle="1" w:styleId="Figure" w:type="paragraph">
    <w:name w:val="Figure"/>
    <w:basedOn w:val="Normal"/>
    <w:rsid w:val="00B10500"/>
    <w:pPr>
      <w:jc w:val="center"/>
    </w:pPr>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sid w:val="0083089E"/>
    <w:rPr>
      <w:rFonts w:ascii="Arial" w:hAnsi="Arial"/>
      <w:color w:val="0070C0"/>
      <w:u w:val="single"/>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styleId="TableofFigures" w:type="paragraph">
    <w:name w:val="table of figures"/>
    <w:basedOn w:val="Normal"/>
    <w:next w:val="Normal"/>
    <w:rsid w:val="00E92509"/>
    <w:pPr>
      <w:spacing w:after="0"/>
    </w:pPr>
  </w:style>
  <w:style w:customStyle="1" w:styleId="PIcture" w:type="paragraph">
    <w:name w:val="PIcture"/>
    <w:basedOn w:val="Definition"/>
    <w:rsid w:val="00717BA3"/>
    <w:pPr>
      <w:jc w:val="center"/>
    </w:pPr>
    <w:rPr>
      <w:rFonts w:cs="Arial"/>
    </w:rPr>
  </w:style>
  <w:style w:styleId="TableofAuthorities" w:type="paragraph">
    <w:name w:val="table of authorities"/>
    <w:basedOn w:val="Normal"/>
    <w:next w:val="Normal"/>
    <w:rsid w:val="00B10500"/>
    <w:pPr>
      <w:spacing w:after="0"/>
      <w:ind w:hanging="240" w:left="240"/>
    </w:pPr>
  </w:style>
  <w:style w:styleId="TableGridLight" w:type="table">
    <w:name w:val="Grid Table Light"/>
    <w:basedOn w:val="TableNormal"/>
    <w:rsid w:val="003E7A1B"/>
    <w:pPr>
      <w:spacing w:after="0"/>
      <w:jc w:val="center"/>
    </w:pPr>
    <w:rPr>
      <w:rFonts w:ascii="Arial" w:hAnsi="Arial"/>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cPr>
      <w:shd w:color="auto" w:fill="auto" w:val="clear"/>
    </w:tcPr>
  </w:style>
  <w:style w:customStyle="1" w:styleId="TableNormal0" w:type="table">
    <w:name w:val="TableNormal"/>
    <w:basedOn w:val="Table"/>
    <w:uiPriority w:val="99"/>
    <w:rsid w:val="00E0381B"/>
    <w:pPr>
      <w:spacing w:after="0" w:line="480" w:lineRule="auto"/>
      <w:jc w:val="center"/>
    </w:pPr>
    <w:tblPr>
      <w:jc w:val="center"/>
      <w:tblBorders>
        <w:top w:color="auto" w:space="0" w:sz="0" w:val="none"/>
        <w:left w:color="auto" w:space="0" w:sz="0" w:val="none"/>
        <w:bottom w:color="A6A6A6" w:space="0" w:sz="4" w:themeColor="background1" w:themeShade="A6" w:val="single"/>
        <w:right w:color="auto" w:space="0" w:sz="0" w:val="none"/>
        <w:insideH w:color="A6A6A6" w:space="0" w:sz="6" w:themeColor="background1" w:themeShade="A6" w:val="single"/>
        <w:insideV w:color="auto" w:space="0" w:sz="0" w:val="none"/>
      </w:tblBorders>
    </w:tblPr>
    <w:trPr>
      <w:jc w:val="center"/>
    </w:trPr>
    <w:tcPr>
      <w:vAlign w:val="center"/>
    </w:tcPr>
    <w:tblStylePr w:type="firstRow">
      <w:rPr>
        <w:rFonts w:ascii="Arial" w:hAnsi="Arial"/>
        <w:b/>
        <w:sz w:val="24"/>
      </w:rPr>
      <w:tblPr>
        <w:jc w:val="left"/>
      </w:tblPr>
      <w:trPr>
        <w:jc w:val="left"/>
      </w:trPr>
      <w:tcPr>
        <w:tcBorders>
          <w:top w:color="auto" w:space="0" w:sz="4" w:val="single"/>
          <w:left w:color="auto" w:space="0" w:sz="4" w:val="single"/>
          <w:bottom w:color="auto" w:space="0" w:sz="0" w:val="single"/>
          <w:right w:color="auto" w:space="0" w:sz="4" w:val="single"/>
          <w:insideH w:color="auto" w:space="0" w:sz="4" w:val="single"/>
          <w:insideV w:color="auto" w:space="0" w:sz="4" w:val="single"/>
          <w:tl2br w:val="nil"/>
          <w:tr2bl w:val="nil"/>
        </w:tcBorders>
        <w:vAlign w:val="bottom"/>
      </w:tcPr>
    </w:tblStylePr>
    <w:tblStylePr w:type="firstCol">
      <w:rPr>
        <w:rFonts w:ascii="Arial" w:hAnsi="Arial"/>
        <w:sz w:val="24"/>
      </w:rPr>
      <w:tblPr/>
      <w:tcPr>
        <w:tcBorders>
          <w:top w:color="auto" w:space="0" w:sz="4" w:val="single"/>
          <w:left w:color="auto" w:space="0" w:sz="4" w:val="single"/>
          <w:bottom w:color="auto" w:space="0" w:sz="4" w:val="single"/>
          <w:right w:color="auto" w:space="0" w:sz="4" w:val="single"/>
          <w:insideH w:val="nil"/>
          <w:insideV w:val="nil"/>
          <w:tl2br w:val="nil"/>
          <w:tr2bl w:val="nil"/>
        </w:tcBorders>
      </w:tcPr>
    </w:tblStylePr>
    <w:tblStylePr w:type="lastCol">
      <w:rPr>
        <w:rFonts w:ascii="Arial" w:hAnsi="Arial"/>
        <w:sz w:val="24"/>
      </w:rPr>
      <w:tblPr/>
      <w:tcPr>
        <w:tcBorders>
          <w:top w:color="auto" w:space="0" w:sz="4" w:val="single"/>
          <w:left w:color="auto" w:space="0" w:sz="4" w:val="single"/>
          <w:bottom w:color="auto" w:space="0" w:sz="4" w:val="single"/>
          <w:right w:color="auto" w:space="0" w:sz="4" w:val="single"/>
          <w:insideH w:color="auto" w:space="0" w:sz="4" w:val="single"/>
          <w:insideV w:color="auto" w:space="0" w:sz="4" w:val="single"/>
          <w:tl2br w:val="nil"/>
          <w:tr2bl w:val="nil"/>
        </w:tcBorders>
      </w:tcPr>
    </w:tblStylePr>
    <w:tblStylePr w:type="band1Horz">
      <w:rPr>
        <w:rFonts w:ascii="Arial" w:hAnsi="Arial"/>
        <w:sz w:val="24"/>
      </w:rPr>
    </w:tblStylePr>
    <w:tblStylePr w:type="band2Horz">
      <w:rPr>
        <w:rFonts w:ascii="Arial" w:hAnsi="Arial"/>
        <w:sz w:val="24"/>
      </w:rPr>
    </w:tblStylePr>
  </w:style>
  <w:style w:styleId="Header" w:type="paragraph">
    <w:name w:val="header"/>
    <w:basedOn w:val="Normal"/>
    <w:link w:val="HeaderChar"/>
    <w:rsid w:val="00887399"/>
    <w:pPr>
      <w:tabs>
        <w:tab w:pos="4513" w:val="center"/>
        <w:tab w:pos="9026" w:val="right"/>
      </w:tabs>
      <w:spacing w:after="0"/>
    </w:pPr>
  </w:style>
  <w:style w:customStyle="1" w:styleId="HeaderChar" w:type="character">
    <w:name w:val="Header Char"/>
    <w:basedOn w:val="DefaultParagraphFont"/>
    <w:link w:val="Header"/>
    <w:rsid w:val="00887399"/>
    <w:rPr>
      <w:rFonts w:ascii="Arial" w:hAnsi="Arial"/>
    </w:rPr>
  </w:style>
  <w:style w:styleId="Footer" w:type="paragraph">
    <w:name w:val="footer"/>
    <w:basedOn w:val="Normal"/>
    <w:link w:val="FooterChar"/>
    <w:uiPriority w:val="99"/>
    <w:rsid w:val="00887399"/>
    <w:pPr>
      <w:tabs>
        <w:tab w:pos="4513" w:val="center"/>
        <w:tab w:pos="9026" w:val="right"/>
      </w:tabs>
      <w:spacing w:after="0"/>
    </w:pPr>
  </w:style>
  <w:style w:customStyle="1" w:styleId="FooterChar" w:type="character">
    <w:name w:val="Footer Char"/>
    <w:basedOn w:val="DefaultParagraphFont"/>
    <w:link w:val="Footer"/>
    <w:uiPriority w:val="99"/>
    <w:rsid w:val="00887399"/>
    <w:rPr>
      <w:rFonts w:ascii="Arial" w:hAnsi="Arial"/>
    </w:rPr>
  </w:style>
  <w:style w:styleId="TOC1" w:type="paragraph">
    <w:name w:val="toc 1"/>
    <w:basedOn w:val="Normal"/>
    <w:next w:val="Normal"/>
    <w:autoRedefine/>
    <w:uiPriority w:val="39"/>
    <w:rsid w:val="006E7139"/>
    <w:pPr>
      <w:spacing w:after="100"/>
    </w:pPr>
  </w:style>
  <w:style w:styleId="TOC2" w:type="paragraph">
    <w:name w:val="toc 2"/>
    <w:basedOn w:val="Normal"/>
    <w:next w:val="Normal"/>
    <w:autoRedefine/>
    <w:uiPriority w:val="39"/>
    <w:rsid w:val="006E7139"/>
    <w:pPr>
      <w:spacing w:after="100"/>
      <w:ind w:left="240"/>
    </w:pPr>
  </w:style>
  <w:style w:styleId="TOC3" w:type="paragraph">
    <w:name w:val="toc 3"/>
    <w:basedOn w:val="Normal"/>
    <w:next w:val="Normal"/>
    <w:autoRedefine/>
    <w:uiPriority w:val="39"/>
    <w:rsid w:val="006E7139"/>
    <w:pPr>
      <w:spacing w:after="100"/>
      <w:ind w:left="480"/>
    </w:pPr>
  </w:style>
  <w:style w:styleId="TableGrid" w:type="table">
    <w:name w:val="Table Grid"/>
    <w:basedOn w:val="TableNormal"/>
    <w:rsid w:val="00EB7964"/>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b/>
      <w:color w:val="204a87"/>
      <w:shd w:val="clear" w:fill="f8f8f8"/>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b/>
      <w:color w:val="ce5c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i/>
      <w:color w:val="8f5902"/>
      <w:shd w:val="clear" w:fill="f8f8f8"/>
    </w:rPr>
  </w:style>
  <w:style w:type="character" w:customStyle="1" w:styleId="DocumentationTok">
    <w:name w:val="DocumentationTok"/>
    <w:basedOn w:val="VerbatimChar"/>
    <w:rPr>
      <w:b/>
      <w:i/>
      <w:color w:val="8f5902"/>
      <w:shd w:val="clear" w:fill="f8f8f8"/>
    </w:rPr>
  </w:style>
  <w:style w:type="character" w:customStyle="1" w:styleId="AnnotationTok">
    <w:name w:val="AnnotationTok"/>
    <w:basedOn w:val="VerbatimChar"/>
    <w:rPr>
      <w:b/>
      <w:i/>
      <w:color w:val="8f5902"/>
      <w:shd w:val="clear" w:fill="f8f8f8"/>
    </w:rPr>
  </w:style>
  <w:style w:type="character" w:customStyle="1" w:styleId="CommentVarTok">
    <w:name w:val="CommentVarTok"/>
    <w:basedOn w:val="VerbatimChar"/>
    <w:rPr>
      <w:b/>
      <w:i/>
      <w:color w:val="8f5902"/>
      <w:shd w:val="clear" w:fill="f8f8f8"/>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b/>
      <w:color w:val="204a87"/>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b/>
      <w:color w:val="204a87"/>
      <w:shd w:val="clear" w:fill="f8f8f8"/>
    </w:rPr>
  </w:style>
  <w:style w:type="character" w:customStyle="1" w:styleId="OperatorTok">
    <w:name w:val="OperatorTok"/>
    <w:basedOn w:val="VerbatimChar"/>
    <w:rPr>
      <w:b/>
      <w:color w:val="ce5c00"/>
      <w:shd w:val="clear" w:fill="f8f8f8"/>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i/>
      <w:color w:val="8f5902"/>
      <w:shd w:val="clear" w:fill="f8f8f8"/>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b/>
      <w:i/>
      <w:color w:val="8f5902"/>
      <w:shd w:val="clear" w:fill="f8f8f8"/>
    </w:rPr>
  </w:style>
  <w:style w:type="character" w:customStyle="1" w:styleId="WarningTok">
    <w:name w:val="WarningTok"/>
    <w:basedOn w:val="VerbatimChar"/>
    <w:rPr>
      <w:b/>
      <w:i/>
      <w:color w:val="8f5902"/>
      <w:shd w:val="clear" w:fill="f8f8f8"/>
    </w:rPr>
  </w:style>
  <w:style w:type="character" w:customStyle="1" w:styleId="AlertTok">
    <w:name w:val="AlertTok"/>
    <w:basedOn w:val="VerbatimChar"/>
    <w:rPr>
      <w:color w:val="ef2929"/>
      <w:shd w:val="clear" w:fill="f8f8f8"/>
    </w:rPr>
  </w:style>
  <w:style w:type="character" w:customStyle="1" w:styleId="ErrorTok">
    <w:name w:val="ErrorTok"/>
    <w:basedOn w:val="VerbatimChar"/>
    <w:rPr>
      <w:b/>
      <w:color w:val="a40000"/>
      <w:shd w:val="clear" w:fill="f8f8f8"/>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footer1.xml" Type="http://schemas.openxmlformats.org/officeDocument/2006/relationships/footer" /><Relationship Type="http://schemas.openxmlformats.org/officeDocument/2006/relationships/image" Id="rId51" Target="media/rId51.png" /><Relationship Type="http://schemas.openxmlformats.org/officeDocument/2006/relationships/image" Id="rId30" Target="media/rId30.png" /><Relationship Type="http://schemas.openxmlformats.org/officeDocument/2006/relationships/image" Id="rId34" Target="media/rId34.png" /><Relationship Type="http://schemas.openxmlformats.org/officeDocument/2006/relationships/image" Id="rId40" Target="media/rId40.png" /><Relationship Type="http://schemas.openxmlformats.org/officeDocument/2006/relationships/image" Id="rId45" Target="media/rId45.png" /><Relationship Type="http://schemas.openxmlformats.org/officeDocument/2006/relationships/image" Id="rId20" Target="media/rId20.png" /><Relationship Type="http://schemas.openxmlformats.org/officeDocument/2006/relationships/hyperlink" Id="rId26" Target="https://assets.publishing.service.gov.uk/media/66d83f677a73423428aa2f14/School_attendance_data_collection_DPIA.pdf" TargetMode="External" /><Relationship Type="http://schemas.openxmlformats.org/officeDocument/2006/relationships/hyperlink" Id="rId37" Target="https://viewyourdata.education.gov.uk/" TargetMode="External" /><Relationship Type="http://schemas.openxmlformats.org/officeDocument/2006/relationships/hyperlink" Id="rId56" Target="https://www.gov.uk/government/publications/monitor-your-school-attendance-user-guide/monitor-your-school-attendance-how-to-use-the-absence-bandings-report" TargetMode="External" /></Relationships>
</file>

<file path=word/_rels/footnotes.xml.rels><?xml version="1.0" encoding="UTF-8"?><Relationships xmlns="http://schemas.openxmlformats.org/package/2006/relationships"><Relationship Type="http://schemas.openxmlformats.org/officeDocument/2006/relationships/hyperlink" Id="rId26" Target="https://assets.publishing.service.gov.uk/media/66d83f677a73423428aa2f14/School_attendance_data_collection_DPIA.pdf" TargetMode="External" /><Relationship Type="http://schemas.openxmlformats.org/officeDocument/2006/relationships/hyperlink" Id="rId37" Target="https://viewyourdata.education.gov.uk/" TargetMode="External" /><Relationship Type="http://schemas.openxmlformats.org/officeDocument/2006/relationships/hyperlink" Id="rId56" Target="https://www.gov.uk/government/publications/monitor-your-school-attendance-user-guide/monitor-your-school-attendance-how-to-use-the-absence-bandings-repor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2</Pages>
  <Words>89</Words>
  <Characters>512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2026-01-24T01:49:44Z</dcterms:created>
  <dcterms:modified xsi:type="dcterms:W3CDTF">2026-01-24T01:49:44Z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