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C22F9A7"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50189A1B">
                <wp:simplePos x="0" y="0"/>
                <wp:positionH relativeFrom="margin">
                  <wp:posOffset>-1270</wp:posOffset>
                </wp:positionH>
                <wp:positionV relativeFrom="margin">
                  <wp:posOffset>722630</wp:posOffset>
                </wp:positionV>
                <wp:extent cx="6000115" cy="3300095"/>
                <wp:effectExtent l="0" t="0" r="19685" b="14605"/>
                <wp:wrapSquare wrapText="bothSides"/>
                <wp:docPr id="1" name="Text Box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6000115" cy="3300095"/>
                        </a:xfrm>
                        <a:prstGeom prst="rect">
                          <a:avLst/>
                        </a:prstGeom>
                        <a:solidFill>
                          <a:srgbClr val="F2F2F2"/>
                        </a:solidFill>
                        <a:ln w="9528">
                          <a:solidFill>
                            <a:srgbClr val="000000"/>
                          </a:solidFill>
                          <a:prstDash val="solid"/>
                        </a:ln>
                      </wps:spPr>
                      <wps:txb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7"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8"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5"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5"/>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1pt;margin-top:56.9pt;width:472.45pt;height:259.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" fillcolor="#f2f2f2" strokeweight=".26467mm">
                <v:textbo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9"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0"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6"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6"/>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7B6E86">
        <w:t>Tattenhall Park Primary School</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74A27CC" w:rsidR="002940F3" w:rsidRDefault="007B6E86">
            <w:pPr>
              <w:pStyle w:val="TableRow"/>
            </w:pPr>
            <w:r>
              <w:t>230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CA936FF" w:rsidR="002940F3" w:rsidRDefault="007B6E86">
            <w:pPr>
              <w:pStyle w:val="TableRow"/>
            </w:pPr>
            <w:r>
              <w:t>12.2%</w:t>
            </w:r>
            <w:r w:rsidR="007727DB">
              <w:t xml:space="preserve"> (28 pupils)</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EEC10BA" w:rsidR="002940F3" w:rsidRDefault="007727DB">
            <w:pPr>
              <w:pStyle w:val="TableRow"/>
            </w:pPr>
            <w:r>
              <w:t>2022/2023, 2023/24 and 2024/25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7777777" w:rsidR="002940F3" w:rsidRDefault="002940F3">
            <w:pPr>
              <w:pStyle w:val="TableRow"/>
            </w:pP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7777777" w:rsidR="002940F3" w:rsidRDefault="002940F3">
            <w:pPr>
              <w:pStyle w:val="TableRow"/>
            </w:pP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98B3D96" w:rsidR="002940F3" w:rsidRDefault="007727DB">
            <w:pPr>
              <w:pStyle w:val="TableRow"/>
            </w:pPr>
            <w:r>
              <w:t>Jo Hawkins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7517500" w:rsidR="002940F3" w:rsidRDefault="007727DB">
            <w:pPr>
              <w:pStyle w:val="TableRow"/>
            </w:pPr>
            <w:r>
              <w:t>Daniel Jenner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94BCBC8" w:rsidR="00E66558" w:rsidRDefault="009D71E8">
            <w:pPr>
              <w:pStyle w:val="TableRow"/>
            </w:pPr>
            <w:r>
              <w:t>£</w:t>
            </w:r>
            <w:r w:rsidR="007727DB">
              <w:t>38,780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7777777" w:rsidR="00E66558" w:rsidRDefault="009D71E8">
            <w:pPr>
              <w:pStyle w:val="TableRow"/>
            </w:pPr>
            <w:r>
              <w:t>£</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BB3BC57" w:rsidR="00E66558" w:rsidRDefault="009D71E8">
            <w:pPr>
              <w:pStyle w:val="TableRow"/>
            </w:pPr>
            <w:r>
              <w:t>£</w:t>
            </w:r>
            <w:r w:rsidR="007727DB">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5C04536" w:rsidR="00E66558" w:rsidRDefault="009D71E8">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490E" w14:textId="0ED8C222" w:rsidR="007727DB" w:rsidRPr="007727DB" w:rsidRDefault="007727DB">
            <w:pPr>
              <w:pStyle w:val="ListParagraph"/>
              <w:numPr>
                <w:ilvl w:val="0"/>
                <w:numId w:val="13"/>
              </w:numPr>
              <w:rPr>
                <w:i/>
                <w:iCs/>
              </w:rPr>
            </w:pPr>
            <w:r>
              <w:t xml:space="preserve">At Tattenhall Park Primary, we have high aspirations and ambitions for our children and we believe that all learners should be able to reach their full potential. </w:t>
            </w:r>
          </w:p>
          <w:p w14:paraId="0F749738" w14:textId="77777777" w:rsidR="007727DB" w:rsidRPr="007727DB" w:rsidRDefault="007727DB">
            <w:pPr>
              <w:pStyle w:val="ListParagraph"/>
              <w:numPr>
                <w:ilvl w:val="0"/>
                <w:numId w:val="13"/>
              </w:numPr>
              <w:rPr>
                <w:i/>
                <w:iCs/>
              </w:rPr>
            </w:pPr>
            <w:r>
              <w:t xml:space="preserve">We strongly believe that reaching your potential is not about where you come from, but instead, about developing the necessary skills and values required to succeed. </w:t>
            </w:r>
          </w:p>
          <w:p w14:paraId="712EF2F2" w14:textId="182AF192" w:rsidR="007727DB" w:rsidRPr="007727DB" w:rsidRDefault="007727DB">
            <w:pPr>
              <w:pStyle w:val="ListParagraph"/>
              <w:numPr>
                <w:ilvl w:val="0"/>
                <w:numId w:val="13"/>
              </w:numPr>
              <w:rPr>
                <w:i/>
                <w:iCs/>
              </w:rPr>
            </w:pPr>
            <w:r>
              <w:t xml:space="preserve">Our pupils in receipt of the Pupil Premium Funding may face specific barriers to reaching their full potential, and, at Tattenhall Park, we are determined to provide the support and guidance they need to help them overcome these barriers. </w:t>
            </w:r>
          </w:p>
          <w:p w14:paraId="2A7D54E9" w14:textId="2E696623" w:rsidR="00E66558" w:rsidRDefault="007727DB">
            <w:pPr>
              <w:pStyle w:val="ListParagraph"/>
              <w:numPr>
                <w:ilvl w:val="0"/>
                <w:numId w:val="13"/>
              </w:numPr>
              <w:rPr>
                <w:i/>
                <w:iCs/>
              </w:rPr>
            </w:pPr>
            <w:r>
              <w:t>In addition to this, we aim to provide them with access to a variety of exciting opportunities and a rich and varied curriculum.</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03EBE0" w:rsidR="00E66558" w:rsidRDefault="00C83A4E" w:rsidP="00C83A4E">
            <w:pPr>
              <w:pStyle w:val="TableRowCentered"/>
              <w:jc w:val="left"/>
            </w:pPr>
            <w:r>
              <w:t>Increasing attainment gap across Reading, Writing and Maths while ensuring that the broad curriculum is also fully inclusive for all children.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7EF8053" w:rsidR="00E66558" w:rsidRDefault="00C83A4E">
            <w:pPr>
              <w:pStyle w:val="TableRowCentered"/>
              <w:jc w:val="left"/>
              <w:rPr>
                <w:sz w:val="22"/>
                <w:szCs w:val="22"/>
              </w:rPr>
            </w:pPr>
            <w:r>
              <w:t>Impact of school closure due to Covid-19 on pupil wellbeing and emotional support for all pupils, including those eligible for PP.</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7CAB91" w:rsidR="00E66558" w:rsidRDefault="00C83A4E">
            <w:pPr>
              <w:pStyle w:val="TableRowCentered"/>
              <w:jc w:val="left"/>
              <w:rPr>
                <w:sz w:val="22"/>
                <w:szCs w:val="22"/>
              </w:rPr>
            </w:pPr>
            <w:r>
              <w:t>Recovery of Reading for Pupil premium children (after COVID). This includes speech and language difficulties and a lack of exposure to a wide range of vocabulary.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B3AB272" w:rsidR="00E66558" w:rsidRDefault="00C83A4E">
            <w:pPr>
              <w:pStyle w:val="TableRowCentered"/>
              <w:jc w:val="left"/>
              <w:rPr>
                <w:iCs/>
                <w:sz w:val="22"/>
              </w:rPr>
            </w:pPr>
            <w:r>
              <w:t>Pupils and their families have social &amp; emotional difficulties, including medical and mental health issues.</w:t>
            </w:r>
          </w:p>
        </w:tc>
      </w:tr>
    </w:tbl>
    <w:p w14:paraId="3BC72E86" w14:textId="77777777" w:rsidR="002815C0" w:rsidRDefault="002815C0">
      <w:pPr>
        <w:pStyle w:val="Heading2"/>
        <w:spacing w:before="600"/>
      </w:pPr>
      <w:bookmarkStart w:id="18" w:name="_Toc443397160"/>
    </w:p>
    <w:p w14:paraId="25CBA21B" w14:textId="77777777" w:rsidR="002815C0" w:rsidRDefault="002815C0">
      <w:pPr>
        <w:pStyle w:val="Heading2"/>
        <w:spacing w:before="600"/>
      </w:pPr>
    </w:p>
    <w:p w14:paraId="2A7D54FF" w14:textId="4AB1E5D9"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FC7C431" w:rsidR="00E66558" w:rsidRDefault="002815C0">
            <w:pPr>
              <w:pStyle w:val="TableRow"/>
            </w:pPr>
            <w:r>
              <w:t>Increase of KS1 and 2 attainments in reading, writing and maths– including catch-up provision. Closing gaps agenda for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A483C5" w:rsidR="00E66558" w:rsidRDefault="002815C0">
            <w:pPr>
              <w:pStyle w:val="TableRowCentered"/>
              <w:jc w:val="left"/>
              <w:rPr>
                <w:sz w:val="22"/>
                <w:szCs w:val="22"/>
              </w:rPr>
            </w:pPr>
            <w:r>
              <w:t>Support groups planned, resourced and evaluated effectively to ensure that they have the maximum possible impact. Achieve national average progress scores in KS1 and KS2</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412F907" w:rsidR="00E66558" w:rsidRDefault="002815C0">
            <w:pPr>
              <w:pStyle w:val="TableRow"/>
              <w:rPr>
                <w:sz w:val="22"/>
                <w:szCs w:val="22"/>
              </w:rPr>
            </w:pPr>
            <w:r>
              <w:t>Increased well-being and emotional support for all pupils, including those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9975C57" w:rsidR="00E66558" w:rsidRDefault="002815C0">
            <w:pPr>
              <w:pStyle w:val="TableRowCentered"/>
              <w:jc w:val="left"/>
              <w:rPr>
                <w:sz w:val="22"/>
                <w:szCs w:val="22"/>
              </w:rPr>
            </w:pPr>
            <w:r>
              <w:t>Support groups continued for PP children with trained TAs when required. Focus on mindfulness across school and raised awareness of everyone’s mental health</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6EE9" w14:textId="77777777" w:rsidR="00484400" w:rsidRDefault="00484400">
            <w:pPr>
              <w:pStyle w:val="TableRow"/>
            </w:pPr>
            <w: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4471DD2" w14:textId="77777777" w:rsidR="00484400" w:rsidRDefault="00484400">
            <w:pPr>
              <w:pStyle w:val="TableRow"/>
            </w:pPr>
          </w:p>
          <w:p w14:paraId="2A7D550A" w14:textId="223CDF16" w:rsidR="00E66558" w:rsidRDefault="00484400">
            <w:pPr>
              <w:pStyle w:val="TableRow"/>
              <w:rPr>
                <w:sz w:val="22"/>
                <w:szCs w:val="22"/>
              </w:rPr>
            </w:pPr>
            <w:r>
              <w:t>To ensure fallen behind children receive targeted high-quality intervention monitored by intervention leader.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E291" w14:textId="77777777" w:rsidR="00484400" w:rsidRDefault="00484400">
            <w:pPr>
              <w:pStyle w:val="TableRowCentered"/>
              <w:jc w:val="left"/>
            </w:pPr>
            <w:r>
              <w:t xml:space="preserve">End of summer 2022 and 2023 data will show that 95 – 100% of disadvantaged children have made expected progress from the previous summer. </w:t>
            </w:r>
          </w:p>
          <w:p w14:paraId="63F0B19A" w14:textId="77777777" w:rsidR="00484400" w:rsidRDefault="00484400">
            <w:pPr>
              <w:pStyle w:val="TableRowCentered"/>
              <w:jc w:val="left"/>
            </w:pPr>
          </w:p>
          <w:p w14:paraId="7706EE50" w14:textId="54087801" w:rsidR="00484400" w:rsidRDefault="00484400">
            <w:pPr>
              <w:pStyle w:val="TableRowCentered"/>
              <w:jc w:val="left"/>
            </w:pPr>
            <w:r>
              <w:t xml:space="preserve">End of summer data will also show that 10 – 20% of disadvantaged children will have made accelerated progress. </w:t>
            </w:r>
          </w:p>
          <w:p w14:paraId="50D9DB56" w14:textId="77777777" w:rsidR="00484400" w:rsidRDefault="00484400">
            <w:pPr>
              <w:pStyle w:val="TableRowCentered"/>
              <w:jc w:val="left"/>
            </w:pPr>
          </w:p>
          <w:p w14:paraId="2A7D550B" w14:textId="2FDD1E22" w:rsidR="00E66558" w:rsidRDefault="00484400">
            <w:pPr>
              <w:pStyle w:val="TableRowCentered"/>
              <w:jc w:val="left"/>
              <w:rPr>
                <w:sz w:val="22"/>
                <w:szCs w:val="22"/>
              </w:rPr>
            </w:pPr>
            <w:r>
              <w:t>Analysis of interventions will show that interventions have had a positive impact on the disadvantaged children’s learning and has helped in accelerating their progress.</w:t>
            </w:r>
          </w:p>
        </w:tc>
      </w:tr>
    </w:tbl>
    <w:p w14:paraId="60BAD9F6" w14:textId="77777777" w:rsidR="00120AB1" w:rsidRDefault="00120AB1" w:rsidP="00ED5108"/>
    <w:p w14:paraId="2A06959E" w14:textId="2218981A" w:rsidR="00120AB1" w:rsidRDefault="00120AB1" w:rsidP="00BD4B12"/>
    <w:p w14:paraId="52D7473D" w14:textId="77777777" w:rsidR="00484400" w:rsidRDefault="00484400">
      <w:pPr>
        <w:pStyle w:val="Heading2"/>
      </w:pPr>
    </w:p>
    <w:p w14:paraId="7865152E" w14:textId="77777777" w:rsidR="00484400" w:rsidRDefault="00484400">
      <w:pPr>
        <w:pStyle w:val="Heading2"/>
      </w:pPr>
    </w:p>
    <w:p w14:paraId="2A7D5512" w14:textId="13A33CED" w:rsidR="00E66558" w:rsidRDefault="009D71E8" w:rsidP="00367FD6">
      <w:pPr>
        <w:pStyle w:val="Heading2"/>
        <w:spacing w:before="100" w:beforeAutospacing="1" w:after="100" w:afterAutospacing="1"/>
      </w:pPr>
      <w:r>
        <w:t>Activity in this academic year</w:t>
      </w:r>
    </w:p>
    <w:p w14:paraId="2A7D5513" w14:textId="603E7BD1" w:rsidR="00E66558" w:rsidRDefault="009D71E8" w:rsidP="00367FD6">
      <w:pPr>
        <w:spacing w:before="100" w:beforeAutospacing="1" w:after="100" w:afterAutospacing="1" w:line="240" w:lineRule="auto"/>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8077629" w:rsidR="00E66558" w:rsidRDefault="00367FD6" w:rsidP="00367FD6">
      <w:pPr>
        <w:pStyle w:val="Heading3"/>
        <w:spacing w:before="100" w:beforeAutospacing="1" w:after="100" w:afterAutospacing="1"/>
      </w:pPr>
      <w:r>
        <w:t>T</w:t>
      </w:r>
      <w:r w:rsidR="009D71E8">
        <w:t>eaching (for example, CPD, recruitment and retention)</w:t>
      </w:r>
    </w:p>
    <w:p w14:paraId="2A7D5515" w14:textId="7A84EBFA" w:rsidR="00E66558" w:rsidRDefault="009D71E8" w:rsidP="00367FD6">
      <w:pPr>
        <w:spacing w:before="100" w:beforeAutospacing="1" w:after="100" w:afterAutospacing="1" w:line="240" w:lineRule="auto"/>
      </w:pPr>
      <w:r>
        <w:t xml:space="preserve">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507" w14:textId="77777777" w:rsidR="00367FD6" w:rsidRDefault="00367FD6">
            <w:pPr>
              <w:pStyle w:val="TableRow"/>
            </w:pPr>
            <w:r>
              <w:t>Purchase of a DfE validated Systematic Synthetic Phonics programme to secure stronger phonics teaching for all pupils.</w:t>
            </w:r>
          </w:p>
          <w:p w14:paraId="4A9E0185" w14:textId="77777777" w:rsidR="00367FD6" w:rsidRDefault="00367FD6">
            <w:pPr>
              <w:pStyle w:val="TableRow"/>
            </w:pPr>
          </w:p>
          <w:p w14:paraId="2A7D551A" w14:textId="77503566" w:rsidR="00E66558" w:rsidRDefault="00367FD6">
            <w:pPr>
              <w:pStyle w:val="TableRow"/>
            </w:pPr>
            <w:r>
              <w:t>£3196.62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049C" w14:textId="77777777" w:rsidR="00367FD6" w:rsidRDefault="00367FD6">
            <w:pPr>
              <w:pStyle w:val="TableRowCentered"/>
              <w:jc w:val="left"/>
            </w:pPr>
            <w:r>
              <w:t>Phonics approaches have a strong evidence base that indicates a positive impact on the accuracy of word reading (though not necessarily comprehension), particularly for disadvantaged pupils:</w:t>
            </w:r>
          </w:p>
          <w:p w14:paraId="2A7D551B" w14:textId="662C9E6C" w:rsidR="00E66558" w:rsidRDefault="00367FD6">
            <w:pPr>
              <w:pStyle w:val="TableRowCentered"/>
              <w:jc w:val="left"/>
              <w:rPr>
                <w:sz w:val="22"/>
              </w:rPr>
            </w:pPr>
            <w:hyperlink r:id="rId11" w:history="1">
              <w:r w:rsidRPr="00367FD6">
                <w:rPr>
                  <w:rStyle w:val="Hyperlink"/>
                </w:rPr>
                <w:t xml:space="preserve">Phonics | Toolkit Strand | Education Endowment Foundation | </w:t>
              </w:r>
              <w:r w:rsidRPr="00367FD6">
                <w:rPr>
                  <w:rStyle w:val="Hyperlink"/>
                </w:rPr>
                <w:t>E</w:t>
              </w:r>
              <w:r w:rsidRPr="00367FD6">
                <w:rPr>
                  <w:rStyle w:val="Hyperlink"/>
                </w:rPr>
                <w:t>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E24F8E8" w:rsidR="00E66558" w:rsidRDefault="00367FD6">
            <w:pPr>
              <w:pStyle w:val="TableRowCentered"/>
              <w:jc w:val="left"/>
              <w:rPr>
                <w:sz w:val="22"/>
              </w:rPr>
            </w:pPr>
            <w:r>
              <w:rPr>
                <w:sz w:val="22"/>
              </w:rPr>
              <w:t>1</w:t>
            </w:r>
            <w:r w:rsidR="00CA3644">
              <w:rPr>
                <w:sz w:val="22"/>
              </w:rPr>
              <w:t>,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8DAD923" w:rsidR="00E66558" w:rsidRDefault="00CA3644" w:rsidP="00CA3644">
            <w:pPr>
              <w:pStyle w:val="TableRow"/>
              <w:rPr>
                <w:i/>
                <w:sz w:val="22"/>
              </w:rPr>
            </w:pPr>
            <w:r>
              <w:t xml:space="preserve">Teaching Assistant to deliver interventions, nurture and work with pupil premium children in </w:t>
            </w:r>
            <w:r>
              <w:t>Year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90CD4" w14:textId="7E148021" w:rsidR="00CA3644" w:rsidRDefault="00CA3644" w:rsidP="00CA3644">
            <w:pPr>
              <w:pStyle w:val="TableRowCentered"/>
              <w:jc w:val="left"/>
              <w:rPr>
                <w:sz w:val="22"/>
              </w:rPr>
            </w:pPr>
            <w:hyperlink r:id="rId12" w:history="1">
              <w:r w:rsidRPr="00CA3644">
                <w:rPr>
                  <w:rStyle w:val="Hyperlink"/>
                  <w:sz w:val="22"/>
                </w:rPr>
                <w:t>EEF</w:t>
              </w:r>
            </w:hyperlink>
          </w:p>
          <w:p w14:paraId="065E9299" w14:textId="77777777" w:rsidR="00CA3644" w:rsidRPr="00CA3644" w:rsidRDefault="00CA3644">
            <w:pPr>
              <w:pStyle w:val="TableRowCentered"/>
              <w:jc w:val="left"/>
              <w:rPr>
                <w:i/>
              </w:rPr>
            </w:pPr>
            <w:r w:rsidRPr="00CA3644">
              <w:rPr>
                <w:i/>
              </w:rPr>
              <w:t xml:space="preserve">“As the size of a class or teaching group gets smaller it is suggested that the range of approaches a teacher can employ and the amount of attention each student will receive will increase, improving outcomes for pupils.” </w:t>
            </w:r>
          </w:p>
          <w:p w14:paraId="666207E8" w14:textId="77777777" w:rsidR="00CA3644" w:rsidRDefault="00CA3644">
            <w:pPr>
              <w:pStyle w:val="TableRowCentered"/>
              <w:jc w:val="left"/>
            </w:pPr>
          </w:p>
          <w:p w14:paraId="193AA3E5" w14:textId="77777777" w:rsidR="00CA3644" w:rsidRDefault="00CA3644">
            <w:pPr>
              <w:pStyle w:val="TableRowCentered"/>
              <w:jc w:val="left"/>
            </w:pPr>
            <w:r>
              <w:t xml:space="preserve">We have analysed the needs of our PP cohort and have identified a number of children who would benefit from smaller group teaching and interventions this will allow us to increase the amount of attention each child will receive </w:t>
            </w:r>
          </w:p>
          <w:p w14:paraId="4437F716" w14:textId="77777777" w:rsidR="00CA3644" w:rsidRDefault="00CA3644">
            <w:pPr>
              <w:pStyle w:val="TableRowCentered"/>
              <w:jc w:val="left"/>
            </w:pPr>
          </w:p>
          <w:p w14:paraId="2A7D551F" w14:textId="7A6D5C92" w:rsidR="00CA3644" w:rsidRPr="00CA3644" w:rsidRDefault="00CA3644" w:rsidP="00CA3644">
            <w:pPr>
              <w:pStyle w:val="TableRowCentered"/>
              <w:jc w:val="left"/>
              <w:rPr>
                <w:i/>
                <w:sz w:val="22"/>
              </w:rPr>
            </w:pPr>
            <w:r>
              <w:t>Allocations of TAs to ensure that each class has at</w:t>
            </w:r>
            <w:r>
              <w:t xml:space="preserve"> least morning support in maths in KS2.</w:t>
            </w:r>
            <w:r>
              <w:t xml:space="preserve"> Extra TA support with younger children in phonics has been facilitated. </w:t>
            </w:r>
            <w:r>
              <w:rPr>
                <w:i/>
              </w:rPr>
              <w:t xml:space="preserve">Smaller </w:t>
            </w:r>
            <w:r>
              <w:rPr>
                <w:i/>
              </w:rPr>
              <w:lastRenderedPageBreak/>
              <w:t>working groups working on sounds more accurately with those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B80E9F3" w:rsidR="00E66558" w:rsidRDefault="00CA3644">
            <w:pPr>
              <w:pStyle w:val="TableRowCentered"/>
              <w:jc w:val="left"/>
              <w:rPr>
                <w:sz w:val="22"/>
              </w:rPr>
            </w:pPr>
            <w:r>
              <w:rPr>
                <w:sz w:val="22"/>
              </w:rPr>
              <w:lastRenderedPageBreak/>
              <w:t>1, 3</w:t>
            </w:r>
          </w:p>
        </w:tc>
      </w:tr>
      <w:tr w:rsidR="00B371EC" w14:paraId="72EB70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45CE" w14:textId="77777777" w:rsidR="00B371EC" w:rsidRDefault="00B371EC" w:rsidP="00C55D07">
            <w:pPr>
              <w:pStyle w:val="TableParagraph"/>
              <w:spacing w:before="50"/>
              <w:ind w:left="103"/>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6AD33" w14:textId="77777777" w:rsidR="00B371EC" w:rsidRDefault="00B371EC" w:rsidP="00CA364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74AA" w14:textId="77777777" w:rsidR="00B371EC" w:rsidRDefault="00B371EC">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2D5714F" w:rsidR="00E66558" w:rsidRPr="00C55D07" w:rsidRDefault="00C55D07">
            <w:pPr>
              <w:pStyle w:val="TableRow"/>
            </w:pPr>
            <w:r w:rsidRPr="00C55D07">
              <w:t>NELI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777777" w:rsidR="00E66558" w:rsidRDefault="00E66558">
            <w:pPr>
              <w:pStyle w:val="TableRowCentered"/>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1E9F12E" w:rsidR="00E66558" w:rsidRPr="00C55D07" w:rsidRDefault="00C55D07">
            <w:pPr>
              <w:pStyle w:val="TableRow"/>
            </w:pPr>
            <w:r w:rsidRPr="00C55D07">
              <w:t>WELLCOMM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E66558" w:rsidRDefault="00E66558">
            <w:pPr>
              <w:pStyle w:val="TableRowCentered"/>
              <w:jc w:val="left"/>
              <w:rPr>
                <w:sz w:val="22"/>
              </w:rPr>
            </w:pPr>
          </w:p>
        </w:tc>
      </w:tr>
      <w:tr w:rsidR="00C55D07" w14:paraId="56BEE91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842F" w14:textId="1F83159B" w:rsidR="00C55D07" w:rsidRPr="00C55D07" w:rsidRDefault="00C55D07">
            <w:pPr>
              <w:pStyle w:val="TableRow"/>
            </w:pPr>
            <w:r>
              <w:t>ELKLAN</w:t>
            </w:r>
            <w:bookmarkStart w:id="19" w:name="_GoBack"/>
            <w:bookmarkEnd w:id="19"/>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D1B9" w14:textId="77777777" w:rsidR="00C55D07" w:rsidRDefault="00C55D0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6718" w14:textId="77777777" w:rsidR="00C55D07" w:rsidRDefault="00C55D07">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7777777" w:rsidR="00E66558" w:rsidRDefault="009D71E8">
            <w:pPr>
              <w:pStyle w:val="TableRow"/>
            </w:pPr>
            <w:r>
              <w:rPr>
                <w:i/>
                <w:iCs/>
                <w:sz w:val="22"/>
                <w:szCs w:val="22"/>
              </w:rPr>
              <w:t>Add or delete rows as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C664A3">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BBAFF" w14:textId="1D4E9F6B" w:rsidR="00173D4C" w:rsidRPr="00191305" w:rsidRDefault="00173D4C" w:rsidP="001671ED">
            <w:pPr>
              <w:spacing w:before="60"/>
              <w:rPr>
                <w:i/>
                <w:iCs/>
                <w:lang w:eastAsia="en-US"/>
              </w:rPr>
            </w:pPr>
            <w:r w:rsidRPr="00191305">
              <w:rPr>
                <w:i/>
                <w:iCs/>
                <w:lang w:eastAsia="en-US"/>
              </w:rPr>
              <w:t>Outline outcomes for disadvantaged pupils in the</w:t>
            </w:r>
            <w:r w:rsidR="006F2604">
              <w:rPr>
                <w:i/>
                <w:iCs/>
                <w:lang w:eastAsia="en-US"/>
              </w:rPr>
              <w:t xml:space="preserve"> </w:t>
            </w:r>
            <w:r w:rsidRPr="00191305">
              <w:rPr>
                <w:i/>
                <w:iCs/>
                <w:lang w:eastAsia="en-US"/>
              </w:rPr>
              <w:t xml:space="preserve">2021 to 2022 academic year and explain how their performance has been assessed. </w:t>
            </w:r>
          </w:p>
          <w:p w14:paraId="2B917B84" w14:textId="1490F7CB" w:rsidR="00173D4C" w:rsidRPr="00191305" w:rsidRDefault="00173D4C" w:rsidP="00ED5108">
            <w:pPr>
              <w:rPr>
                <w:i/>
                <w:iCs/>
                <w:lang w:eastAsia="en-US"/>
              </w:rPr>
            </w:pPr>
            <w:r w:rsidRPr="00191305">
              <w:rPr>
                <w:i/>
                <w:iCs/>
                <w:lang w:eastAsia="en-US"/>
              </w:rPr>
              <w:t xml:space="preserve">Secondary schools should include 2022 key stage 4 performance data, and any other pupil evaluations carried out in the 2021 to 2022 academic year. </w:t>
            </w:r>
          </w:p>
          <w:p w14:paraId="073C373F" w14:textId="6C0E6DB0" w:rsidR="00173D4C" w:rsidRPr="00191305" w:rsidRDefault="00173D4C" w:rsidP="00C664A3">
            <w:pPr>
              <w:rPr>
                <w:i/>
                <w:iCs/>
                <w:lang w:eastAsia="en-US"/>
              </w:rPr>
            </w:pPr>
            <w:r w:rsidRPr="00191305">
              <w:rPr>
                <w:rFonts w:cs="Arial"/>
                <w:i/>
                <w:iCs/>
                <w:color w:val="auto"/>
                <w:lang w:eastAsia="en-US"/>
              </w:rPr>
              <w:t>Primary schools</w:t>
            </w:r>
            <w:r w:rsidR="004E1D73">
              <w:rPr>
                <w:rFonts w:cs="Arial"/>
                <w:i/>
                <w:iCs/>
                <w:color w:val="auto"/>
                <w:lang w:eastAsia="en-US"/>
              </w:rPr>
              <w:t xml:space="preserve"> </w:t>
            </w:r>
            <w:r w:rsidRPr="00191305">
              <w:rPr>
                <w:rFonts w:cs="Arial"/>
                <w:i/>
                <w:iCs/>
                <w:color w:val="auto"/>
                <w:lang w:eastAsia="en-US"/>
              </w:rPr>
              <w:t xml:space="preserve">do not need to publish their 2022 key stage 2 results as DfE </w:t>
            </w:r>
            <w:r w:rsidRPr="00191305">
              <w:rPr>
                <w:rFonts w:cs="Arial"/>
                <w:i/>
                <w:iCs/>
                <w:color w:val="4D4D4D"/>
                <w:shd w:val="clear" w:color="auto" w:fill="FFFFFF"/>
              </w:rPr>
              <w:t>is not publishing that data</w:t>
            </w:r>
            <w:r w:rsidR="00A638AC">
              <w:rPr>
                <w:rFonts w:cs="Arial"/>
                <w:i/>
                <w:iCs/>
                <w:color w:val="4D4D4D"/>
                <w:shd w:val="clear" w:color="auto" w:fill="FFFFFF"/>
              </w:rPr>
              <w:t>. R</w:t>
            </w:r>
            <w:r w:rsidRPr="00191305">
              <w:rPr>
                <w:i/>
                <w:iCs/>
                <w:lang w:eastAsia="en-US"/>
              </w:rPr>
              <w:t>efer to any other pupil evaluations carried out during the 2021</w:t>
            </w:r>
            <w:r w:rsidR="00A638AC">
              <w:rPr>
                <w:i/>
                <w:iCs/>
                <w:lang w:eastAsia="en-US"/>
              </w:rPr>
              <w:t xml:space="preserve"> </w:t>
            </w:r>
            <w:r w:rsidRPr="00191305">
              <w:rPr>
                <w:i/>
                <w:iCs/>
                <w:lang w:eastAsia="en-US"/>
              </w:rPr>
              <w:t>to 2022 academic year</w:t>
            </w:r>
            <w:r w:rsidR="00A638AC">
              <w:rPr>
                <w:i/>
                <w:iCs/>
                <w:lang w:eastAsia="en-US"/>
              </w:rPr>
              <w:t>. F</w:t>
            </w:r>
            <w:r w:rsidRPr="00191305">
              <w:rPr>
                <w:i/>
                <w:iCs/>
                <w:lang w:eastAsia="en-US"/>
              </w:rPr>
              <w:t>or example, standardised teacher administered tests or diagnostic assessments such as rubrics or scales.</w:t>
            </w:r>
          </w:p>
          <w:p w14:paraId="2C201985" w14:textId="5A866BF1" w:rsidR="00173D4C" w:rsidRPr="00191305" w:rsidRDefault="00173D4C" w:rsidP="00ED5108">
            <w:pPr>
              <w:rPr>
                <w:i/>
                <w:iCs/>
                <w:color w:val="auto"/>
                <w:lang w:eastAsia="en-US"/>
              </w:rPr>
            </w:pPr>
            <w:r w:rsidRPr="00191305">
              <w:rPr>
                <w:i/>
                <w:iCs/>
                <w:color w:val="auto"/>
                <w:lang w:eastAsia="en-US"/>
              </w:rPr>
              <w:t>We strongly discourage comparing</w:t>
            </w:r>
            <w:r w:rsidR="004E1D73">
              <w:rPr>
                <w:i/>
                <w:iCs/>
                <w:color w:val="auto"/>
                <w:lang w:eastAsia="en-US"/>
              </w:rPr>
              <w:t xml:space="preserve"> </w:t>
            </w:r>
            <w:r w:rsidRPr="00191305">
              <w:rPr>
                <w:i/>
                <w:iCs/>
                <w:color w:val="auto"/>
                <w:lang w:eastAsia="en-US"/>
              </w:rPr>
              <w:t xml:space="preserve">your school’s 2022 performance data with data from previous years. The impact of COVID-19 makes it difficult to interpret why the results are as they are. In addition, for secondary schools, changes were made to GCSE and A level exams in 2022, </w:t>
            </w:r>
            <w:r w:rsidR="001A2FE8">
              <w:rPr>
                <w:i/>
                <w:iCs/>
                <w:color w:val="auto"/>
                <w:lang w:eastAsia="en-US"/>
              </w:rPr>
              <w:t xml:space="preserve">including </w:t>
            </w:r>
            <w:r w:rsidRPr="00191305">
              <w:rPr>
                <w:i/>
                <w:iCs/>
                <w:color w:val="auto"/>
                <w:lang w:eastAsia="en-US"/>
              </w:rPr>
              <w:t>grading that reflected a midway point between grading in 2021 and 2019.</w:t>
            </w:r>
          </w:p>
          <w:p w14:paraId="667FCE8B" w14:textId="467F29F6" w:rsidR="00173D4C" w:rsidRPr="00191305" w:rsidRDefault="00173D4C" w:rsidP="00ED5108">
            <w:pPr>
              <w:rPr>
                <w:i/>
                <w:iCs/>
                <w:color w:val="auto"/>
                <w:lang w:eastAsia="en-US"/>
              </w:rPr>
            </w:pPr>
            <w:r w:rsidRPr="00191305">
              <w:rPr>
                <w:i/>
                <w:iCs/>
                <w:color w:val="auto"/>
                <w:lang w:eastAsia="en-US"/>
              </w:rPr>
              <w:t xml:space="preserve">You can compare your school’s disadvantaged pupils’ performance data to local and national averages, with caution. </w:t>
            </w:r>
          </w:p>
          <w:p w14:paraId="5023926C" w14:textId="43C55C63" w:rsidR="00173D4C" w:rsidRDefault="00173D4C" w:rsidP="00C664A3">
            <w:r w:rsidRPr="00191305">
              <w:rPr>
                <w:i/>
                <w:iCs/>
                <w:lang w:eastAsia="en-US"/>
              </w:rPr>
              <w:t>If last year marked the end of a previous pupil premium strategy plan,</w:t>
            </w:r>
            <w:r w:rsidR="00426217">
              <w:rPr>
                <w:i/>
                <w:iCs/>
                <w:lang w:eastAsia="en-US"/>
              </w:rPr>
              <w:t xml:space="preserve"> </w:t>
            </w:r>
            <w:r w:rsidRPr="00191305">
              <w:rPr>
                <w:i/>
                <w:iCs/>
                <w:lang w:eastAsia="en-US"/>
              </w:rPr>
              <w:t xml:space="preserve">you </w:t>
            </w:r>
            <w:r w:rsidR="00426217">
              <w:rPr>
                <w:i/>
                <w:iCs/>
                <w:lang w:eastAsia="en-US"/>
              </w:rPr>
              <w:t xml:space="preserve">should set out </w:t>
            </w:r>
            <w:r w:rsidR="005879C9">
              <w:rPr>
                <w:i/>
                <w:iCs/>
                <w:lang w:eastAsia="en-US"/>
              </w:rPr>
              <w:t xml:space="preserve">your </w:t>
            </w:r>
            <w:r w:rsidRPr="00191305">
              <w:rPr>
                <w:i/>
                <w:iCs/>
                <w:lang w:eastAsia="en-US"/>
              </w:rPr>
              <w:t>assessment of how successfully the intended outcomes of that plan were me</w:t>
            </w:r>
            <w:r w:rsidR="005879C9">
              <w:rPr>
                <w:i/>
                <w:iCs/>
                <w:lang w:eastAsia="en-US"/>
              </w:rPr>
              <w:t>t.</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6"/>
      <w:bookmarkEnd w:id="17"/>
      <w:bookmarkEnd w:id="18"/>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2AC4" w14:textId="77777777" w:rsidR="00C664A3" w:rsidRDefault="00C664A3">
      <w:pPr>
        <w:spacing w:after="0" w:line="240" w:lineRule="auto"/>
      </w:pPr>
      <w:r>
        <w:separator/>
      </w:r>
    </w:p>
  </w:endnote>
  <w:endnote w:type="continuationSeparator" w:id="0">
    <w:p w14:paraId="245B8E3E" w14:textId="77777777" w:rsidR="00C664A3" w:rsidRDefault="00C664A3">
      <w:pPr>
        <w:spacing w:after="0" w:line="240" w:lineRule="auto"/>
      </w:pPr>
      <w:r>
        <w:continuationSeparator/>
      </w:r>
    </w:p>
  </w:endnote>
  <w:endnote w:type="continuationNotice" w:id="1">
    <w:p w14:paraId="50675CC5" w14:textId="77777777" w:rsidR="00C664A3" w:rsidRDefault="00C66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C1FB508" w:rsidR="00C373EA" w:rsidRDefault="009D71E8">
    <w:pPr>
      <w:pStyle w:val="Footer"/>
      <w:ind w:firstLine="4513"/>
    </w:pPr>
    <w:r>
      <w:fldChar w:fldCharType="begin"/>
    </w:r>
    <w:r>
      <w:instrText xml:space="preserve"> PAGE </w:instrText>
    </w:r>
    <w:r>
      <w:fldChar w:fldCharType="separate"/>
    </w:r>
    <w:r w:rsidR="00C55D07">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FF4DD" w14:textId="77777777" w:rsidR="00C664A3" w:rsidRDefault="00C664A3">
      <w:pPr>
        <w:spacing w:after="0" w:line="240" w:lineRule="auto"/>
      </w:pPr>
      <w:r>
        <w:separator/>
      </w:r>
    </w:p>
  </w:footnote>
  <w:footnote w:type="continuationSeparator" w:id="0">
    <w:p w14:paraId="2D0A1CA5" w14:textId="77777777" w:rsidR="00C664A3" w:rsidRDefault="00C664A3">
      <w:pPr>
        <w:spacing w:after="0" w:line="240" w:lineRule="auto"/>
      </w:pPr>
      <w:r>
        <w:continuationSeparator/>
      </w:r>
    </w:p>
  </w:footnote>
  <w:footnote w:type="continuationNotice" w:id="1">
    <w:p w14:paraId="3ED86006" w14:textId="77777777" w:rsidR="00C664A3" w:rsidRDefault="00C664A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815C0"/>
    <w:rsid w:val="002920F4"/>
    <w:rsid w:val="002940F3"/>
    <w:rsid w:val="00295842"/>
    <w:rsid w:val="002B3574"/>
    <w:rsid w:val="002B6B74"/>
    <w:rsid w:val="002C6AE7"/>
    <w:rsid w:val="002D2D4B"/>
    <w:rsid w:val="002D3805"/>
    <w:rsid w:val="002E66AE"/>
    <w:rsid w:val="002E7763"/>
    <w:rsid w:val="002F5842"/>
    <w:rsid w:val="00306CB7"/>
    <w:rsid w:val="003111F5"/>
    <w:rsid w:val="00336200"/>
    <w:rsid w:val="00337418"/>
    <w:rsid w:val="00351D83"/>
    <w:rsid w:val="00353E46"/>
    <w:rsid w:val="003576C4"/>
    <w:rsid w:val="00366AB0"/>
    <w:rsid w:val="00367FD6"/>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2F8F"/>
    <w:rsid w:val="00481D56"/>
    <w:rsid w:val="00484400"/>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727DB"/>
    <w:rsid w:val="00785285"/>
    <w:rsid w:val="0078529D"/>
    <w:rsid w:val="00787DC1"/>
    <w:rsid w:val="00794070"/>
    <w:rsid w:val="007A713B"/>
    <w:rsid w:val="007B64E5"/>
    <w:rsid w:val="007B6E86"/>
    <w:rsid w:val="007C2F04"/>
    <w:rsid w:val="007F5B8B"/>
    <w:rsid w:val="00817E9A"/>
    <w:rsid w:val="00830D5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371EC"/>
    <w:rsid w:val="00B572C4"/>
    <w:rsid w:val="00B60858"/>
    <w:rsid w:val="00B74D4E"/>
    <w:rsid w:val="00B80219"/>
    <w:rsid w:val="00BA19A5"/>
    <w:rsid w:val="00BC67F6"/>
    <w:rsid w:val="00BD2004"/>
    <w:rsid w:val="00BD4B12"/>
    <w:rsid w:val="00BE2F92"/>
    <w:rsid w:val="00BF0D5F"/>
    <w:rsid w:val="00C11EB4"/>
    <w:rsid w:val="00C12746"/>
    <w:rsid w:val="00C25827"/>
    <w:rsid w:val="00C31BB8"/>
    <w:rsid w:val="00C373EA"/>
    <w:rsid w:val="00C55D07"/>
    <w:rsid w:val="00C621C1"/>
    <w:rsid w:val="00C62989"/>
    <w:rsid w:val="00C65CBB"/>
    <w:rsid w:val="00C664A3"/>
    <w:rsid w:val="00C80F37"/>
    <w:rsid w:val="00C83A4E"/>
    <w:rsid w:val="00C97A7F"/>
    <w:rsid w:val="00CA3644"/>
    <w:rsid w:val="00CB5B17"/>
    <w:rsid w:val="00CC4443"/>
    <w:rsid w:val="00CC5CAF"/>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2587"/>
    <w:rsid w:val="00F63E9E"/>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7D54B1"/>
  <w15:docId w15:val="{31C4B78F-509B-4E03-A233-E2C59B79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71EC"/>
    <w:pPr>
      <w:widowControl w:val="0"/>
      <w:suppressAutoHyphens w:val="0"/>
      <w:autoSpaceDE w:val="0"/>
      <w:spacing w:after="0" w:line="240" w:lineRule="auto"/>
      <w:ind w:left="102"/>
    </w:pPr>
    <w:rPr>
      <w:rFonts w:ascii="Comic Sans MS" w:eastAsia="Comic Sans MS" w:hAnsi="Comic Sans MS" w:cs="Comic Sans M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education-evidence/teaching-learning-toolkit/reducing-class-siz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D Jenner</cp:lastModifiedBy>
  <cp:revision>2</cp:revision>
  <cp:lastPrinted>2014-09-17T21:26:00Z</cp:lastPrinted>
  <dcterms:created xsi:type="dcterms:W3CDTF">2022-10-27T10:13:00Z</dcterms:created>
  <dcterms:modified xsi:type="dcterms:W3CDTF">2022-11-10T10:52:00Z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